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130" w:line="530" w:lineRule="exact"/>
        <w:ind w:left="934"/>
        <w:outlineLvl w:val="2"/>
        <w:rPr>
          <w:rFonts w:ascii="方正小标宋简体" w:hAnsi="方正小标宋简体" w:eastAsia="方正小标宋简体" w:cs="方正小标宋简体"/>
          <w:spacing w:val="10"/>
          <w:position w:val="4"/>
          <w:sz w:val="35"/>
          <w:szCs w:val="35"/>
        </w:rPr>
      </w:pPr>
    </w:p>
    <w:p>
      <w:pPr>
        <w:spacing w:before="130" w:line="530" w:lineRule="exact"/>
        <w:ind w:left="934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position w:val="4"/>
          <w:sz w:val="35"/>
          <w:szCs w:val="35"/>
        </w:rPr>
        <w:t>上海市重点监控用水单位名录（用水户）</w:t>
      </w:r>
    </w:p>
    <w:p>
      <w:pPr>
        <w:pStyle w:val="2"/>
        <w:spacing w:before="150" w:line="225" w:lineRule="auto"/>
        <w:ind w:left="3412"/>
        <w:outlineLvl w:val="0"/>
        <w:rPr>
          <w:rFonts w:hint="eastAsia" w:ascii="楷体_GB2312" w:hAnsi="楷体_GB2312" w:eastAsia="楷体_GB2312" w:cs="楷体_GB2312"/>
          <w:highlight w:val="none"/>
        </w:rPr>
      </w:pPr>
      <w:r>
        <w:rPr>
          <w:rFonts w:hint="eastAsia" w:ascii="楷体_GB2312" w:hAnsi="楷体_GB2312" w:eastAsia="楷体_GB2312" w:cs="楷体_GB2312"/>
          <w:spacing w:val="1"/>
          <w:highlight w:val="none"/>
        </w:rPr>
        <w:t>（</w:t>
      </w:r>
      <w:r>
        <w:rPr>
          <w:rFonts w:hint="eastAsia" w:ascii="楷体_GB2312" w:hAnsi="楷体_GB2312" w:eastAsia="楷体_GB2312" w:cs="楷体_GB2312"/>
          <w:spacing w:val="1"/>
          <w:highlight w:val="none"/>
          <w:lang w:val="en-US" w:eastAsia="zh-CN"/>
        </w:rPr>
        <w:t>143</w:t>
      </w:r>
      <w:r>
        <w:rPr>
          <w:rFonts w:hint="eastAsia" w:ascii="楷体_GB2312" w:hAnsi="楷体_GB2312" w:eastAsia="楷体_GB2312" w:cs="楷体_GB2312"/>
          <w:spacing w:val="1"/>
          <w:highlight w:val="none"/>
        </w:rPr>
        <w:t>家）</w:t>
      </w:r>
    </w:p>
    <w:tbl>
      <w:tblPr>
        <w:tblStyle w:val="5"/>
        <w:tblW w:w="884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  <w:gridCol w:w="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b/>
                <w:bCs/>
                <w:spacing w:val="1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"/>
                <w:sz w:val="28"/>
                <w:szCs w:val="28"/>
                <w:lang w:val="en-US" w:eastAsia="zh-CN"/>
              </w:rPr>
              <w:t>中心城区83家：</w:t>
            </w:r>
          </w:p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长征医院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上海交通大学医学院附属瑞金医院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上海交通大学医学院附属第九人民医院（南部）</w:t>
            </w:r>
          </w:p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上海鼎固物业管理有限公司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复旦大学附属华山医院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上海市第十人民医院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上海飞机制造有限公司（大场基地）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冠丰（上海）房地产发展有限公司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中国铁路上海局集团有限公司上海站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嘉里物业服务（上海）有限公司（南北区）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中国科学院上海微系统与信息技术研究所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上海先进半导体制造有限公司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龙华医院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上海动物园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上海英格卡购物中心有限公司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上海龙之梦购物中心管理有限公司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上海东方海外凯旋房地产有限公司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东华大学（延安路校区）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上海海汇房地产开发有限公司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上海月星环球家饰博览中心有限公司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华东师范大学（普陀校区）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上海瑞虹新城有限公司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上海岳峰置业开发有限公司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上海品钦会展会务有限公司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上海大展投资管理有限公司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上海长海医院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上海交通大学医学院附属新华医院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上海梅林食品有限公司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上海新动力汽车科技股份有限公司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上海烟草集团有限责任公司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30" w:hRule="atLeast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30" w:hRule="atLeast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深圳雪花啤酒有限公司上海分公司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30" w:hRule="atLeast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上海申和投资有限公司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30" w:hRule="atLeast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上海轩成物流有限公司</w:t>
            </w:r>
          </w:p>
        </w:tc>
      </w:tr>
    </w:tbl>
    <w:p>
      <w:pPr>
        <w:pStyle w:val="2"/>
        <w:spacing w:before="300" w:line="220" w:lineRule="auto"/>
        <w:ind w:firstLine="276" w:firstLineChars="100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val="en-US" w:eastAsia="zh-CN"/>
        </w:rPr>
        <w:t>复旦大学附属儿科医院</w:t>
      </w:r>
    </w:p>
    <w:p>
      <w:pPr>
        <w:pStyle w:val="2"/>
        <w:spacing w:before="300" w:line="220" w:lineRule="auto"/>
        <w:ind w:firstLine="276" w:firstLineChars="100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val="en-US" w:eastAsia="zh-CN"/>
        </w:rPr>
        <w:t>华东师范大学（闵行校区）</w:t>
      </w:r>
    </w:p>
    <w:tbl>
      <w:tblPr>
        <w:tblStyle w:val="5"/>
        <w:tblW w:w="945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8"/>
        <w:gridCol w:w="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4" w:type="dxa"/>
          <w:trHeight w:val="330" w:hRule="atLeast"/>
        </w:trPr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上海紫泉饮料工业有限公司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4" w:type="dxa"/>
          <w:trHeight w:val="330" w:hRule="atLeast"/>
        </w:trPr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晟碟半导体（上海）有限公司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4" w:type="dxa"/>
          <w:trHeight w:val="330" w:hRule="atLeast"/>
        </w:trPr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上海仪电显示材料有限公司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4" w:type="dxa"/>
          <w:trHeight w:val="330" w:hRule="atLeast"/>
        </w:trPr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上海百事可乐饮料有限公司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4" w:type="dxa"/>
          <w:trHeight w:val="330" w:hRule="atLeast"/>
        </w:trPr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奥特斯（中国）有限公司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4" w:type="dxa"/>
          <w:trHeight w:val="330" w:hRule="atLeast"/>
        </w:trPr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上海通益置业有限公司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4" w:type="dxa"/>
          <w:trHeight w:val="330" w:hRule="atLeast"/>
        </w:trPr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上海中航光电子有限公司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4" w:type="dxa"/>
          <w:trHeight w:val="330" w:hRule="atLeast"/>
        </w:trPr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上海暻耀网络技术有限公司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日月光半导体（上海）有限公司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三生国健药业（上海）股份有限公司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安靠封装测试（上海）有限公司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浦东嘉里城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上海环球金融中心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中国科学院上海高等研究院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上海世博百联商业有限公司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上海中心大厦世邦魏理仕物业管理有限公司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上海中医药大学（张江校区）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上海长泰商业经营管理有限公司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上汽通用汽车有限公司（金穗路567号）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上汽通用汽车有限公司（申江路1500号）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上海云港万国数据科技发展有限公司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上海世纪汇置业有限公司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上海天马微电子有限公司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武汉天马微电子有限公司上海分公司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中芯南方集成电路制造有限公司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上海城投污水处理有限公司白龙港污水处理厂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上海海立电器有限公司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中芯国际集成电路制造（上海）有限公司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上海华虹宏力半导体制造有限公司（一厂）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上海华虹宏力半导体制造有限公司（二厂）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上海华虹宏力半导体制造有限公司（三厂）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上海外高桥造船有限公司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上海明东集装箱码头有限公司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上海沪东中华造船（集团）有限公司（浦东）</w:t>
            </w:r>
          </w:p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上海申美饮料食品有限公司（金桥厂）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江南造船（集团）有限责任公司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江南造船（集团）有限责任公司（生活区）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江南造船（集团）有限责任公司（特种船舶研制保障条件建设项目）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上海家净洗涤有限公司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上海振华重工（集团）股份有限公司长兴分公司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沪东中华造船（集团）有限公司长兴分公司</w:t>
            </w:r>
          </w:p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国家会展中心（上海）有限责任公司</w:t>
            </w:r>
          </w:p>
        </w:tc>
      </w:tr>
    </w:tbl>
    <w:p>
      <w:pPr>
        <w:pStyle w:val="2"/>
        <w:spacing w:before="1" w:line="214" w:lineRule="auto"/>
        <w:ind w:left="133"/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  <w:highlight w:val="none"/>
        </w:rPr>
      </w:pPr>
    </w:p>
    <w:p>
      <w:pPr>
        <w:pStyle w:val="2"/>
        <w:spacing w:before="1" w:line="214" w:lineRule="auto"/>
        <w:ind w:left="133"/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  <w:highlight w:val="none"/>
        </w:rPr>
        <w:t>浦东新区（原南汇）7家：</w:t>
      </w:r>
    </w:p>
    <w:tbl>
      <w:tblPr>
        <w:tblStyle w:val="5"/>
        <w:tblW w:w="923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上海华力集成电路制造有限公司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昌硕科技（上海）有限公司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上海飞机制造有限公司（浦东基地）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上海天信绿色食品有限公司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上海野生动物园发展有限责任公司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上海老港固废综合开发有限公司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上海健康医学院</w:t>
            </w:r>
          </w:p>
        </w:tc>
      </w:tr>
    </w:tbl>
    <w:p>
      <w:pPr>
        <w:pStyle w:val="2"/>
        <w:spacing w:before="300" w:line="220" w:lineRule="auto"/>
        <w:rPr>
          <w:rFonts w:hint="eastAsia" w:ascii="仿宋_GB2312" w:hAnsi="仿宋_GB2312" w:eastAsia="仿宋_GB2312" w:cs="仿宋_GB2312"/>
          <w:b/>
          <w:bCs/>
          <w:spacing w:val="18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28"/>
          <w:szCs w:val="28"/>
          <w:highlight w:val="none"/>
          <w:lang w:val="en-US" w:eastAsia="zh-CN"/>
        </w:rPr>
        <w:t>崇明区1家：</w:t>
      </w:r>
    </w:p>
    <w:tbl>
      <w:tblPr>
        <w:tblStyle w:val="5"/>
        <w:tblW w:w="87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上海华润大东船务有限公司</w:t>
            </w:r>
          </w:p>
        </w:tc>
      </w:tr>
    </w:tbl>
    <w:p>
      <w:pPr>
        <w:pStyle w:val="2"/>
        <w:spacing w:before="300" w:line="220" w:lineRule="auto"/>
        <w:rPr>
          <w:rFonts w:hint="eastAsia" w:ascii="仿宋_GB2312" w:hAnsi="仿宋_GB2312" w:eastAsia="仿宋_GB2312" w:cs="仿宋_GB2312"/>
          <w:b/>
          <w:bCs/>
          <w:spacing w:val="18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28"/>
          <w:szCs w:val="28"/>
          <w:highlight w:val="none"/>
          <w:lang w:val="en-US" w:eastAsia="zh-CN"/>
        </w:rPr>
        <w:t>青浦区4家：</w:t>
      </w:r>
    </w:p>
    <w:tbl>
      <w:tblPr>
        <w:tblStyle w:val="5"/>
        <w:tblW w:w="1744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  <w:gridCol w:w="8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98" w:type="dxa"/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杜邦特种材料（上海）有限公司</w:t>
            </w:r>
          </w:p>
        </w:tc>
        <w:tc>
          <w:tcPr>
            <w:tcW w:w="8748" w:type="dxa"/>
            <w:shd w:val="clear" w:color="auto" w:fill="auto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98" w:type="dxa"/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宏茂微电子（上海）有限公司</w:t>
            </w:r>
          </w:p>
        </w:tc>
        <w:tc>
          <w:tcPr>
            <w:tcW w:w="8748" w:type="dxa"/>
            <w:shd w:val="clear" w:color="auto" w:fill="auto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98" w:type="dxa"/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上海普利美诺氨基酸有限公司</w:t>
            </w:r>
          </w:p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华为技术有限公司</w:t>
            </w:r>
          </w:p>
        </w:tc>
        <w:tc>
          <w:tcPr>
            <w:tcW w:w="8748" w:type="dxa"/>
            <w:shd w:val="clear" w:color="auto" w:fill="auto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spacing w:before="1" w:line="214" w:lineRule="auto"/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</w:rPr>
      </w:pPr>
    </w:p>
    <w:p>
      <w:pPr>
        <w:pStyle w:val="2"/>
        <w:spacing w:before="1" w:line="214" w:lineRule="auto"/>
        <w:ind w:left="133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  <w:highlight w:val="none"/>
        </w:rPr>
        <w:t>嘉定区</w:t>
      </w:r>
      <w:r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  <w:highlight w:val="none"/>
        </w:rPr>
        <w:t>家：</w:t>
      </w:r>
    </w:p>
    <w:tbl>
      <w:tblPr>
        <w:tblStyle w:val="5"/>
        <w:tblW w:w="87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上汽大众汽车有限公司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上海新傲科技股份有限公司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同济大学嘉定校区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福耀集团（上海）汽车玻璃有限公司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上海汇众汽车制造有限公司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上海江桥万达广场商业管理有限公司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上海艺杏食品有限公司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上海星信曼企业管理有限公司（印象城）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上海新纺联汽车内饰有限公司</w:t>
            </w:r>
          </w:p>
        </w:tc>
      </w:tr>
    </w:tbl>
    <w:p>
      <w:pPr>
        <w:pStyle w:val="2"/>
        <w:spacing w:before="1" w:line="214" w:lineRule="auto"/>
        <w:ind w:left="133"/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</w:rPr>
      </w:pPr>
    </w:p>
    <w:p>
      <w:pPr>
        <w:pStyle w:val="2"/>
        <w:spacing w:before="1" w:line="214" w:lineRule="auto"/>
        <w:ind w:left="133"/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</w:rPr>
        <w:t>金山区</w:t>
      </w:r>
      <w:r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-13"/>
          <w:sz w:val="28"/>
          <w:szCs w:val="28"/>
        </w:rPr>
        <w:t>家：</w:t>
      </w:r>
    </w:p>
    <w:tbl>
      <w:tblPr>
        <w:tblStyle w:val="5"/>
        <w:tblW w:w="873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上海和辉光电有限公司(一厂)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上海和辉光电有限公司(二厂)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上海金联热电有限公司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中国石化上海石油化工股份有限公司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上海乐高乐园有限公司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上海娃哈哈饮用水有限公司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上海市公共卫生临床中心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上海中侨职业技术大学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中粮融氏生物科技有限公司</w:t>
            </w:r>
          </w:p>
        </w:tc>
      </w:tr>
    </w:tbl>
    <w:p>
      <w:pPr>
        <w:pStyle w:val="2"/>
        <w:spacing w:before="299" w:line="218" w:lineRule="auto"/>
        <w:ind w:left="12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松江区1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家：</w:t>
      </w:r>
    </w:p>
    <w:tbl>
      <w:tblPr>
        <w:tblStyle w:val="5"/>
        <w:tblW w:w="874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台积电（中国）有限公司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上海超硅半导体股份有限公司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上海美维科技有限公司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上海珑睿信息科技有限公司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达功（上海）电脑有限公司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尼西半导体科技（上海）有限公司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华东政法大学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上海对外经贸大学</w:t>
            </w:r>
          </w:p>
        </w:tc>
      </w:tr>
    </w:tbl>
    <w:p>
      <w:pPr>
        <w:pStyle w:val="2"/>
        <w:spacing w:before="299" w:line="218" w:lineRule="auto"/>
        <w:ind w:left="122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奉贤区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家：</w:t>
      </w:r>
    </w:p>
    <w:tbl>
      <w:tblPr>
        <w:tblStyle w:val="5"/>
        <w:tblW w:w="86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远纺工业（上海）有限公司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上海生物制品研究所有限责任公司（奉贤）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华东理工大学（奉贤校区）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上海师范大学（奉贤校区）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上海应用技术大学（奉贤校区）</w:t>
            </w:r>
          </w:p>
        </w:tc>
      </w:tr>
    </w:tbl>
    <w:p>
      <w:pPr>
        <w:pStyle w:val="2"/>
        <w:spacing w:before="299" w:line="218" w:lineRule="auto"/>
        <w:ind w:left="122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临港新片区1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家：</w:t>
      </w:r>
    </w:p>
    <w:tbl>
      <w:tblPr>
        <w:tblStyle w:val="5"/>
        <w:tblW w:w="928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上海积塔半导体有限公司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上海新昇半导体科技有限公司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特斯拉（上海）有限公司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中芯东方集成电路制造有限公司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格科半导体（上海）有限公司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上海鼎泰匠芯科技有限公司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上海建桥学院有限责任公司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上海天岳半导体材料有限公司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上海海昌极地海洋世界有限公司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上海汽车股份有限公司乘车分公司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中国移动通信集团上海有限公司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299" w:line="215" w:lineRule="auto"/>
              <w:ind w:left="127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上海申能临港燃机发电有限公司</w:t>
            </w:r>
          </w:p>
        </w:tc>
      </w:tr>
    </w:tbl>
    <w:p>
      <w:pPr>
        <w:spacing w:line="411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11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spacing w:before="299" w:line="214" w:lineRule="auto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9"/>
      <w:pgMar w:top="1400" w:right="1785" w:bottom="1699" w:left="1785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61498A"/>
    <w:rsid w:val="02FF1D1B"/>
    <w:rsid w:val="03597303"/>
    <w:rsid w:val="036D6E3B"/>
    <w:rsid w:val="07A11000"/>
    <w:rsid w:val="07B54D24"/>
    <w:rsid w:val="0AD656DD"/>
    <w:rsid w:val="0B2263D9"/>
    <w:rsid w:val="0C051F47"/>
    <w:rsid w:val="0C1069CD"/>
    <w:rsid w:val="0E365701"/>
    <w:rsid w:val="0EE859DF"/>
    <w:rsid w:val="12AF0CEE"/>
    <w:rsid w:val="14E32ED1"/>
    <w:rsid w:val="16041350"/>
    <w:rsid w:val="176302F9"/>
    <w:rsid w:val="1DF0665E"/>
    <w:rsid w:val="1F444EB4"/>
    <w:rsid w:val="247D68D8"/>
    <w:rsid w:val="26864004"/>
    <w:rsid w:val="28C8445F"/>
    <w:rsid w:val="29A0274D"/>
    <w:rsid w:val="2AA9206F"/>
    <w:rsid w:val="2CF9108B"/>
    <w:rsid w:val="32C20171"/>
    <w:rsid w:val="3982065B"/>
    <w:rsid w:val="3D3C687D"/>
    <w:rsid w:val="3D91318F"/>
    <w:rsid w:val="3E047890"/>
    <w:rsid w:val="4013200C"/>
    <w:rsid w:val="41720FB5"/>
    <w:rsid w:val="42073DF3"/>
    <w:rsid w:val="46020B59"/>
    <w:rsid w:val="46821C9A"/>
    <w:rsid w:val="4B4E2A92"/>
    <w:rsid w:val="4C975D73"/>
    <w:rsid w:val="4F674123"/>
    <w:rsid w:val="4FA26F09"/>
    <w:rsid w:val="52512530"/>
    <w:rsid w:val="526606C2"/>
    <w:rsid w:val="527F3531"/>
    <w:rsid w:val="52F851CB"/>
    <w:rsid w:val="53CC27A6"/>
    <w:rsid w:val="54567641"/>
    <w:rsid w:val="54FF095A"/>
    <w:rsid w:val="59E720E8"/>
    <w:rsid w:val="5A322152"/>
    <w:rsid w:val="5AFB50A5"/>
    <w:rsid w:val="5DFA169D"/>
    <w:rsid w:val="5F723776"/>
    <w:rsid w:val="61BA4586"/>
    <w:rsid w:val="61F943FF"/>
    <w:rsid w:val="626A7D5A"/>
    <w:rsid w:val="636522D0"/>
    <w:rsid w:val="651F1AC5"/>
    <w:rsid w:val="6632293D"/>
    <w:rsid w:val="68057194"/>
    <w:rsid w:val="69362744"/>
    <w:rsid w:val="6AFE7291"/>
    <w:rsid w:val="6B767770"/>
    <w:rsid w:val="6E2C57D5"/>
    <w:rsid w:val="75B74C0D"/>
    <w:rsid w:val="777368E6"/>
    <w:rsid w:val="79490272"/>
    <w:rsid w:val="7A7F1A71"/>
    <w:rsid w:val="7ACA53E2"/>
    <w:rsid w:val="7E96721C"/>
    <w:rsid w:val="7FFD7B62"/>
    <w:rsid w:val="B59F24C0"/>
    <w:rsid w:val="B7D4596A"/>
    <w:rsid w:val="BB6F1D5B"/>
    <w:rsid w:val="DBAFB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2410</Words>
  <Characters>2443</Characters>
  <TotalTime>10</TotalTime>
  <ScaleCrop>false</ScaleCrop>
  <LinksUpToDate>false</LinksUpToDate>
  <CharactersWithSpaces>2469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2026-02-27T05:33:00Z</dcterms:created>
  <dc:creator>xugd</dc:creator>
  <cp:lastModifiedBy>swj</cp:lastModifiedBy>
  <dcterms:modified xsi:type="dcterms:W3CDTF">2026-06-22T11:02:05Z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2026-02-26T13:33:10Z</vt:filetime>
  </property>
  <property fmtid="{D5CDD505-2E9C-101B-9397-08002B2CF9AE}" pid="4" name="KSOTemplateDocerSaveRecord">
    <vt:lpwstr>eyJoZGlkIjoiYmNhYTEwMTcyMzIwYzQxY2Y4MzEzMmMwZDZhMzY5ZWMiLCJ1c2VySWQiOiI0Nzc5ODIwMTkifQ==</vt:lpwstr>
  </property>
  <property fmtid="{D5CDD505-2E9C-101B-9397-08002B2CF9AE}" pid="5" name="KSOProductBuildVer">
    <vt:lpwstr>2052-11.8.2.10290</vt:lpwstr>
  </property>
  <property fmtid="{D5CDD505-2E9C-101B-9397-08002B2CF9AE}" pid="6" name="ICV">
    <vt:lpwstr>7E17EA40CA154AABA3AC6C8A0DCD6D86_13</vt:lpwstr>
  </property>
</Properties>
</file>