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ind w:firstLine="321" w:firstLineChars="50"/>
        <w:jc w:val="center"/>
        <w:rPr>
          <w:rFonts w:ascii="Times New Roman" w:hAnsi="Times New Roman" w:eastAsia="黑体" w:cs="Times New Roman"/>
          <w:b/>
          <w:sz w:val="64"/>
          <w:szCs w:val="64"/>
        </w:rPr>
      </w:pPr>
    </w:p>
    <w:p>
      <w:pPr>
        <w:spacing w:after="156" w:afterLines="50" w:line="360" w:lineRule="auto"/>
        <w:ind w:firstLine="321" w:firstLineChars="50"/>
        <w:jc w:val="center"/>
        <w:rPr>
          <w:rFonts w:ascii="Times New Roman" w:hAnsi="Times New Roman" w:eastAsia="黑体" w:cs="Times New Roman"/>
          <w:b/>
          <w:sz w:val="64"/>
          <w:szCs w:val="64"/>
        </w:rPr>
      </w:pPr>
    </w:p>
    <w:p>
      <w:pPr>
        <w:ind w:firstLine="0" w:firstLineChars="0"/>
        <w:jc w:val="center"/>
        <w:rPr>
          <w:rFonts w:ascii="Times New Roman" w:hAnsi="Times New Roman" w:eastAsia="方正小标宋简体" w:cs="Times New Roman"/>
          <w:b/>
          <w:sz w:val="56"/>
          <w:szCs w:val="56"/>
        </w:rPr>
      </w:pPr>
      <w:r>
        <w:rPr>
          <w:rFonts w:ascii="Times New Roman" w:hAnsi="Times New Roman" w:eastAsia="方正小标宋简体" w:cs="Times New Roman"/>
          <w:b/>
          <w:sz w:val="56"/>
          <w:szCs w:val="56"/>
        </w:rPr>
        <w:t>202</w:t>
      </w:r>
      <w:r>
        <w:rPr>
          <w:rFonts w:hint="eastAsia" w:ascii="Times New Roman" w:hAnsi="Times New Roman" w:eastAsia="方正小标宋简体" w:cs="Times New Roman"/>
          <w:b/>
          <w:sz w:val="56"/>
          <w:szCs w:val="56"/>
        </w:rPr>
        <w:t>5</w:t>
      </w:r>
      <w:r>
        <w:rPr>
          <w:rFonts w:ascii="Times New Roman" w:hAnsi="Times New Roman" w:eastAsia="方正小标宋简体" w:cs="Times New Roman"/>
          <w:b/>
          <w:sz w:val="56"/>
          <w:szCs w:val="56"/>
        </w:rPr>
        <w:t>年上海市海洋生态预警监测质量管理工作方案</w:t>
      </w:r>
    </w:p>
    <w:p>
      <w:pPr>
        <w:tabs>
          <w:tab w:val="center" w:pos="4156"/>
          <w:tab w:val="right" w:pos="8313"/>
        </w:tabs>
        <w:spacing w:after="156" w:afterLines="50" w:line="360" w:lineRule="auto"/>
        <w:ind w:firstLine="0" w:firstLineChars="0"/>
        <w:jc w:val="left"/>
        <w:rPr>
          <w:rFonts w:ascii="Times New Roman" w:hAnsi="Times New Roman" w:eastAsia="方正小标宋简体" w:cs="Times New Roman"/>
          <w:sz w:val="48"/>
          <w:szCs w:val="48"/>
        </w:rPr>
      </w:pPr>
      <w:r>
        <w:rPr>
          <w:rFonts w:ascii="Times New Roman" w:hAnsi="Times New Roman" w:eastAsia="方正小标宋简体" w:cs="Times New Roman"/>
          <w:sz w:val="48"/>
          <w:szCs w:val="48"/>
        </w:rPr>
        <w:tab/>
      </w:r>
      <w:r>
        <w:rPr>
          <w:rFonts w:ascii="Times New Roman" w:hAnsi="Times New Roman" w:eastAsia="方正小标宋简体" w:cs="Times New Roman"/>
          <w:sz w:val="48"/>
          <w:szCs w:val="48"/>
        </w:rPr>
        <w:t xml:space="preserve"> </w:t>
      </w:r>
      <w:r>
        <w:rPr>
          <w:rFonts w:ascii="Times New Roman" w:hAnsi="Times New Roman" w:eastAsia="方正小标宋简体" w:cs="Times New Roman"/>
          <w:sz w:val="48"/>
          <w:szCs w:val="48"/>
        </w:rPr>
        <w:tab/>
      </w:r>
    </w:p>
    <w:p>
      <w:pPr>
        <w:spacing w:after="156" w:afterLines="50" w:line="360" w:lineRule="auto"/>
        <w:ind w:firstLine="0" w:firstLineChars="0"/>
        <w:jc w:val="center"/>
        <w:rPr>
          <w:rFonts w:ascii="Times New Roman" w:hAnsi="Times New Roman" w:eastAsia="方正小标宋简体" w:cs="Times New Roman"/>
          <w:b/>
          <w:sz w:val="36"/>
          <w:szCs w:val="36"/>
        </w:rPr>
      </w:pPr>
    </w:p>
    <w:p>
      <w:pPr>
        <w:spacing w:after="156" w:afterLines="50" w:line="360" w:lineRule="auto"/>
        <w:ind w:firstLine="0" w:firstLineChars="0"/>
        <w:jc w:val="center"/>
        <w:rPr>
          <w:rFonts w:ascii="Times New Roman" w:hAnsi="Times New Roman" w:eastAsia="方正小标宋简体" w:cs="Times New Roman"/>
          <w:b/>
          <w:sz w:val="36"/>
          <w:szCs w:val="36"/>
        </w:rPr>
      </w:pPr>
    </w:p>
    <w:p>
      <w:pPr>
        <w:spacing w:after="156" w:afterLines="50" w:line="360" w:lineRule="auto"/>
        <w:ind w:firstLine="0" w:firstLineChars="0"/>
        <w:rPr>
          <w:rFonts w:ascii="Times New Roman" w:hAnsi="Times New Roman" w:eastAsia="方正小标宋简体" w:cs="Times New Roman"/>
          <w:b/>
          <w:sz w:val="32"/>
          <w:szCs w:val="32"/>
        </w:rPr>
      </w:pPr>
      <w:r>
        <w:rPr>
          <w:rFonts w:ascii="Times New Roman" w:hAnsi="Times New Roman" w:eastAsia="方正小标宋简体" w:cs="Times New Roman"/>
          <w:b/>
          <w:sz w:val="32"/>
          <w:szCs w:val="32"/>
        </w:rPr>
        <w:t xml:space="preserve">     </w:t>
      </w:r>
    </w:p>
    <w:p>
      <w:pPr>
        <w:spacing w:after="156" w:afterLines="50" w:line="360" w:lineRule="auto"/>
        <w:ind w:firstLine="0" w:firstLineChars="0"/>
        <w:rPr>
          <w:rFonts w:ascii="Times New Roman" w:hAnsi="Times New Roman" w:eastAsia="方正小标宋简体" w:cs="Times New Roman"/>
          <w:b/>
          <w:sz w:val="32"/>
          <w:szCs w:val="32"/>
        </w:rPr>
      </w:pPr>
    </w:p>
    <w:p>
      <w:pPr>
        <w:spacing w:after="156" w:afterLines="50" w:line="360" w:lineRule="auto"/>
        <w:ind w:firstLine="0" w:firstLineChars="0"/>
        <w:rPr>
          <w:rFonts w:ascii="Times New Roman" w:hAnsi="Times New Roman" w:eastAsia="方正小标宋简体" w:cs="Times New Roman"/>
          <w:b/>
          <w:sz w:val="32"/>
          <w:szCs w:val="32"/>
        </w:rPr>
      </w:pPr>
    </w:p>
    <w:p>
      <w:pPr>
        <w:spacing w:after="156" w:afterLines="50" w:line="360" w:lineRule="auto"/>
        <w:ind w:firstLine="0" w:firstLineChars="0"/>
        <w:rPr>
          <w:rFonts w:ascii="Times New Roman" w:hAnsi="Times New Roman" w:eastAsia="方正小标宋简体" w:cs="Times New Roman"/>
          <w:b/>
          <w:sz w:val="32"/>
          <w:szCs w:val="32"/>
        </w:rPr>
      </w:pPr>
    </w:p>
    <w:p>
      <w:pPr>
        <w:spacing w:after="156" w:afterLines="50" w:line="360" w:lineRule="auto"/>
        <w:ind w:firstLine="0" w:firstLineChars="0"/>
        <w:rPr>
          <w:rFonts w:ascii="Times New Roman" w:hAnsi="Times New Roman" w:eastAsia="方正小标宋简体" w:cs="Times New Roman"/>
          <w:b/>
          <w:sz w:val="32"/>
          <w:szCs w:val="32"/>
        </w:rPr>
      </w:pPr>
    </w:p>
    <w:p>
      <w:pPr>
        <w:spacing w:after="156" w:afterLines="50" w:line="360" w:lineRule="auto"/>
        <w:ind w:firstLine="0" w:firstLineChars="0"/>
        <w:rPr>
          <w:rFonts w:ascii="Times New Roman" w:hAnsi="Times New Roman" w:eastAsia="方正小标宋简体" w:cs="Times New Roman"/>
          <w:b/>
          <w:sz w:val="32"/>
          <w:szCs w:val="32"/>
        </w:rPr>
      </w:pPr>
    </w:p>
    <w:p>
      <w:pPr>
        <w:ind w:firstLine="0" w:firstLineChars="0"/>
        <w:jc w:val="center"/>
        <w:rPr>
          <w:rFonts w:ascii="Times New Roman" w:hAnsi="Times New Roman" w:eastAsia="方正小标宋简体" w:cs="Times New Roman"/>
          <w:bCs/>
          <w:spacing w:val="-20"/>
          <w:sz w:val="36"/>
          <w:szCs w:val="36"/>
        </w:rPr>
      </w:pPr>
      <w:r>
        <w:rPr>
          <w:rFonts w:ascii="Times New Roman" w:hAnsi="Times New Roman" w:eastAsia="方正小标宋简体" w:cs="Times New Roman"/>
          <w:bCs/>
          <w:spacing w:val="0"/>
          <w:kern w:val="0"/>
          <w:sz w:val="36"/>
          <w:szCs w:val="36"/>
          <w:fitText w:val="2160" w:id="1035403301"/>
        </w:rPr>
        <w:t>上海市海洋局</w:t>
      </w:r>
    </w:p>
    <w:p>
      <w:pPr>
        <w:spacing w:line="360" w:lineRule="auto"/>
        <w:ind w:firstLine="0" w:firstLineChars="0"/>
        <w:jc w:val="center"/>
        <w:rPr>
          <w:rFonts w:ascii="Times New Roman" w:hAnsi="Times New Roman" w:eastAsia="方正小标宋简体" w:cs="Times New Roman"/>
          <w:bCs/>
          <w:kern w:val="0"/>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ascii="Times New Roman" w:hAnsi="Times New Roman" w:eastAsia="方正小标宋简体" w:cs="Times New Roman"/>
          <w:bCs/>
          <w:spacing w:val="31"/>
          <w:kern w:val="0"/>
          <w:sz w:val="36"/>
          <w:szCs w:val="36"/>
          <w:fitText w:val="2160" w:id="734559676"/>
        </w:rPr>
        <w:t>202</w:t>
      </w:r>
      <w:r>
        <w:rPr>
          <w:rFonts w:hint="eastAsia" w:ascii="Times New Roman" w:hAnsi="Times New Roman" w:eastAsia="方正小标宋简体" w:cs="Times New Roman"/>
          <w:bCs/>
          <w:spacing w:val="31"/>
          <w:kern w:val="0"/>
          <w:sz w:val="36"/>
          <w:szCs w:val="36"/>
          <w:fitText w:val="2160" w:id="734559676"/>
        </w:rPr>
        <w:t>5</w:t>
      </w:r>
      <w:r>
        <w:rPr>
          <w:rFonts w:ascii="Times New Roman" w:hAnsi="Times New Roman" w:eastAsia="方正小标宋简体" w:cs="Times New Roman"/>
          <w:bCs/>
          <w:spacing w:val="31"/>
          <w:kern w:val="0"/>
          <w:sz w:val="36"/>
          <w:szCs w:val="36"/>
          <w:fitText w:val="2160" w:id="734559676"/>
        </w:rPr>
        <w:t>年</w:t>
      </w:r>
      <w:r>
        <w:rPr>
          <w:rFonts w:hint="eastAsia" w:ascii="Times New Roman" w:hAnsi="Times New Roman" w:eastAsia="方正小标宋简体" w:cs="Times New Roman"/>
          <w:bCs/>
          <w:spacing w:val="31"/>
          <w:kern w:val="0"/>
          <w:sz w:val="36"/>
          <w:szCs w:val="36"/>
          <w:fitText w:val="2160" w:id="734559676"/>
          <w:lang w:val="en-US" w:eastAsia="zh-CN"/>
        </w:rPr>
        <w:t>5</w:t>
      </w:r>
      <w:bookmarkStart w:id="58" w:name="_GoBack"/>
      <w:bookmarkEnd w:id="58"/>
      <w:r>
        <w:rPr>
          <w:rFonts w:ascii="Times New Roman" w:hAnsi="Times New Roman" w:eastAsia="方正小标宋简体" w:cs="Times New Roman"/>
          <w:bCs/>
          <w:spacing w:val="3"/>
          <w:kern w:val="0"/>
          <w:sz w:val="36"/>
          <w:szCs w:val="36"/>
          <w:fitText w:val="2160" w:id="734559676"/>
        </w:rPr>
        <w:t>月</w:t>
      </w:r>
    </w:p>
    <w:p>
      <w:pPr>
        <w:spacing w:line="360" w:lineRule="auto"/>
        <w:ind w:firstLine="0" w:firstLineChars="0"/>
        <w:jc w:val="center"/>
        <w:rPr>
          <w:rFonts w:ascii="Times New Roman" w:hAnsi="Times New Roman" w:eastAsia="方正小标宋简体" w:cs="Times New Roman"/>
          <w:bCs/>
          <w:kern w:val="0"/>
          <w:sz w:val="36"/>
          <w:szCs w:val="36"/>
        </w:rPr>
        <w:sectPr>
          <w:pgSz w:w="11906" w:h="16838"/>
          <w:pgMar w:top="1440" w:right="1800" w:bottom="1440" w:left="1800" w:header="851" w:footer="992" w:gutter="0"/>
          <w:cols w:space="425" w:num="1"/>
          <w:docGrid w:type="lines" w:linePitch="312" w:charSpace="0"/>
        </w:sectPr>
      </w:pPr>
    </w:p>
    <w:sdt>
      <w:sdtPr>
        <w:rPr>
          <w:rFonts w:ascii="Times New Roman" w:hAnsi="Times New Roman" w:eastAsia="宋体" w:cs="Times New Roman"/>
          <w:sz w:val="21"/>
        </w:rPr>
        <w:id w:val="147459220"/>
        <w15:color w:val="DBDBDB"/>
        <w:docPartObj>
          <w:docPartGallery w:val="Table of Contents"/>
          <w:docPartUnique/>
        </w:docPartObj>
      </w:sdtPr>
      <w:sdtEndPr>
        <w:rPr>
          <w:rFonts w:hint="eastAsia" w:ascii="仿宋_GB2312" w:hAnsi="仿宋_GB2312" w:eastAsia="仿宋_GB2312" w:cs="仿宋_GB2312"/>
          <w:sz w:val="28"/>
          <w:szCs w:val="28"/>
        </w:rPr>
      </w:sdtEndPr>
      <w:sdtContent>
        <w:p>
          <w:pPr>
            <w:ind w:firstLine="0" w:firstLineChars="0"/>
            <w:jc w:val="center"/>
            <w:rPr>
              <w:rFonts w:ascii="Times New Roman" w:hAnsi="Times New Roman" w:eastAsia="黑体" w:cs="Times New Roman"/>
              <w:sz w:val="32"/>
              <w:szCs w:val="32"/>
            </w:rPr>
          </w:pPr>
          <w:bookmarkStart w:id="0" w:name="_Toc6589"/>
          <w:r>
            <w:rPr>
              <w:rFonts w:ascii="Times New Roman" w:hAnsi="Times New Roman" w:eastAsia="黑体" w:cs="Times New Roman"/>
              <w:sz w:val="32"/>
              <w:szCs w:val="32"/>
            </w:rPr>
            <w:t>目  录</w:t>
          </w:r>
        </w:p>
        <w:p>
          <w:pPr>
            <w:pStyle w:val="20"/>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"1-3" \h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"_Toc192668432"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一、工作目标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"_Toc192668433"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二、工作依据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56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"_Toc192668434"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（一）管理依据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_Toc192668434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56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"_Toc192668435"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（二）技术依据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"_Toc192668436"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三、工作内容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56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"_Toc192668437"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（一）质量管理内容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56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"_Toc192668438"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（二）质量控制要求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112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"_Toc192668439"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1、确保质量管理体系运行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112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"_Toc192668440"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bCs/>
              <w:sz w:val="28"/>
              <w:szCs w:val="28"/>
              <w:u w:val="none"/>
            </w:rPr>
            <w:t>2、强化外业监测质量控制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112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"_Toc192668441"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3、强化内业分析质量控制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112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"_Toc192668442"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4、数据记录、审核与保存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56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"_Toc192668443"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（三）质量评估要求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112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"_Toc192668444"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1、准备阶段质量评估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112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"_Toc192668445"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2、实施阶段质量评估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112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"_Toc192668446"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3、成果阶段质量评估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_Toc192668446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112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"_Toc192668447"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4、跟踪整改及报告编制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4"/>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56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"_Toc192668448"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（四）质量管理报告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112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"_Toc192668449"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bCs/>
              <w:sz w:val="28"/>
              <w:szCs w:val="28"/>
              <w:u w:val="none"/>
            </w:rPr>
            <w:t>1、年度报告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3"/>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left="1120"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"_Toc192668450"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bCs/>
              <w:sz w:val="28"/>
              <w:szCs w:val="28"/>
              <w:u w:val="none"/>
            </w:rPr>
            <w:t>2、即时报告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_Toc192668450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"_Toc192668451"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四、保障措施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0"/>
            <w:keepNext w:val="0"/>
            <w:keepLines w:val="0"/>
            <w:pageBreakBefore w:val="0"/>
            <w:widowControl w:val="0"/>
            <w:tabs>
              <w:tab w:val="right" w:leader="dot" w:pos="8296"/>
            </w:tabs>
            <w:kinsoku/>
            <w:wordWrap/>
            <w:overflowPunct/>
            <w:topLinePunct w:val="0"/>
            <w:autoSpaceDE/>
            <w:autoSpaceDN/>
            <w:bidi w:val="0"/>
            <w:adjustRightInd/>
            <w:snapToGrid/>
            <w:spacing w:line="276" w:lineRule="auto"/>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"_Toc192668452" </w:instrText>
          </w:r>
          <w:r>
            <w:rPr>
              <w:rFonts w:hint="eastAsia" w:ascii="仿宋_GB2312" w:hAnsi="仿宋_GB2312" w:eastAsia="仿宋_GB2312" w:cs="仿宋_GB2312"/>
              <w:sz w:val="28"/>
              <w:szCs w:val="28"/>
            </w:rPr>
            <w:fldChar w:fldCharType="separate"/>
          </w:r>
          <w:r>
            <w:rPr>
              <w:rStyle w:val="36"/>
              <w:rFonts w:hint="eastAsia" w:ascii="仿宋_GB2312" w:hAnsi="仿宋_GB2312" w:eastAsia="仿宋_GB2312" w:cs="仿宋_GB2312"/>
              <w:sz w:val="28"/>
              <w:szCs w:val="28"/>
              <w:u w:val="none"/>
            </w:rPr>
            <w:t>五、质量评估附件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_Toc192668452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sdtContent>
    </w:sdt>
    <w:p>
      <w:pPr>
        <w:pStyle w:val="2"/>
        <w:pageBreakBefore w:val="0"/>
        <w:widowControl w:val="0"/>
        <w:kinsoku/>
        <w:wordWrap/>
        <w:overflowPunct/>
        <w:topLinePunct w:val="0"/>
        <w:autoSpaceDE/>
        <w:autoSpaceDN/>
        <w:bidi w:val="0"/>
        <w:adjustRightInd/>
        <w:snapToGrid/>
        <w:spacing w:before="0" w:after="0" w:line="276" w:lineRule="auto"/>
        <w:ind w:firstLine="640"/>
        <w:textAlignment w:val="auto"/>
        <w:rPr>
          <w:rFonts w:hint="eastAsia" w:ascii="仿宋_GB2312" w:hAnsi="仿宋_GB2312" w:eastAsia="仿宋_GB2312" w:cs="仿宋_GB2312"/>
          <w:b w:val="0"/>
          <w:sz w:val="30"/>
          <w:szCs w:val="30"/>
        </w:rPr>
        <w:sectPr>
          <w:footerReference r:id="rId11" w:type="default"/>
          <w:pgSz w:w="11906" w:h="16838"/>
          <w:pgMar w:top="1440" w:right="1800" w:bottom="1440" w:left="1800" w:header="851" w:footer="992" w:gutter="0"/>
          <w:pgNumType w:start="1"/>
          <w:cols w:space="425" w:num="1"/>
          <w:docGrid w:type="lines" w:linePitch="312" w:charSpace="0"/>
        </w:sectPr>
      </w:pPr>
    </w:p>
    <w:bookmarkEnd w:id="0"/>
    <w:p>
      <w:pPr>
        <w:spacing w:line="600" w:lineRule="exact"/>
        <w:ind w:firstLine="640"/>
        <w:rPr>
          <w:rFonts w:ascii="仿宋_GB2312" w:hAnsi="仿宋_GB2312" w:eastAsia="仿宋_GB2312" w:cs="仿宋_GB2312"/>
        </w:rPr>
      </w:pPr>
      <w:r>
        <w:rPr>
          <w:rFonts w:hint="eastAsia" w:ascii="仿宋_GB2312" w:hAnsi="仿宋_GB2312" w:eastAsia="仿宋_GB2312" w:cs="仿宋_GB2312"/>
          <w:sz w:val="32"/>
          <w:szCs w:val="32"/>
        </w:rPr>
        <w:t>根据《自然资源部办公厅关于建立健全海洋生态预警监测体系的通知》（自然资办发〔2021〕52号）、《自然资源部办公厅关于加强海洋生态预警监测质量管理工作的通知》（自然资办函〔2022〕1387号）、《全国海洋生态预警监测总体方案（2021—2025年）》（自然资办发〔2021〕64号）等要求，结合《2025年上海市海洋生态预警监测工作方案》任务安排，为加强和规范2025年上海市海洋生态预警监测工作的质量管理，保证监测数据和资料的真实性、准确性、代表性、完整性和溯源性，制定本方案。具体工作由局防御处负责监督指导，</w:t>
      </w:r>
      <w:r>
        <w:rPr>
          <w:rFonts w:hint="eastAsia" w:ascii="仿宋_GB2312" w:hAnsi="仿宋_GB2312" w:eastAsia="仿宋_GB2312" w:cs="仿宋_GB2312"/>
          <w:sz w:val="32"/>
          <w:szCs w:val="32"/>
          <w:lang w:eastAsia="zh-CN"/>
        </w:rPr>
        <w:t>测报中心</w:t>
      </w:r>
      <w:r>
        <w:rPr>
          <w:rFonts w:hint="eastAsia" w:ascii="仿宋_GB2312" w:hAnsi="仿宋_GB2312" w:eastAsia="仿宋_GB2312" w:cs="仿宋_GB2312"/>
          <w:sz w:val="32"/>
          <w:szCs w:val="32"/>
        </w:rPr>
        <w:t>负责组织实施。</w:t>
      </w:r>
    </w:p>
    <w:p>
      <w:pPr>
        <w:pStyle w:val="2"/>
        <w:spacing w:before="0" w:after="0" w:line="600" w:lineRule="exact"/>
        <w:ind w:firstLine="640"/>
        <w:rPr>
          <w:rFonts w:ascii="Times New Roman" w:hAnsi="Times New Roman" w:eastAsia="黑体" w:cs="Times New Roman"/>
          <w:b w:val="0"/>
          <w:bCs w:val="0"/>
          <w:sz w:val="32"/>
          <w:szCs w:val="32"/>
        </w:rPr>
      </w:pPr>
      <w:bookmarkStart w:id="1" w:name="_Toc192668432"/>
      <w:bookmarkStart w:id="2" w:name="_Toc15419"/>
      <w:r>
        <w:rPr>
          <w:rFonts w:ascii="Times New Roman" w:hAnsi="Times New Roman" w:eastAsia="黑体" w:cs="Times New Roman"/>
          <w:b w:val="0"/>
          <w:bCs w:val="0"/>
          <w:sz w:val="32"/>
          <w:szCs w:val="32"/>
        </w:rPr>
        <w:t>一、工作目标</w:t>
      </w:r>
      <w:bookmarkEnd w:id="1"/>
    </w:p>
    <w:p>
      <w:pPr>
        <w:keepNext/>
        <w:keepLines/>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质量是海洋生态预警监测工作的生命线，是数据资料准确可靠的首要保证。围绕2025年上海市海洋生态预警监测工作，通过强化全过程质量管理，开展内部质量控制和外部质量评估，推进各项监测任务落实落细，监测实施规范高效，监测数据真实可靠，监测成果符合要求，全面提升监测质量，为上海市生态保护修复、海洋防灾减灾和生态资源合理利用等工作提供有力支撑。</w:t>
      </w:r>
    </w:p>
    <w:p>
      <w:pPr>
        <w:pStyle w:val="2"/>
        <w:spacing w:before="0" w:after="0" w:line="600" w:lineRule="exact"/>
        <w:ind w:firstLine="640"/>
        <w:rPr>
          <w:rFonts w:ascii="Times New Roman" w:hAnsi="Times New Roman" w:eastAsia="黑体" w:cs="Times New Roman"/>
          <w:b w:val="0"/>
          <w:bCs w:val="0"/>
          <w:sz w:val="32"/>
          <w:szCs w:val="32"/>
        </w:rPr>
      </w:pPr>
      <w:bookmarkStart w:id="3" w:name="_Toc192668433"/>
      <w:r>
        <w:rPr>
          <w:rFonts w:hint="eastAsia" w:ascii="Times New Roman" w:hAnsi="Times New Roman" w:eastAsia="黑体" w:cs="Times New Roman"/>
          <w:b w:val="0"/>
          <w:bCs w:val="0"/>
          <w:sz w:val="32"/>
          <w:szCs w:val="32"/>
        </w:rPr>
        <w:t>二、</w:t>
      </w:r>
      <w:r>
        <w:rPr>
          <w:rFonts w:ascii="Times New Roman" w:hAnsi="Times New Roman" w:eastAsia="黑体" w:cs="Times New Roman"/>
          <w:b w:val="0"/>
          <w:bCs w:val="0"/>
          <w:sz w:val="32"/>
          <w:szCs w:val="32"/>
        </w:rPr>
        <w:t>工作依据</w:t>
      </w:r>
      <w:bookmarkEnd w:id="2"/>
      <w:bookmarkEnd w:id="3"/>
    </w:p>
    <w:p>
      <w:pPr>
        <w:pStyle w:val="3"/>
      </w:pPr>
      <w:bookmarkStart w:id="4" w:name="_Toc192668434"/>
      <w:r>
        <w:rPr>
          <w:rFonts w:hint="eastAsia"/>
        </w:rPr>
        <w:t>（一）管理依据</w:t>
      </w:r>
      <w:bookmarkEnd w:id="4"/>
    </w:p>
    <w:p>
      <w:pPr>
        <w:spacing w:line="600" w:lineRule="exact"/>
        <w:ind w:firstLine="640"/>
        <w:rPr>
          <w:rFonts w:ascii="仿宋_GB2312" w:hAnsi="仿宋_GB2312" w:eastAsia="仿宋_GB2312" w:cs="仿宋_GB2312"/>
          <w:sz w:val="32"/>
          <w:szCs w:val="32"/>
        </w:rPr>
      </w:pPr>
      <w:bookmarkStart w:id="5" w:name="_Toc19585"/>
      <w:r>
        <w:rPr>
          <w:rFonts w:hint="eastAsia" w:ascii="仿宋_GB2312" w:hAnsi="仿宋_GB2312" w:eastAsia="仿宋_GB2312" w:cs="仿宋_GB2312"/>
          <w:sz w:val="32"/>
          <w:szCs w:val="32"/>
        </w:rPr>
        <w:t>1.《自然资源部办公厅关于建立健全海洋生态预警监测体系的通知》（自然资办发〔2021〕52号）</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2.《自然资源部办公厅关于加强海洋生态预警监测质量管理工作的通知》（自然资办函〔2022〕1387号）</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3.《全国海洋生态预警监测总体方案（2021—2025年）》（自然资办发〔2021〕64号）</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4.《检验检测机构资质认定评审准则》（2023版）</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5.《2025年上海市海洋生态预警监测工作方案》</w:t>
      </w:r>
    </w:p>
    <w:p>
      <w:pPr>
        <w:pStyle w:val="3"/>
      </w:pPr>
      <w:bookmarkStart w:id="6" w:name="_Toc192668435"/>
      <w:r>
        <w:rPr>
          <w:rFonts w:hint="eastAsia"/>
        </w:rPr>
        <w:t>（二）技术依据</w:t>
      </w:r>
      <w:bookmarkEnd w:id="6"/>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1.《海洋监测规范》（GB 17378-2007）</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2.《海洋调查规范》（GB/T 12763）</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3.《海洋监测技术规程》（HY/T 147-2013）</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4.《近岸海域环境监测技术规范》（HJ 442-2020）</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5.《海洋渔业资源调查规范》（SC/T 9403-2012）</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6.《海岛生态指数评价方法》（HY/T 0325-2021）</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7.《滨海湿地生态监测技术规程》（HY/T 080-2005）</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8.《赤潮监测技术规程》（HY/T 069-2005）</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9.《海水入侵监测与评价技术规程》（HY/T 0314-2021）</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10.《滨海土壤盐渍化监测与评价技术规程》（HY/T 0320-2021）</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11.《海-气二氧化碳交换通量监测与评估技术规程》（HY/T 0343-2022）</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12.《海岸带生态系统现状调查与评估技术导则》（HY/T 0460</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13.《地表水环境质量监测规范》（HJ 91-2022）</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14.《海洋调查观测监测档案业务规范》（HY/T 058-2010）</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15.《河口生态系统现状调查技术指南（试行）》</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16.《海洋微塑料监测技术规程（试行）》 </w:t>
      </w:r>
    </w:p>
    <w:p>
      <w:pPr>
        <w:pStyle w:val="2"/>
        <w:spacing w:before="0" w:after="0" w:line="600" w:lineRule="exact"/>
        <w:ind w:firstLine="640"/>
        <w:rPr>
          <w:rFonts w:ascii="Times New Roman" w:hAnsi="Times New Roman" w:eastAsia="黑体" w:cs="Times New Roman"/>
          <w:b w:val="0"/>
          <w:bCs w:val="0"/>
          <w:sz w:val="32"/>
          <w:szCs w:val="32"/>
        </w:rPr>
      </w:pPr>
      <w:bookmarkStart w:id="7" w:name="_Toc192668436"/>
      <w:r>
        <w:rPr>
          <w:rFonts w:ascii="Times New Roman" w:hAnsi="Times New Roman" w:eastAsia="黑体" w:cs="Times New Roman"/>
          <w:b w:val="0"/>
          <w:bCs w:val="0"/>
          <w:sz w:val="32"/>
          <w:szCs w:val="32"/>
        </w:rPr>
        <w:t>三、工作内容</w:t>
      </w:r>
      <w:bookmarkEnd w:id="5"/>
      <w:bookmarkEnd w:id="7"/>
    </w:p>
    <w:p>
      <w:pPr>
        <w:pStyle w:val="3"/>
      </w:pPr>
      <w:bookmarkStart w:id="8" w:name="_Toc9379"/>
      <w:bookmarkStart w:id="9" w:name="_Toc192668437"/>
      <w:r>
        <w:t>（一）质量管理</w:t>
      </w:r>
      <w:bookmarkEnd w:id="8"/>
      <w:r>
        <w:t>内容</w:t>
      </w:r>
      <w:bookmarkEnd w:id="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测报中心</w:t>
      </w:r>
      <w:r>
        <w:rPr>
          <w:rFonts w:hint="eastAsia" w:ascii="仿宋_GB2312" w:hAnsi="仿宋_GB2312" w:eastAsia="仿宋_GB2312" w:cs="仿宋_GB2312"/>
          <w:sz w:val="32"/>
          <w:szCs w:val="32"/>
        </w:rPr>
        <w:t>负责组织实施2025年上海市海洋生态预警监测工作，同步设计同步实施监测工作方案与质量管理工作方案，强化全过程质量管理。落实国家和海区生态预警监测质量管理相关要求，报送监测机构名录、接受监测质量评估、组织监测机构按要求参加实验室能力验证、组织监测数据和资料汇交等。4月底前，通过委托第三方机构的方式，确定项目监测机构和质量评估机构，做好内部质量控制和外部质量评估工作。5月底前，更新监测机构名录库，</w:t>
      </w:r>
      <w:r>
        <w:rPr>
          <w:rFonts w:ascii="Times New Roman" w:hAnsi="Times New Roman" w:eastAsia="仿宋_GB2312" w:cs="Times New Roman"/>
          <w:sz w:val="32"/>
          <w:szCs w:val="32"/>
        </w:rPr>
        <w:t>摸清项目监测机构资质能力情况。</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监测机构应依法取得检验检测机构资质认定证书，并具备与海洋生态预警监测业务相适应的质量管理体系，针对航前准备、海上现场采样、实验室分析和数据报告等开展全过程质量控制，质控手段和质控结果应满足质量管理要求，对监测数据的真实性、全面性、准确性负责。涉及</w:t>
      </w:r>
      <w:r>
        <w:rPr>
          <w:rFonts w:hint="eastAsia" w:ascii="仿宋_GB2312" w:hAnsi="仿宋_GB2312" w:eastAsia="仿宋_GB2312" w:cs="仿宋_GB2312"/>
          <w:sz w:val="32"/>
          <w:szCs w:val="32"/>
          <w:lang w:eastAsia="zh-CN"/>
        </w:rPr>
        <w:t>协作完成</w:t>
      </w:r>
      <w:r>
        <w:rPr>
          <w:rFonts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监测内容，协作机构</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取得</w:t>
      </w:r>
      <w:r>
        <w:rPr>
          <w:rFonts w:hint="eastAsia" w:ascii="仿宋_GB2312" w:hAnsi="仿宋_GB2312" w:eastAsia="仿宋_GB2312" w:cs="仿宋_GB2312"/>
          <w:sz w:val="32"/>
          <w:szCs w:val="32"/>
        </w:rPr>
        <w:t>检验检测机构资质</w:t>
      </w:r>
      <w:r>
        <w:rPr>
          <w:rFonts w:ascii="仿宋_GB2312" w:hAnsi="仿宋_GB2312" w:eastAsia="仿宋_GB2312" w:cs="仿宋_GB2312"/>
          <w:sz w:val="32"/>
          <w:szCs w:val="32"/>
        </w:rPr>
        <w:t>并对</w:t>
      </w:r>
      <w:r>
        <w:rPr>
          <w:rFonts w:hint="eastAsia" w:ascii="仿宋_GB2312" w:hAnsi="仿宋_GB2312" w:eastAsia="仿宋_GB2312" w:cs="仿宋_GB2312"/>
          <w:sz w:val="32"/>
          <w:szCs w:val="32"/>
        </w:rPr>
        <w:t>任务</w:t>
      </w:r>
      <w:r>
        <w:rPr>
          <w:rFonts w:ascii="仿宋_GB2312" w:hAnsi="仿宋_GB2312" w:eastAsia="仿宋_GB2312" w:cs="仿宋_GB2312"/>
          <w:sz w:val="32"/>
          <w:szCs w:val="32"/>
        </w:rPr>
        <w:t>质量负责。</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质量评估机构应具备质量评估相应的职能和能力，配备质量管理的专业人才队伍，拥有监测项目质量管理与评估经验，承担上海市海洋生态预警监测质量评估的具体工作，明确质量控制的要素和内容，加强项目监测机构质量体系运行评估和任务实施过程中质量</w:t>
      </w:r>
      <w:r>
        <w:rPr>
          <w:rFonts w:ascii="仿宋_GB2312" w:hAnsi="仿宋_GB2312" w:eastAsia="仿宋_GB2312" w:cs="仿宋_GB2312"/>
          <w:sz w:val="32"/>
          <w:szCs w:val="32"/>
        </w:rPr>
        <w:t>体系合规性、外控样考核</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海上现场、实验室质控、遥感专项、项目进度、</w:t>
      </w:r>
      <w:r>
        <w:rPr>
          <w:rFonts w:hint="eastAsia" w:ascii="仿宋_GB2312" w:hAnsi="仿宋_GB2312" w:eastAsia="仿宋_GB2312" w:cs="仿宋_GB2312"/>
          <w:sz w:val="32"/>
          <w:szCs w:val="32"/>
        </w:rPr>
        <w:t>成果</w:t>
      </w:r>
      <w:r>
        <w:rPr>
          <w:rFonts w:ascii="仿宋_GB2312" w:hAnsi="仿宋_GB2312" w:eastAsia="仿宋_GB2312" w:cs="仿宋_GB2312"/>
          <w:sz w:val="32"/>
          <w:szCs w:val="32"/>
        </w:rPr>
        <w:t>数据</w:t>
      </w:r>
      <w:r>
        <w:rPr>
          <w:rFonts w:hint="eastAsia" w:ascii="仿宋_GB2312" w:hAnsi="仿宋_GB2312" w:eastAsia="仿宋_GB2312" w:cs="仿宋_GB2312"/>
          <w:sz w:val="32"/>
          <w:szCs w:val="32"/>
        </w:rPr>
        <w:t>质量评估，并对发现问题整改情况进行跟踪验证，全面保障任务实施质量。</w:t>
      </w:r>
    </w:p>
    <w:p>
      <w:pPr>
        <w:pStyle w:val="3"/>
      </w:pPr>
      <w:bookmarkStart w:id="10" w:name="_Toc28876"/>
      <w:bookmarkStart w:id="11" w:name="_Toc192668438"/>
      <w:r>
        <w:rPr>
          <w:rFonts w:hint="eastAsia"/>
        </w:rPr>
        <w:t>（二）</w:t>
      </w:r>
      <w:r>
        <w:t>质量控制</w:t>
      </w:r>
      <w:bookmarkEnd w:id="10"/>
      <w:r>
        <w:t>要求</w:t>
      </w:r>
      <w:bookmarkEnd w:id="11"/>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监测机构承担2025年上海市近海生态趋势性监测、近海典型生态系统现状调查、近海典型生态系统预警监测和专项监测等内容，应确保质量管理体系有效运行，强化监测全过程质量控制，保证数据真实、准确、可追溯。</w:t>
      </w:r>
    </w:p>
    <w:p>
      <w:pPr>
        <w:pStyle w:val="4"/>
      </w:pPr>
      <w:bookmarkStart w:id="12" w:name="_Toc192668439"/>
      <w:r>
        <w:rPr>
          <w:rFonts w:hint="eastAsia"/>
        </w:rPr>
        <w:t>1、确保质量管理体系运行</w:t>
      </w:r>
      <w:bookmarkEnd w:id="12"/>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监测机构应具备开展监测业务所需人员、仪器设备、实验环境等必要条件，明确质量管理部门或质量管理人员。人员配置应满足任务需要，分工合理；各岗位人员应接受必要的培训或经培训考核合格取得相应的资质；应组织对人员是否胜任工作进行能力确认。配置的仪器设备数量、性能、技术指标应满足任务需要；仪器经过检定/校准并且合格/有效，对于不具备检定/校准条件的仪器进行比测或自校，特别是使用快速测试仪器或在线测试仪器时，须进行计量检定/校准或定期比对；标准物质（标样）应具备计量溯源性，尽量采用有证标准物质。执行的标准、规范，包括数据处理方法、评价方法及模型等应现行有效并经过验证或确认，标准、规范应定期查新；新方法新模型应经过专家论证。</w:t>
      </w:r>
    </w:p>
    <w:p>
      <w:pPr>
        <w:pStyle w:val="4"/>
      </w:pPr>
      <w:bookmarkStart w:id="13" w:name="_Toc192668440"/>
      <w:r>
        <w:rPr>
          <w:rFonts w:hint="eastAsia"/>
        </w:rPr>
        <w:t>2、强化外业监测质量控制</w:t>
      </w:r>
      <w:bookmarkEnd w:id="1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监测机构开展采样前需对采样器具、检测试剂等进行航前检查，以确保外业工作的顺利开展，并形成记录。按照监测方案要求或标准规范规定组织开展外业监测，做到监测技术方法科学、质量要求明确。配备外业质量监督人员和定位仪、影像记录仪等设备，采取现场空白、现场平行等质量控制措施，实现对采样过程的有效记录与监督，保证调查监测数据信息、影像资料客观、真实、完整，发现问题及时处置。采样时需对样品的色、嗅、生物现象等特征进行描述，样品标志须清楚规范，样品或信息的采集、运输、贮存、交接、制备和分析测试等应严格遵守规程规范，确保样品质量。漏站、漏采或临时变更站位应说明理由并报备，样品记录应按相关质量体系文件的要求执行。</w:t>
      </w:r>
    </w:p>
    <w:p>
      <w:pPr>
        <w:pStyle w:val="4"/>
      </w:pPr>
      <w:bookmarkStart w:id="14" w:name="_Toc192668441"/>
      <w:r>
        <w:rPr>
          <w:rFonts w:hint="eastAsia"/>
        </w:rPr>
        <w:t>3、强化内业分析质量控制</w:t>
      </w:r>
      <w:bookmarkEnd w:id="14"/>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项目监测机构应按照监测方案要求或标准规范规定，对采集的样品进行分析测试。分析中可采取空白样、加标回收、平行样、密码样、内控样和实验室比对等方式进行</w:t>
      </w:r>
      <w:bookmarkStart w:id="15" w:name="OLE_LINK9"/>
      <w:r>
        <w:rPr>
          <w:rFonts w:hint="eastAsia" w:ascii="仿宋_GB2312" w:hAnsi="仿宋_GB2312" w:eastAsia="仿宋_GB2312" w:cs="仿宋_GB2312"/>
          <w:sz w:val="32"/>
          <w:szCs w:val="32"/>
        </w:rPr>
        <w:t>质量控制</w:t>
      </w:r>
      <w:bookmarkEnd w:id="15"/>
      <w:r>
        <w:rPr>
          <w:rFonts w:hint="eastAsia" w:ascii="仿宋_GB2312" w:hAnsi="仿宋_GB2312" w:eastAsia="仿宋_GB2312" w:cs="仿宋_GB2312"/>
          <w:sz w:val="32"/>
          <w:szCs w:val="32"/>
        </w:rPr>
        <w:t>，并将质控结果在数据报表、报告中予以体现。</w:t>
      </w:r>
    </w:p>
    <w:p>
      <w:pPr>
        <w:pStyle w:val="4"/>
      </w:pPr>
      <w:bookmarkStart w:id="16" w:name="_Toc192668442"/>
      <w:r>
        <w:rPr>
          <w:rFonts w:hint="eastAsia"/>
        </w:rPr>
        <w:t>4、数据记录、审核与保存</w:t>
      </w:r>
      <w:bookmarkEnd w:id="16"/>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监测机构应真实、客观、准确、完整地记录样品采集、样品管理、分析测试、数据处理、结果上报、质量控制等与监测活动相关的信息。各类执行情况报告、技术总结报告等应满足相关格式和内容要求；人员签字应齐全、规范；法定计量单位应规范使用。应按照质量管理体系文件规定，对检测结果实施三级审核。收集的数据资料应有明确的来源确认，应经过质量控制、检验评估，要有对数据进行校验、审核的程序；数据备份充分，数据文件命名应能体现作业过程状态。原始记录（含仪器原生电子记录）、监测数据、监测报告的保存归档应规范完整，保证数据可追溯。</w:t>
      </w:r>
    </w:p>
    <w:p>
      <w:pPr>
        <w:pStyle w:val="3"/>
      </w:pPr>
      <w:bookmarkStart w:id="17" w:name="_Toc80"/>
      <w:bookmarkStart w:id="18" w:name="_Toc192668443"/>
      <w:r>
        <w:rPr>
          <w:rFonts w:hint="eastAsia"/>
        </w:rPr>
        <w:t>（三）</w:t>
      </w:r>
      <w:r>
        <w:t>质量评估</w:t>
      </w:r>
      <w:bookmarkEnd w:id="17"/>
      <w:r>
        <w:rPr>
          <w:rFonts w:hint="eastAsia"/>
        </w:rPr>
        <w:t>要求</w:t>
      </w:r>
      <w:bookmarkEnd w:id="18"/>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质量评估机构对2025年上海市海洋生态预警监测工作实施全过程质量评估，包括质量体系合规性评估、外控样考核、海上现场质量评估、项目实施进度评估、实验室质量评估、专项质量评估、数据可追溯性和质控数据评估等。</w:t>
      </w:r>
    </w:p>
    <w:p>
      <w:pPr>
        <w:pStyle w:val="4"/>
      </w:pPr>
      <w:bookmarkStart w:id="19" w:name="_Toc192668444"/>
      <w:r>
        <w:rPr>
          <w:rFonts w:hint="eastAsia"/>
        </w:rPr>
        <w:t>1、准备阶段</w:t>
      </w:r>
      <w:bookmarkEnd w:id="19"/>
      <w:r>
        <w:rPr>
          <w:rFonts w:hint="eastAsia"/>
        </w:rPr>
        <w:t>质量评估</w:t>
      </w:r>
    </w:p>
    <w:p>
      <w:pPr>
        <w:spacing w:line="600" w:lineRule="exact"/>
        <w:ind w:firstLine="643"/>
        <w:rPr>
          <w:rFonts w:ascii="仿宋_GB2312" w:hAnsi="仿宋_GB2312" w:eastAsia="仿宋_GB2312" w:cs="仿宋_GB2312"/>
          <w:b/>
          <w:bCs/>
          <w:sz w:val="32"/>
          <w:szCs w:val="32"/>
        </w:rPr>
      </w:pPr>
      <w:r>
        <w:rPr>
          <w:rFonts w:hint="eastAsia" w:ascii="仿宋_GB2312" w:hAnsi="仿宋_GB2312" w:eastAsia="仿宋_GB2312" w:cs="仿宋_GB2312"/>
          <w:sz w:val="32"/>
          <w:szCs w:val="32"/>
        </w:rPr>
        <w:t>5月底前，开展质量体系合规性评估，</w:t>
      </w:r>
      <w:r>
        <w:rPr>
          <w:rFonts w:ascii="仿宋_GB2312" w:hAnsi="仿宋_GB2312" w:eastAsia="仿宋_GB2312" w:cs="仿宋_GB2312"/>
          <w:sz w:val="32"/>
          <w:szCs w:val="32"/>
        </w:rPr>
        <w:t>重点</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监测机构</w:t>
      </w:r>
      <w:r>
        <w:rPr>
          <w:rFonts w:hint="eastAsia" w:ascii="仿宋_GB2312" w:hAnsi="仿宋_GB2312" w:eastAsia="仿宋_GB2312" w:cs="仿宋_GB2312"/>
          <w:sz w:val="32"/>
          <w:szCs w:val="32"/>
        </w:rPr>
        <w:t>资质能力、标准方法</w:t>
      </w:r>
      <w:r>
        <w:rPr>
          <w:rFonts w:ascii="仿宋_GB2312" w:hAnsi="仿宋_GB2312" w:eastAsia="仿宋_GB2312" w:cs="仿宋_GB2312"/>
          <w:sz w:val="32"/>
          <w:szCs w:val="32"/>
        </w:rPr>
        <w:t>与上级方案和资质能力认定的一致性</w:t>
      </w:r>
      <w:r>
        <w:rPr>
          <w:rFonts w:hint="eastAsia" w:ascii="仿宋_GB2312" w:hAnsi="仿宋_GB2312" w:eastAsia="仿宋_GB2312" w:cs="仿宋_GB2312"/>
          <w:sz w:val="32"/>
          <w:szCs w:val="32"/>
        </w:rPr>
        <w:t>，还有人员、实验室工作场所和环境条件，仪器设备、化学试剂、样品管理等进行评估，</w:t>
      </w:r>
      <w:bookmarkStart w:id="20" w:name="OLE_LINK6"/>
      <w:bookmarkStart w:id="21" w:name="OLE_LINK5"/>
      <w:r>
        <w:rPr>
          <w:rFonts w:ascii="仿宋_GB2312" w:hAnsi="仿宋_GB2312" w:eastAsia="仿宋_GB2312" w:cs="仿宋_GB2312"/>
          <w:sz w:val="32"/>
          <w:szCs w:val="32"/>
        </w:rPr>
        <w:t>评估表见</w:t>
      </w:r>
      <w:r>
        <w:rPr>
          <w:rFonts w:hint="eastAsia" w:ascii="仿宋_GB2312" w:hAnsi="仿宋_GB2312" w:eastAsia="仿宋_GB2312" w:cs="仿宋_GB2312"/>
          <w:sz w:val="32"/>
          <w:szCs w:val="32"/>
        </w:rPr>
        <w:t>附件1</w:t>
      </w:r>
      <w:bookmarkEnd w:id="20"/>
      <w:bookmarkEnd w:id="21"/>
      <w:r>
        <w:rPr>
          <w:rFonts w:hint="eastAsia" w:ascii="仿宋_GB2312" w:hAnsi="仿宋_GB2312" w:eastAsia="仿宋_GB2312" w:cs="仿宋_GB2312"/>
          <w:sz w:val="32"/>
          <w:szCs w:val="32"/>
        </w:rPr>
        <w:t>。同步组织年度质量管理要求培训。</w:t>
      </w:r>
    </w:p>
    <w:p>
      <w:pPr>
        <w:pStyle w:val="4"/>
      </w:pPr>
      <w:bookmarkStart w:id="22" w:name="_Toc192668445"/>
      <w:r>
        <w:rPr>
          <w:rFonts w:hint="eastAsia"/>
        </w:rPr>
        <w:t>2、实施阶段</w:t>
      </w:r>
      <w:bookmarkEnd w:id="22"/>
      <w:r>
        <w:rPr>
          <w:rFonts w:hint="eastAsia"/>
        </w:rPr>
        <w:t>质量评估</w:t>
      </w:r>
    </w:p>
    <w:p>
      <w:pPr>
        <w:spacing w:line="600" w:lineRule="exact"/>
        <w:ind w:firstLine="64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sz w:val="32"/>
          <w:szCs w:val="32"/>
        </w:rPr>
        <w:t>海上现场质量评估</w:t>
      </w:r>
      <w:r>
        <w:rPr>
          <w:rFonts w:hint="eastAsia" w:ascii="仿宋_GB2312" w:hAnsi="仿宋_GB2312" w:eastAsia="仿宋_GB2312" w:cs="仿宋_GB2312"/>
          <w:sz w:val="32"/>
          <w:szCs w:val="32"/>
        </w:rPr>
        <w:t>：4-8月，根据2025年监测任务的主要内容，开展</w:t>
      </w:r>
      <w:bookmarkStart w:id="23" w:name="OLE_LINK3"/>
      <w:bookmarkStart w:id="24" w:name="OLE_LINK4"/>
      <w:r>
        <w:rPr>
          <w:rFonts w:hint="eastAsia" w:ascii="仿宋_GB2312" w:hAnsi="仿宋_GB2312" w:eastAsia="仿宋_GB2312" w:cs="仿宋_GB2312"/>
          <w:sz w:val="32"/>
          <w:szCs w:val="32"/>
        </w:rPr>
        <w:t>海上现场质量评估</w:t>
      </w:r>
      <w:bookmarkEnd w:id="23"/>
      <w:bookmarkEnd w:id="24"/>
      <w:r>
        <w:rPr>
          <w:rFonts w:hint="eastAsia" w:ascii="仿宋_GB2312" w:hAnsi="仿宋_GB2312" w:eastAsia="仿宋_GB2312" w:cs="仿宋_GB2312"/>
          <w:sz w:val="32"/>
          <w:szCs w:val="32"/>
        </w:rPr>
        <w:t>。根据监测要素和站位情况，在采样过程中随机抽取</w:t>
      </w:r>
      <w:r>
        <w:rPr>
          <w:rFonts w:ascii="仿宋_GB2312" w:hAnsi="仿宋_GB2312" w:eastAsia="仿宋_GB2312" w:cs="仿宋_GB2312"/>
          <w:sz w:val="32"/>
          <w:szCs w:val="32"/>
        </w:rPr>
        <w:t>要素加入密码样，对海</w:t>
      </w:r>
      <w:r>
        <w:rPr>
          <w:rFonts w:hint="eastAsia" w:ascii="仿宋_GB2312" w:hAnsi="仿宋_GB2312" w:eastAsia="仿宋_GB2312" w:cs="仿宋_GB2312"/>
          <w:sz w:val="32"/>
          <w:szCs w:val="32"/>
        </w:rPr>
        <w:t>上</w:t>
      </w:r>
      <w:r>
        <w:rPr>
          <w:rFonts w:ascii="仿宋_GB2312" w:hAnsi="仿宋_GB2312" w:eastAsia="仿宋_GB2312" w:cs="仿宋_GB2312"/>
          <w:sz w:val="32"/>
          <w:szCs w:val="32"/>
        </w:rPr>
        <w:t>现场样品采集等进行质量评估，</w:t>
      </w:r>
      <w:r>
        <w:rPr>
          <w:rFonts w:hint="eastAsia" w:ascii="仿宋_GB2312" w:hAnsi="仿宋_GB2312" w:eastAsia="仿宋_GB2312" w:cs="仿宋_GB2312"/>
          <w:color w:val="000000" w:themeColor="text1"/>
          <w:sz w:val="32"/>
          <w:szCs w:val="32"/>
          <w14:textFill>
            <w14:solidFill>
              <w14:schemeClr w14:val="tx1"/>
            </w14:solidFill>
          </w14:textFill>
        </w:rPr>
        <w:t>同时重点对海上现场采样的海上设施、海上安全、样品采集、样品现场处理及贮存和现场质控进行评估，</w:t>
      </w:r>
      <w:bookmarkStart w:id="25" w:name="OLE_LINK7"/>
      <w:bookmarkStart w:id="26" w:name="OLE_LINK8"/>
      <w:r>
        <w:rPr>
          <w:rFonts w:ascii="仿宋_GB2312" w:hAnsi="仿宋_GB2312" w:eastAsia="仿宋_GB2312" w:cs="仿宋_GB2312"/>
          <w:sz w:val="32"/>
          <w:szCs w:val="32"/>
        </w:rPr>
        <w:t>评估表见</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bookmarkEnd w:id="25"/>
      <w:bookmarkEnd w:id="26"/>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sz w:val="32"/>
          <w:szCs w:val="32"/>
        </w:rPr>
        <w:t>外控样考核</w:t>
      </w:r>
      <w:r>
        <w:rPr>
          <w:rFonts w:hint="eastAsia" w:ascii="仿宋_GB2312" w:hAnsi="仿宋_GB2312" w:eastAsia="仿宋_GB2312" w:cs="仿宋_GB2312"/>
          <w:sz w:val="32"/>
          <w:szCs w:val="32"/>
        </w:rPr>
        <w:t>：6月底前，开展</w:t>
      </w:r>
      <w:bookmarkStart w:id="27" w:name="OLE_LINK2"/>
      <w:bookmarkStart w:id="28" w:name="OLE_LINK1"/>
      <w:r>
        <w:rPr>
          <w:rFonts w:hint="eastAsia" w:ascii="仿宋_GB2312" w:hAnsi="仿宋_GB2312" w:eastAsia="仿宋_GB2312" w:cs="仿宋_GB2312"/>
          <w:sz w:val="32"/>
          <w:szCs w:val="32"/>
        </w:rPr>
        <w:t>外控样考核</w:t>
      </w:r>
      <w:bookmarkEnd w:id="27"/>
      <w:bookmarkEnd w:id="28"/>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根据监测</w:t>
      </w:r>
      <w:r>
        <w:rPr>
          <w:rFonts w:ascii="仿宋_GB2312" w:hAnsi="仿宋_GB2312" w:eastAsia="仿宋_GB2312" w:cs="仿宋_GB2312"/>
          <w:sz w:val="32"/>
          <w:szCs w:val="32"/>
        </w:rPr>
        <w:t>要素</w:t>
      </w:r>
      <w:r>
        <w:rPr>
          <w:rFonts w:hint="eastAsia" w:ascii="仿宋_GB2312" w:hAnsi="仿宋_GB2312" w:eastAsia="仿宋_GB2312" w:cs="仿宋_GB2312"/>
          <w:sz w:val="32"/>
          <w:szCs w:val="32"/>
        </w:rPr>
        <w:t>，设计</w:t>
      </w:r>
      <w:r>
        <w:rPr>
          <w:rFonts w:ascii="Times New Roman" w:hAnsi="Times New Roman" w:eastAsia="仿宋_GB2312" w:cs="Times New Roman"/>
          <w:sz w:val="32"/>
          <w:szCs w:val="32"/>
        </w:rPr>
        <w:t>外控样</w:t>
      </w:r>
      <w:r>
        <w:rPr>
          <w:rFonts w:hint="eastAsia" w:ascii="Times New Roman" w:hAnsi="Times New Roman" w:eastAsia="仿宋_GB2312" w:cs="Times New Roman"/>
          <w:sz w:val="32"/>
          <w:szCs w:val="32"/>
        </w:rPr>
        <w:t>考核</w:t>
      </w:r>
      <w:r>
        <w:rPr>
          <w:rFonts w:ascii="Times New Roman" w:hAnsi="Times New Roman" w:eastAsia="仿宋_GB2312" w:cs="Times New Roman"/>
          <w:sz w:val="32"/>
          <w:szCs w:val="32"/>
        </w:rPr>
        <w:t>要素</w:t>
      </w:r>
      <w:r>
        <w:rPr>
          <w:rFonts w:hint="eastAsia" w:ascii="Times New Roman" w:hAnsi="Times New Roman" w:eastAsia="仿宋_GB2312" w:cs="Times New Roman"/>
          <w:sz w:val="32"/>
          <w:szCs w:val="32"/>
        </w:rPr>
        <w:t>并确定范围，组织开展外控样发样、考核结果报送、数据审查、问题反馈以及跟踪整改等工作。</w:t>
      </w:r>
    </w:p>
    <w:p>
      <w:pPr>
        <w:spacing w:line="600" w:lineRule="exact"/>
        <w:ind w:firstLine="64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项目实施进度评估</w:t>
      </w:r>
      <w:r>
        <w:rPr>
          <w:rFonts w:hint="eastAsia" w:ascii="仿宋_GB2312" w:hAnsi="仿宋_GB2312" w:eastAsia="仿宋_GB2312" w:cs="仿宋_GB2312"/>
          <w:color w:val="000000" w:themeColor="text1"/>
          <w:sz w:val="32"/>
          <w:szCs w:val="32"/>
          <w14:textFill>
            <w14:solidFill>
              <w14:schemeClr w14:val="tx1"/>
            </w14:solidFill>
          </w14:textFill>
        </w:rPr>
        <w:t>：8月底前，开展项目实施进度评估，重点对</w:t>
      </w:r>
      <w:r>
        <w:rPr>
          <w:rFonts w:hint="eastAsia" w:ascii="仿宋_GB2312" w:hAnsi="仿宋_GB2312" w:eastAsia="仿宋_GB2312" w:cs="仿宋_GB2312"/>
          <w:sz w:val="32"/>
          <w:szCs w:val="32"/>
        </w:rPr>
        <w:t>项目监测机构</w:t>
      </w:r>
      <w:r>
        <w:rPr>
          <w:rFonts w:hint="eastAsia" w:ascii="仿宋_GB2312" w:hAnsi="仿宋_GB2312" w:eastAsia="仿宋_GB2312" w:cs="仿宋_GB2312"/>
          <w:color w:val="000000" w:themeColor="text1"/>
          <w:sz w:val="32"/>
          <w:szCs w:val="32"/>
          <w14:textFill>
            <w14:solidFill>
              <w14:schemeClr w14:val="tx1"/>
            </w14:solidFill>
          </w14:textFill>
        </w:rPr>
        <w:t>任务实施进度、项目完整性、后续进度计划和遇到问题及解决方法等进行评估，避免出现项目执行缺项、漏项和逾期等情况，</w:t>
      </w:r>
      <w:r>
        <w:rPr>
          <w:rFonts w:ascii="仿宋_GB2312" w:hAnsi="仿宋_GB2312" w:eastAsia="仿宋_GB2312" w:cs="仿宋_GB2312"/>
          <w:sz w:val="32"/>
          <w:szCs w:val="32"/>
        </w:rPr>
        <w:t>评估表见</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3"/>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实验室质量评估</w:t>
      </w:r>
      <w:r>
        <w:rPr>
          <w:rFonts w:hint="eastAsia" w:ascii="仿宋_GB2312" w:hAnsi="仿宋_GB2312" w:eastAsia="仿宋_GB2312" w:cs="仿宋_GB2312"/>
          <w:color w:val="000000" w:themeColor="text1"/>
          <w:sz w:val="32"/>
          <w:szCs w:val="32"/>
          <w14:textFill>
            <w14:solidFill>
              <w14:schemeClr w14:val="tx1"/>
            </w14:solidFill>
          </w14:textFill>
        </w:rPr>
        <w:t>：9月底前，开展实验室质量评估，重点对</w:t>
      </w:r>
      <w:r>
        <w:rPr>
          <w:rFonts w:hint="eastAsia" w:ascii="Times New Roman" w:hAnsi="Times New Roman" w:eastAsia="仿宋_GB2312" w:cs="Times New Roman"/>
          <w:color w:val="000000" w:themeColor="text1"/>
          <w:sz w:val="32"/>
          <w:szCs w:val="32"/>
          <w14:textFill>
            <w14:solidFill>
              <w14:schemeClr w14:val="tx1"/>
            </w14:solidFill>
          </w14:textFill>
        </w:rPr>
        <w:t>实验室分析的样品</w:t>
      </w:r>
      <w:r>
        <w:rPr>
          <w:rFonts w:ascii="Times New Roman" w:hAnsi="Times New Roman" w:eastAsia="仿宋_GB2312" w:cs="Times New Roman"/>
          <w:color w:val="000000" w:themeColor="text1"/>
          <w:sz w:val="32"/>
          <w:szCs w:val="32"/>
          <w14:textFill>
            <w14:solidFill>
              <w14:schemeClr w14:val="tx1"/>
            </w14:solidFill>
          </w14:textFill>
        </w:rPr>
        <w:t>交接、贮存</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试剂、</w:t>
      </w:r>
      <w:r>
        <w:rPr>
          <w:rFonts w:hint="eastAsia" w:ascii="Times New Roman" w:hAnsi="Times New Roman" w:eastAsia="仿宋_GB2312" w:cs="Times New Roman"/>
          <w:color w:val="000000" w:themeColor="text1"/>
          <w:sz w:val="32"/>
          <w:szCs w:val="32"/>
          <w14:textFill>
            <w14:solidFill>
              <w14:schemeClr w14:val="tx1"/>
            </w14:solidFill>
          </w14:textFill>
        </w:rPr>
        <w:t>分析</w:t>
      </w:r>
      <w:r>
        <w:rPr>
          <w:rFonts w:ascii="Times New Roman" w:hAnsi="Times New Roman" w:eastAsia="仿宋_GB2312" w:cs="Times New Roman"/>
          <w:color w:val="000000" w:themeColor="text1"/>
          <w:sz w:val="32"/>
          <w:szCs w:val="32"/>
          <w14:textFill>
            <w14:solidFill>
              <w14:schemeClr w14:val="tx1"/>
            </w14:solidFill>
          </w14:textFill>
        </w:rPr>
        <w:t>方法</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试验操作与记</w:t>
      </w:r>
      <w:r>
        <w:rPr>
          <w:rFonts w:hint="eastAsia" w:ascii="仿宋_GB2312" w:hAnsi="仿宋_GB2312" w:eastAsia="仿宋_GB2312" w:cs="仿宋_GB2312"/>
          <w:color w:val="000000" w:themeColor="text1"/>
          <w:sz w:val="32"/>
          <w:szCs w:val="32"/>
          <w14:textFill>
            <w14:solidFill>
              <w14:schemeClr w14:val="tx1"/>
            </w14:solidFill>
          </w14:textFill>
        </w:rPr>
        <w:t>录和内部质控等质量进行评估</w:t>
      </w:r>
      <w:bookmarkStart w:id="29" w:name="OLE_LINK10"/>
      <w:bookmarkStart w:id="30" w:name="OLE_LINK11"/>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sz w:val="32"/>
          <w:szCs w:val="32"/>
        </w:rPr>
        <w:t>评估表见</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4</w:t>
      </w:r>
      <w:bookmarkEnd w:id="29"/>
      <w:bookmarkEnd w:id="30"/>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color w:val="000000" w:themeColor="text1"/>
          <w:sz w:val="32"/>
          <w:szCs w:val="32"/>
          <w14:textFill>
            <w14:solidFill>
              <w14:schemeClr w14:val="tx1"/>
            </w14:solidFill>
          </w14:textFill>
        </w:rPr>
        <w:t>遥感识别和现状核查专项质量评估</w:t>
      </w:r>
      <w:r>
        <w:rPr>
          <w:rFonts w:hint="eastAsia" w:ascii="仿宋_GB2312" w:hAnsi="仿宋_GB2312" w:eastAsia="仿宋_GB2312" w:cs="仿宋_GB2312"/>
          <w:color w:val="000000" w:themeColor="text1"/>
          <w:sz w:val="32"/>
          <w:szCs w:val="32"/>
          <w14:textFill>
            <w14:solidFill>
              <w14:schemeClr w14:val="tx1"/>
            </w14:solidFill>
          </w14:textFill>
        </w:rPr>
        <w:t>：9月底前，开展遥感识别和现状核查专项质量评估。重点对遥感数据</w:t>
      </w:r>
      <w:r>
        <w:rPr>
          <w:rFonts w:ascii="仿宋_GB2312" w:hAnsi="仿宋_GB2312" w:eastAsia="仿宋_GB2312" w:cs="仿宋_GB2312"/>
          <w:color w:val="000000" w:themeColor="text1"/>
          <w:sz w:val="32"/>
          <w:szCs w:val="32"/>
          <w14:textFill>
            <w14:solidFill>
              <w14:schemeClr w14:val="tx1"/>
            </w14:solidFill>
          </w14:textFill>
        </w:rPr>
        <w:t>选取质量</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现场核查比例与规范一致性进行评估，同时对</w:t>
      </w:r>
      <w:r>
        <w:rPr>
          <w:rFonts w:hint="eastAsia" w:ascii="仿宋_GB2312" w:hAnsi="仿宋_GB2312" w:eastAsia="仿宋_GB2312" w:cs="仿宋_GB2312"/>
          <w:color w:val="000000" w:themeColor="text1"/>
          <w:sz w:val="32"/>
          <w:szCs w:val="32"/>
          <w14:textFill>
            <w14:solidFill>
              <w14:schemeClr w14:val="tx1"/>
            </w14:solidFill>
          </w14:textFill>
        </w:rPr>
        <w:t>数据资料与工作底图、遥感解译、核查过程和成果数据质量进行评估</w:t>
      </w:r>
      <w:bookmarkStart w:id="31" w:name="OLE_LINK16"/>
      <w:bookmarkStart w:id="32" w:name="OLE_LINK17"/>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sz w:val="32"/>
          <w:szCs w:val="32"/>
        </w:rPr>
        <w:t>评估表见</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5</w:t>
      </w:r>
      <w:bookmarkEnd w:id="31"/>
      <w:bookmarkEnd w:id="32"/>
      <w:r>
        <w:rPr>
          <w:rFonts w:hint="eastAsia" w:ascii="仿宋_GB2312" w:hAnsi="仿宋_GB2312" w:eastAsia="仿宋_GB2312" w:cs="仿宋_GB2312"/>
          <w:color w:val="000000" w:themeColor="text1"/>
          <w:sz w:val="32"/>
          <w:szCs w:val="32"/>
          <w14:textFill>
            <w14:solidFill>
              <w14:schemeClr w14:val="tx1"/>
            </w14:solidFill>
          </w14:textFill>
        </w:rPr>
        <w:t>。</w:t>
      </w:r>
    </w:p>
    <w:p>
      <w:pPr>
        <w:pStyle w:val="4"/>
      </w:pPr>
      <w:bookmarkStart w:id="33" w:name="_Toc192668446"/>
      <w:r>
        <w:rPr>
          <w:rFonts w:hint="eastAsia"/>
        </w:rPr>
        <w:t>3、成果阶段</w:t>
      </w:r>
      <w:bookmarkEnd w:id="33"/>
      <w:r>
        <w:rPr>
          <w:rFonts w:hint="eastAsia"/>
        </w:rPr>
        <w:t>质量评估</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10月底前，对监测成果开展数据可追溯性和质控数据抽样评估，重点对数据结果的溯源性以及质控手段的有效性进行评估</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sz w:val="32"/>
          <w:szCs w:val="32"/>
        </w:rPr>
        <w:t>评估表见</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p>
    <w:p>
      <w:pPr>
        <w:pStyle w:val="4"/>
      </w:pPr>
      <w:bookmarkStart w:id="34" w:name="_Toc192668447"/>
      <w:r>
        <w:rPr>
          <w:rFonts w:hint="eastAsia"/>
        </w:rPr>
        <w:t>4、跟踪整改及报告编制</w:t>
      </w:r>
      <w:bookmarkEnd w:id="34"/>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跟踪项目监测机构对质量评估过程中发现问题的整改情况，</w:t>
      </w:r>
      <w:r>
        <w:rPr>
          <w:rFonts w:ascii="仿宋_GB2312" w:hAnsi="仿宋_GB2312" w:eastAsia="仿宋_GB2312" w:cs="仿宋_GB2312"/>
          <w:sz w:val="32"/>
          <w:szCs w:val="32"/>
        </w:rPr>
        <w:t>11月底前汇总质量评估中发现的问题和整改情况，</w:t>
      </w:r>
      <w:r>
        <w:rPr>
          <w:rFonts w:hint="eastAsia" w:ascii="仿宋_GB2312" w:hAnsi="仿宋_GB2312" w:eastAsia="仿宋_GB2312" w:cs="仿宋_GB2312"/>
          <w:sz w:val="32"/>
          <w:szCs w:val="32"/>
        </w:rPr>
        <w:t>编制质量评估报告，评估监测项目完成质量。</w:t>
      </w:r>
    </w:p>
    <w:p>
      <w:pPr>
        <w:pStyle w:val="3"/>
      </w:pPr>
      <w:bookmarkStart w:id="35" w:name="_Toc192668448"/>
      <w:r>
        <w:t>（四）质量管理报告</w:t>
      </w:r>
      <w:bookmarkEnd w:id="35"/>
    </w:p>
    <w:p>
      <w:pPr>
        <w:spacing w:line="600" w:lineRule="exact"/>
        <w:ind w:firstLine="643"/>
        <w:outlineLvl w:val="2"/>
        <w:rPr>
          <w:rFonts w:ascii="仿宋_GB2312" w:hAnsi="仿宋_GB2312" w:eastAsia="仿宋_GB2312" w:cs="仿宋_GB2312"/>
          <w:b/>
          <w:bCs/>
          <w:sz w:val="32"/>
          <w:szCs w:val="32"/>
        </w:rPr>
      </w:pPr>
      <w:bookmarkStart w:id="36" w:name="_Toc192668449"/>
      <w:r>
        <w:rPr>
          <w:rFonts w:hint="eastAsia" w:ascii="仿宋_GB2312" w:hAnsi="仿宋_GB2312" w:eastAsia="仿宋_GB2312" w:cs="仿宋_GB2312"/>
          <w:b/>
          <w:bCs/>
          <w:sz w:val="32"/>
          <w:szCs w:val="32"/>
        </w:rPr>
        <w:t>1、年度报告</w:t>
      </w:r>
      <w:bookmarkEnd w:id="36"/>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项目监测机构负责编制《</w:t>
      </w:r>
      <w:r>
        <w:rPr>
          <w:rFonts w:ascii="仿宋_GB2312" w:hAnsi="仿宋_GB2312" w:eastAsia="仿宋_GB2312" w:cs="仿宋_GB2312"/>
          <w:sz w:val="32"/>
          <w:szCs w:val="32"/>
        </w:rPr>
        <w:t>2025年××项目质量控制报告》（报告大纲见附件7），</w:t>
      </w:r>
      <w:r>
        <w:rPr>
          <w:rFonts w:hint="eastAsia" w:ascii="仿宋_GB2312" w:hAnsi="仿宋_GB2312" w:eastAsia="仿宋_GB2312" w:cs="仿宋_GB2312"/>
          <w:sz w:val="32"/>
          <w:szCs w:val="32"/>
        </w:rPr>
        <w:t>质量评估机构负责编制《</w:t>
      </w:r>
      <w:r>
        <w:rPr>
          <w:rFonts w:ascii="仿宋_GB2312" w:hAnsi="仿宋_GB2312" w:eastAsia="仿宋_GB2312" w:cs="仿宋_GB2312"/>
          <w:sz w:val="32"/>
          <w:szCs w:val="32"/>
        </w:rPr>
        <w:t>2025年</w:t>
      </w:r>
      <w:r>
        <w:rPr>
          <w:rFonts w:hint="eastAsia" w:ascii="仿宋_GB2312" w:hAnsi="仿宋_GB2312" w:eastAsia="仿宋_GB2312" w:cs="仿宋_GB2312"/>
          <w:sz w:val="32"/>
          <w:szCs w:val="32"/>
        </w:rPr>
        <w:t>上海市</w:t>
      </w:r>
      <w:r>
        <w:rPr>
          <w:rFonts w:ascii="仿宋_GB2312" w:hAnsi="仿宋_GB2312" w:eastAsia="仿宋_GB2312" w:cs="仿宋_GB2312"/>
          <w:sz w:val="32"/>
          <w:szCs w:val="32"/>
        </w:rPr>
        <w:t>海洋生态预警监测质量</w:t>
      </w:r>
      <w:r>
        <w:rPr>
          <w:rFonts w:hint="eastAsia" w:ascii="仿宋_GB2312" w:hAnsi="仿宋_GB2312" w:eastAsia="仿宋_GB2312" w:cs="仿宋_GB2312"/>
          <w:sz w:val="32"/>
          <w:szCs w:val="32"/>
        </w:rPr>
        <w:t>评估</w:t>
      </w:r>
      <w:r>
        <w:rPr>
          <w:rFonts w:ascii="仿宋_GB2312" w:hAnsi="仿宋_GB2312" w:eastAsia="仿宋_GB2312" w:cs="仿宋_GB2312"/>
          <w:sz w:val="32"/>
          <w:szCs w:val="32"/>
        </w:rPr>
        <w:t>报告》，于11月20日前</w:t>
      </w:r>
      <w:r>
        <w:rPr>
          <w:rFonts w:hint="eastAsia" w:ascii="仿宋_GB2312" w:hAnsi="仿宋_GB2312" w:eastAsia="仿宋_GB2312" w:cs="仿宋_GB2312"/>
          <w:sz w:val="32"/>
          <w:szCs w:val="32"/>
          <w:lang w:eastAsia="zh-CN"/>
        </w:rPr>
        <w:t>编制</w:t>
      </w:r>
      <w:r>
        <w:rPr>
          <w:rFonts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报测报中心</w:t>
      </w:r>
      <w:r>
        <w:rPr>
          <w:rFonts w:ascii="仿宋_GB2312" w:hAnsi="仿宋_GB2312" w:eastAsia="仿宋_GB2312" w:cs="仿宋_GB2312"/>
          <w:sz w:val="32"/>
          <w:szCs w:val="32"/>
        </w:rPr>
        <w:t>。</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根据质量管理工作开展情况，</w:t>
      </w:r>
      <w:r>
        <w:rPr>
          <w:rFonts w:hint="eastAsia" w:ascii="仿宋_GB2312" w:hAnsi="仿宋_GB2312" w:eastAsia="仿宋_GB2312" w:cs="仿宋_GB2312"/>
          <w:sz w:val="32"/>
          <w:szCs w:val="32"/>
          <w:lang w:eastAsia="zh-CN"/>
        </w:rPr>
        <w:t>测报中心负责</w:t>
      </w:r>
      <w:r>
        <w:rPr>
          <w:rFonts w:hint="eastAsia" w:ascii="仿宋_GB2312" w:hAnsi="仿宋_GB2312" w:eastAsia="仿宋_GB2312" w:cs="仿宋_GB2312"/>
          <w:sz w:val="32"/>
          <w:szCs w:val="32"/>
        </w:rPr>
        <w:t>编制《</w:t>
      </w:r>
      <w:r>
        <w:rPr>
          <w:rFonts w:ascii="仿宋_GB2312" w:hAnsi="仿宋_GB2312" w:eastAsia="仿宋_GB2312" w:cs="仿宋_GB2312"/>
          <w:sz w:val="32"/>
          <w:szCs w:val="32"/>
        </w:rPr>
        <w:t>2025年上海市海洋生态预警监测质量管理报告》，于12月</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日前编制完成报</w:t>
      </w:r>
      <w:r>
        <w:rPr>
          <w:rFonts w:hint="eastAsia" w:ascii="仿宋_GB2312" w:hAnsi="仿宋_GB2312" w:eastAsia="仿宋_GB2312" w:cs="仿宋_GB2312"/>
          <w:sz w:val="32"/>
          <w:szCs w:val="32"/>
          <w:lang w:eastAsia="zh-CN"/>
        </w:rPr>
        <w:t>市局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质量管理报告包括项目概述、工作依据、质量管理方案编制情况、工作内容、结论及建议等，对本年度海洋生态预警监测质量管理工作情况进行评价，分析存在的问题和成因，提出对策建议。</w:t>
      </w:r>
    </w:p>
    <w:p>
      <w:pPr>
        <w:spacing w:line="600" w:lineRule="exact"/>
        <w:ind w:firstLine="643"/>
        <w:outlineLvl w:val="2"/>
        <w:rPr>
          <w:rFonts w:ascii="仿宋_GB2312" w:hAnsi="仿宋_GB2312" w:eastAsia="仿宋_GB2312" w:cs="仿宋_GB2312"/>
          <w:b/>
          <w:bCs/>
          <w:sz w:val="32"/>
          <w:szCs w:val="32"/>
        </w:rPr>
      </w:pPr>
      <w:bookmarkStart w:id="37" w:name="_Toc192668450"/>
      <w:r>
        <w:rPr>
          <w:rFonts w:hint="eastAsia" w:ascii="仿宋_GB2312" w:hAnsi="仿宋_GB2312" w:eastAsia="仿宋_GB2312" w:cs="仿宋_GB2312"/>
          <w:b/>
          <w:bCs/>
          <w:sz w:val="32"/>
          <w:szCs w:val="32"/>
        </w:rPr>
        <w:t>2、即时报告</w:t>
      </w:r>
      <w:bookmarkEnd w:id="37"/>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出现①发生质量事故的；②接受国家或地方有关部门组织的监督检查，受到行政处罚的；③需报告的其他重要或重大事项的，需要编制即时报告。即时报告视需要报告事项的性质、程度等综合因素，于1-3日内上报</w:t>
      </w:r>
      <w:r>
        <w:rPr>
          <w:rFonts w:hint="eastAsia" w:ascii="仿宋_GB2312" w:hAnsi="仿宋_GB2312" w:eastAsia="仿宋_GB2312" w:cs="仿宋_GB2312"/>
          <w:sz w:val="32"/>
          <w:szCs w:val="32"/>
          <w:lang w:eastAsia="zh-CN"/>
        </w:rPr>
        <w:t>市局</w:t>
      </w:r>
      <w:r>
        <w:rPr>
          <w:rFonts w:hint="eastAsia" w:ascii="仿宋_GB2312" w:hAnsi="仿宋_GB2312" w:eastAsia="仿宋_GB2312" w:cs="仿宋_GB2312"/>
          <w:sz w:val="32"/>
          <w:szCs w:val="32"/>
        </w:rPr>
        <w:t>，同步报送</w:t>
      </w:r>
      <w:r>
        <w:rPr>
          <w:rFonts w:hint="eastAsia" w:ascii="仿宋_GB2312" w:hAnsi="仿宋_GB2312" w:eastAsia="仿宋_GB2312" w:cs="仿宋_GB2312"/>
          <w:sz w:val="32"/>
          <w:szCs w:val="32"/>
          <w:lang w:eastAsia="zh-CN"/>
        </w:rPr>
        <w:t>东海</w:t>
      </w:r>
      <w:r>
        <w:rPr>
          <w:rFonts w:hint="eastAsia" w:ascii="仿宋_GB2312" w:hAnsi="仿宋_GB2312" w:eastAsia="仿宋_GB2312" w:cs="仿宋_GB2312"/>
          <w:sz w:val="32"/>
          <w:szCs w:val="32"/>
        </w:rPr>
        <w:t>局，并在年度质量管理报告中专节阐述。</w:t>
      </w:r>
    </w:p>
    <w:p>
      <w:pPr>
        <w:pStyle w:val="2"/>
        <w:spacing w:before="0" w:after="0" w:line="600" w:lineRule="exact"/>
        <w:ind w:firstLine="640"/>
        <w:rPr>
          <w:rFonts w:ascii="Times New Roman" w:hAnsi="Times New Roman" w:eastAsia="黑体" w:cs="Times New Roman"/>
          <w:b w:val="0"/>
          <w:bCs w:val="0"/>
          <w:sz w:val="32"/>
          <w:szCs w:val="32"/>
        </w:rPr>
      </w:pPr>
      <w:bookmarkStart w:id="38" w:name="_Toc192668451"/>
      <w:r>
        <w:rPr>
          <w:rFonts w:ascii="Times New Roman" w:hAnsi="Times New Roman" w:eastAsia="黑体" w:cs="Times New Roman"/>
          <w:b w:val="0"/>
          <w:bCs w:val="0"/>
          <w:sz w:val="32"/>
          <w:szCs w:val="32"/>
        </w:rPr>
        <w:t>四、保障措施</w:t>
      </w:r>
      <w:bookmarkEnd w:id="38"/>
    </w:p>
    <w:p>
      <w:pPr>
        <w:spacing w:line="600" w:lineRule="exact"/>
        <w:ind w:firstLine="643"/>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（一）加强组织领导</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落实监测质量控制管理和监督检查分级责任制，建立监测数据溯源体系，制定监测质量监督管理工作机制。确保质量管理方案和监测工作方案同步设计、制定与实施，明确质量管理的目标、任务、分工、职责和进度安排，确定各项监测任务全过程质量管理措施和质量控制指标。</w:t>
      </w:r>
    </w:p>
    <w:p>
      <w:pPr>
        <w:spacing w:line="600" w:lineRule="exact"/>
        <w:ind w:firstLine="643"/>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（二）做好人员培训</w:t>
      </w:r>
    </w:p>
    <w:p>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加强监测质量管理与控制人员、监测技术人员的技术能力培训和职业道德教育，严格岗位能力确认，强化人员能力监控，提高监测人员质量意识和责任意识，确保人员能力胜任岗位要求。</w:t>
      </w:r>
    </w:p>
    <w:p>
      <w:pPr>
        <w:spacing w:line="600" w:lineRule="exact"/>
        <w:ind w:firstLine="643"/>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w:t>
      </w:r>
      <w:r>
        <w:rPr>
          <w:rFonts w:hint="eastAsia" w:ascii="Times New Roman" w:hAnsi="Times New Roman" w:eastAsia="楷体_GB2312" w:cs="Times New Roman"/>
          <w:b/>
          <w:bCs/>
          <w:sz w:val="32"/>
          <w:szCs w:val="32"/>
        </w:rPr>
        <w:t>加强机制保障</w:t>
      </w:r>
    </w:p>
    <w:p>
      <w:pPr>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立专家机制、沟通机制等保障机制，保证监测任务的顺利实施。在监测质量评估过程中启用专家机制，为项目提供专业技术保障；在监测质量评估全过程启用积极沟通机制，保证服务质量，通过建立沟通机制，顺畅监测质量管理沟通、反馈等过程，保证年度监测方案与质量管理方案高质量执行落实。</w:t>
      </w:r>
    </w:p>
    <w:p>
      <w:pPr>
        <w:spacing w:line="600" w:lineRule="exact"/>
        <w:ind w:firstLine="640"/>
        <w:rPr>
          <w:rFonts w:ascii="Times New Roman" w:hAnsi="Times New Roman" w:eastAsia="仿宋_GB2312" w:cs="Times New Roman"/>
          <w:sz w:val="32"/>
          <w:szCs w:val="32"/>
        </w:rPr>
        <w:sectPr>
          <w:footerReference r:id="rId12" w:type="default"/>
          <w:pgSz w:w="11906" w:h="16838"/>
          <w:pgMar w:top="1440" w:right="1800" w:bottom="1440" w:left="1800" w:header="851" w:footer="992" w:gutter="0"/>
          <w:pgNumType w:start="1"/>
          <w:cols w:space="425" w:num="1"/>
          <w:docGrid w:type="lines" w:linePitch="312" w:charSpace="0"/>
        </w:sectPr>
      </w:pPr>
    </w:p>
    <w:p>
      <w:pPr>
        <w:pStyle w:val="2"/>
        <w:spacing w:before="0" w:after="0" w:line="600" w:lineRule="exact"/>
        <w:ind w:firstLine="640"/>
        <w:rPr>
          <w:rFonts w:ascii="Times New Roman" w:hAnsi="Times New Roman" w:eastAsia="黑体" w:cs="Times New Roman"/>
          <w:b w:val="0"/>
          <w:bCs w:val="0"/>
          <w:sz w:val="32"/>
          <w:szCs w:val="32"/>
        </w:rPr>
      </w:pPr>
      <w:bookmarkStart w:id="39" w:name="_Toc192668452"/>
      <w:r>
        <w:rPr>
          <w:rFonts w:hint="eastAsia" w:ascii="Times New Roman" w:hAnsi="Times New Roman" w:eastAsia="黑体" w:cs="Times New Roman"/>
          <w:b w:val="0"/>
          <w:bCs w:val="0"/>
          <w:sz w:val="32"/>
          <w:szCs w:val="32"/>
        </w:rPr>
        <w:t>五</w:t>
      </w:r>
      <w:r>
        <w:rPr>
          <w:rFonts w:ascii="Times New Roman" w:hAnsi="Times New Roman" w:eastAsia="黑体" w:cs="Times New Roman"/>
          <w:b w:val="0"/>
          <w:bCs w:val="0"/>
          <w:sz w:val="32"/>
          <w:szCs w:val="32"/>
        </w:rPr>
        <w:t>、</w:t>
      </w:r>
      <w:r>
        <w:rPr>
          <w:rFonts w:hint="eastAsia" w:ascii="Times New Roman" w:hAnsi="Times New Roman" w:eastAsia="黑体" w:cs="Times New Roman"/>
          <w:b w:val="0"/>
          <w:bCs w:val="0"/>
          <w:sz w:val="32"/>
          <w:szCs w:val="32"/>
        </w:rPr>
        <w:t>质量评估附件</w:t>
      </w:r>
      <w:bookmarkEnd w:id="39"/>
    </w:p>
    <w:p>
      <w:pPr>
        <w:keepNext/>
        <w:keepLines/>
        <w:widowControl/>
        <w:ind w:firstLine="643" w:firstLineChars="0"/>
        <w:jc w:val="left"/>
        <w:outlineLvl w:val="1"/>
        <w:rPr>
          <w:rFonts w:ascii="宋体" w:hAnsi="宋体" w:eastAsia="宋体" w:cs="宋体"/>
          <w:b/>
          <w:color w:val="000000" w:themeColor="text1"/>
          <w:kern w:val="0"/>
          <w:sz w:val="32"/>
          <w:szCs w:val="32"/>
          <w14:textFill>
            <w14:solidFill>
              <w14:schemeClr w14:val="tx1"/>
            </w14:solidFill>
          </w14:textFill>
        </w:rPr>
      </w:pPr>
      <w:bookmarkStart w:id="40" w:name="_Toc31871"/>
      <w:bookmarkStart w:id="41" w:name="_Toc192668453"/>
      <w:bookmarkStart w:id="42" w:name="_Toc192596053"/>
      <w:r>
        <w:rPr>
          <w:rFonts w:hint="eastAsia" w:ascii="仿宋_GB2312" w:hAnsi="仿宋_GB2312" w:eastAsia="仿宋_GB2312" w:cs="仿宋_GB2312"/>
          <w:b/>
          <w:color w:val="000000" w:themeColor="text1"/>
          <w:kern w:val="0"/>
          <w:sz w:val="32"/>
          <w:szCs w:val="32"/>
          <w14:textFill>
            <w14:solidFill>
              <w14:schemeClr w14:val="tx1"/>
            </w14:solidFill>
          </w14:textFill>
        </w:rPr>
        <w:t>附件1</w:t>
      </w:r>
    </w:p>
    <w:bookmarkEnd w:id="40"/>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质量体系合规性评估事项</w:t>
      </w:r>
      <w:bookmarkEnd w:id="41"/>
      <w:bookmarkEnd w:id="42"/>
    </w:p>
    <w:tbl>
      <w:tblPr>
        <w:tblStyle w:val="30"/>
        <w:tblW w:w="8931" w:type="dxa"/>
        <w:tblInd w:w="-20" w:type="dxa"/>
        <w:tblLayout w:type="autofit"/>
        <w:tblCellMar>
          <w:top w:w="0" w:type="dxa"/>
          <w:left w:w="108" w:type="dxa"/>
          <w:bottom w:w="0" w:type="dxa"/>
          <w:right w:w="108" w:type="dxa"/>
        </w:tblCellMar>
      </w:tblPr>
      <w:tblGrid>
        <w:gridCol w:w="1418"/>
        <w:gridCol w:w="992"/>
        <w:gridCol w:w="6521"/>
      </w:tblGrid>
      <w:tr>
        <w:tblPrEx>
          <w:tblCellMar>
            <w:top w:w="0" w:type="dxa"/>
            <w:left w:w="108" w:type="dxa"/>
            <w:bottom w:w="0" w:type="dxa"/>
            <w:right w:w="108" w:type="dxa"/>
          </w:tblCellMar>
        </w:tblPrEx>
        <w:trPr>
          <w:trHeight w:val="504" w:hRule="atLeast"/>
        </w:trPr>
        <w:tc>
          <w:tcPr>
            <w:tcW w:w="1418"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类别</w:t>
            </w:r>
          </w:p>
        </w:tc>
        <w:tc>
          <w:tcPr>
            <w:tcW w:w="992" w:type="dxa"/>
            <w:tcBorders>
              <w:top w:val="single" w:color="auto" w:sz="8" w:space="0"/>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序号</w:t>
            </w:r>
          </w:p>
        </w:tc>
        <w:tc>
          <w:tcPr>
            <w:tcW w:w="6521" w:type="dxa"/>
            <w:tcBorders>
              <w:top w:val="single" w:color="auto" w:sz="8" w:space="0"/>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评估事项</w:t>
            </w:r>
          </w:p>
        </w:tc>
      </w:tr>
      <w:tr>
        <w:tblPrEx>
          <w:tblCellMar>
            <w:top w:w="0" w:type="dxa"/>
            <w:left w:w="108" w:type="dxa"/>
            <w:bottom w:w="0" w:type="dxa"/>
            <w:right w:w="108" w:type="dxa"/>
          </w:tblCellMar>
        </w:tblPrEx>
        <w:trPr>
          <w:trHeight w:val="468" w:hRule="atLeast"/>
        </w:trPr>
        <w:tc>
          <w:tcPr>
            <w:tcW w:w="1418" w:type="dxa"/>
            <w:tcBorders>
              <w:top w:val="nil"/>
              <w:left w:val="single" w:color="auto" w:sz="8" w:space="0"/>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资质</w:t>
            </w:r>
          </w:p>
        </w:tc>
        <w:tc>
          <w:tcPr>
            <w:tcW w:w="992"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w:t>
            </w:r>
          </w:p>
        </w:tc>
        <w:tc>
          <w:tcPr>
            <w:tcW w:w="6521"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是否依法取得检验检测机构资质认定证书</w:t>
            </w:r>
          </w:p>
        </w:tc>
      </w:tr>
      <w:tr>
        <w:tblPrEx>
          <w:tblCellMar>
            <w:top w:w="0" w:type="dxa"/>
            <w:left w:w="108" w:type="dxa"/>
            <w:bottom w:w="0" w:type="dxa"/>
            <w:right w:w="108" w:type="dxa"/>
          </w:tblCellMar>
        </w:tblPrEx>
        <w:trPr>
          <w:trHeight w:val="790" w:hRule="atLeast"/>
        </w:trPr>
        <w:tc>
          <w:tcPr>
            <w:tcW w:w="1418" w:type="dxa"/>
            <w:vMerge w:val="restart"/>
            <w:tcBorders>
              <w:top w:val="nil"/>
              <w:left w:val="single" w:color="auto" w:sz="8"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质量方案</w:t>
            </w: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2</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监测点位、监测项目、监测频次等符合监测方案（计划）要求</w:t>
            </w:r>
          </w:p>
        </w:tc>
      </w:tr>
      <w:tr>
        <w:tblPrEx>
          <w:tblCellMar>
            <w:top w:w="0" w:type="dxa"/>
            <w:left w:w="108" w:type="dxa"/>
            <w:bottom w:w="0" w:type="dxa"/>
            <w:right w:w="108" w:type="dxa"/>
          </w:tblCellMar>
        </w:tblPrEx>
        <w:trPr>
          <w:trHeight w:val="790" w:hRule="atLeast"/>
        </w:trPr>
        <w:tc>
          <w:tcPr>
            <w:tcW w:w="1418" w:type="dxa"/>
            <w:vMerge w:val="continue"/>
            <w:tcBorders>
              <w:left w:val="single" w:color="auto" w:sz="8" w:space="0"/>
              <w:bottom w:val="nil"/>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3</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制定年度监测质量管理方案（计划）</w:t>
            </w:r>
          </w:p>
        </w:tc>
      </w:tr>
      <w:tr>
        <w:tblPrEx>
          <w:tblCellMar>
            <w:top w:w="0" w:type="dxa"/>
            <w:left w:w="108" w:type="dxa"/>
            <w:bottom w:w="0" w:type="dxa"/>
            <w:right w:w="108" w:type="dxa"/>
          </w:tblCellMar>
        </w:tblPrEx>
        <w:trPr>
          <w:trHeight w:val="780" w:hRule="atLeast"/>
        </w:trPr>
        <w:tc>
          <w:tcPr>
            <w:tcW w:w="1418" w:type="dxa"/>
            <w:vMerge w:val="continue"/>
            <w:tcBorders>
              <w:left w:val="single" w:color="auto" w:sz="8" w:space="0"/>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4</w:t>
            </w:r>
          </w:p>
        </w:tc>
        <w:tc>
          <w:tcPr>
            <w:tcW w:w="6521"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质量管理方案（计划）的目标、任务、分工、职责和进度安排等内容明确</w:t>
            </w:r>
          </w:p>
        </w:tc>
      </w:tr>
      <w:tr>
        <w:tblPrEx>
          <w:tblCellMar>
            <w:top w:w="0" w:type="dxa"/>
            <w:left w:w="108" w:type="dxa"/>
            <w:bottom w:w="0" w:type="dxa"/>
            <w:right w:w="108" w:type="dxa"/>
          </w:tblCellMar>
        </w:tblPrEx>
        <w:trPr>
          <w:trHeight w:val="395" w:hRule="atLeast"/>
        </w:trPr>
        <w:tc>
          <w:tcPr>
            <w:tcW w:w="1418"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人员</w:t>
            </w:r>
          </w:p>
        </w:tc>
        <w:tc>
          <w:tcPr>
            <w:tcW w:w="99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5</w:t>
            </w:r>
          </w:p>
        </w:tc>
        <w:tc>
          <w:tcPr>
            <w:tcW w:w="652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采样、分析、仪器设备管理等与监测活动相关人员均经过上岗能力确认</w:t>
            </w:r>
          </w:p>
        </w:tc>
      </w:tr>
      <w:tr>
        <w:tblPrEx>
          <w:tblCellMar>
            <w:top w:w="0" w:type="dxa"/>
            <w:left w:w="108" w:type="dxa"/>
            <w:bottom w:w="0" w:type="dxa"/>
            <w:right w:w="108" w:type="dxa"/>
          </w:tblCellMar>
        </w:tblPrEx>
        <w:trPr>
          <w:trHeight w:val="395" w:hRule="atLeast"/>
        </w:trPr>
        <w:tc>
          <w:tcPr>
            <w:tcW w:w="1418" w:type="dxa"/>
            <w:vMerge w:val="continue"/>
            <w:tcBorders>
              <w:top w:val="nil"/>
              <w:left w:val="single" w:color="auto" w:sz="8" w:space="0"/>
              <w:bottom w:val="single" w:color="auto" w:sz="4"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vMerge w:val="continue"/>
            <w:tcBorders>
              <w:top w:val="nil"/>
              <w:left w:val="single" w:color="auto" w:sz="8" w:space="0"/>
              <w:bottom w:val="single" w:color="000000" w:sz="8"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6521" w:type="dxa"/>
            <w:vMerge w:val="continue"/>
            <w:tcBorders>
              <w:top w:val="nil"/>
              <w:left w:val="single" w:color="auto" w:sz="8" w:space="0"/>
              <w:bottom w:val="single" w:color="000000" w:sz="8"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80" w:hRule="atLeast"/>
        </w:trPr>
        <w:tc>
          <w:tcPr>
            <w:tcW w:w="1418" w:type="dxa"/>
            <w:vMerge w:val="restart"/>
            <w:tcBorders>
              <w:top w:val="single" w:color="auto" w:sz="4" w:space="0"/>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工作场所和环境条件</w:t>
            </w:r>
          </w:p>
        </w:tc>
        <w:tc>
          <w:tcPr>
            <w:tcW w:w="992" w:type="dxa"/>
            <w:tcBorders>
              <w:top w:val="nil"/>
              <w:left w:val="single" w:color="auto" w:sz="4" w:space="0"/>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6</w:t>
            </w:r>
          </w:p>
        </w:tc>
        <w:tc>
          <w:tcPr>
            <w:tcW w:w="6521"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实验室通风条件满足要求</w:t>
            </w:r>
          </w:p>
        </w:tc>
      </w:tr>
      <w:tr>
        <w:tblPrEx>
          <w:tblCellMar>
            <w:top w:w="0" w:type="dxa"/>
            <w:left w:w="108" w:type="dxa"/>
            <w:bottom w:w="0" w:type="dxa"/>
            <w:right w:w="108" w:type="dxa"/>
          </w:tblCellMar>
        </w:tblPrEx>
        <w:trPr>
          <w:trHeight w:val="1205" w:hRule="atLeast"/>
        </w:trPr>
        <w:tc>
          <w:tcPr>
            <w:tcW w:w="1418" w:type="dxa"/>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7</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没有粉尘、噪声、震动、电磁辐射等影响实验室分析</w:t>
            </w:r>
          </w:p>
        </w:tc>
      </w:tr>
      <w:tr>
        <w:tblPrEx>
          <w:tblCellMar>
            <w:top w:w="0" w:type="dxa"/>
            <w:left w:w="108" w:type="dxa"/>
            <w:bottom w:w="0" w:type="dxa"/>
            <w:right w:w="108" w:type="dxa"/>
          </w:tblCellMar>
        </w:tblPrEx>
        <w:trPr>
          <w:trHeight w:val="790" w:hRule="atLeast"/>
        </w:trPr>
        <w:tc>
          <w:tcPr>
            <w:tcW w:w="1418" w:type="dxa"/>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8</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将有相互影响的测试工作有效隔离，不存在相互干扰的现象</w:t>
            </w:r>
          </w:p>
        </w:tc>
      </w:tr>
      <w:tr>
        <w:tblPrEx>
          <w:tblCellMar>
            <w:top w:w="0" w:type="dxa"/>
            <w:left w:w="108" w:type="dxa"/>
            <w:bottom w:w="0" w:type="dxa"/>
            <w:right w:w="108" w:type="dxa"/>
          </w:tblCellMar>
        </w:tblPrEx>
        <w:trPr>
          <w:trHeight w:val="790" w:hRule="atLeast"/>
        </w:trPr>
        <w:tc>
          <w:tcPr>
            <w:tcW w:w="1418" w:type="dxa"/>
            <w:vMerge w:val="continue"/>
            <w:tcBorders>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9</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实验室清洁，不放置与实验无关的物品</w:t>
            </w:r>
          </w:p>
        </w:tc>
      </w:tr>
      <w:tr>
        <w:tblPrEx>
          <w:tblCellMar>
            <w:top w:w="0" w:type="dxa"/>
            <w:left w:w="108" w:type="dxa"/>
            <w:bottom w:w="0" w:type="dxa"/>
            <w:right w:w="108" w:type="dxa"/>
          </w:tblCellMar>
        </w:tblPrEx>
        <w:trPr>
          <w:trHeight w:val="1205" w:hRule="atLeast"/>
        </w:trPr>
        <w:tc>
          <w:tcPr>
            <w:tcW w:w="1418" w:type="dxa"/>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10</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天平室远离震源、灰尘区、腐蚀性气体区和高温场所，天平工作台稳固，室内无明显的气流存在，有措施防止阳光直射</w:t>
            </w:r>
          </w:p>
        </w:tc>
      </w:tr>
      <w:tr>
        <w:tblPrEx>
          <w:tblCellMar>
            <w:top w:w="0" w:type="dxa"/>
            <w:left w:w="108" w:type="dxa"/>
            <w:bottom w:w="0" w:type="dxa"/>
            <w:right w:w="108" w:type="dxa"/>
          </w:tblCellMar>
        </w:tblPrEx>
        <w:trPr>
          <w:trHeight w:val="1205" w:hRule="atLeast"/>
        </w:trPr>
        <w:tc>
          <w:tcPr>
            <w:tcW w:w="1418" w:type="dxa"/>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11</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对天平室及其它有要求的仪器设备室进行温度、湿度控制并记录</w:t>
            </w:r>
          </w:p>
        </w:tc>
      </w:tr>
      <w:tr>
        <w:tblPrEx>
          <w:tblCellMar>
            <w:top w:w="0" w:type="dxa"/>
            <w:left w:w="108" w:type="dxa"/>
            <w:bottom w:w="0" w:type="dxa"/>
            <w:right w:w="108" w:type="dxa"/>
          </w:tblCellMar>
        </w:tblPrEx>
        <w:trPr>
          <w:trHeight w:val="1304" w:hRule="atLeast"/>
        </w:trPr>
        <w:tc>
          <w:tcPr>
            <w:tcW w:w="1418" w:type="dxa"/>
            <w:vMerge w:val="continue"/>
            <w:tcBorders>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12</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安放仪器的房间环境符合仪器的使用要求</w:t>
            </w:r>
          </w:p>
        </w:tc>
      </w:tr>
      <w:tr>
        <w:tblPrEx>
          <w:tblCellMar>
            <w:top w:w="0" w:type="dxa"/>
            <w:left w:w="108" w:type="dxa"/>
            <w:bottom w:w="0" w:type="dxa"/>
            <w:right w:w="108" w:type="dxa"/>
          </w:tblCellMar>
        </w:tblPrEx>
        <w:trPr>
          <w:trHeight w:val="1620" w:hRule="atLeast"/>
        </w:trPr>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仪器设备</w:t>
            </w: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13</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正确配备仪器设备，有仪器设备年度检定</w:t>
            </w:r>
            <w:r>
              <w:rPr>
                <w:rFonts w:hint="eastAsia" w:ascii="等线" w:hAnsi="等线" w:eastAsia="等线" w:cs="宋体"/>
                <w:b/>
                <w:bCs/>
                <w:color w:val="000000"/>
                <w:kern w:val="0"/>
                <w:szCs w:val="28"/>
              </w:rPr>
              <w:t>/</w:t>
            </w:r>
            <w:r>
              <w:rPr>
                <w:rFonts w:hint="eastAsia" w:ascii="仿宋_GB2312" w:hAnsi="仿宋" w:eastAsia="仿宋_GB2312" w:cs="宋体"/>
                <w:b/>
                <w:bCs/>
                <w:color w:val="000000"/>
                <w:kern w:val="0"/>
                <w:szCs w:val="28"/>
              </w:rPr>
              <w:t>校准计划，仪器设备在有效的量值溯源周期内使用</w:t>
            </w:r>
          </w:p>
        </w:tc>
      </w:tr>
      <w:tr>
        <w:tblPrEx>
          <w:tblCellMar>
            <w:top w:w="0" w:type="dxa"/>
            <w:left w:w="108" w:type="dxa"/>
            <w:bottom w:w="0" w:type="dxa"/>
            <w:right w:w="108" w:type="dxa"/>
          </w:tblCellMar>
        </w:tblPrEx>
        <w:trPr>
          <w:trHeight w:val="79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14</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仪器设备状态标识正确</w:t>
            </w:r>
          </w:p>
        </w:tc>
      </w:tr>
      <w:tr>
        <w:tblPrEx>
          <w:tblCellMar>
            <w:top w:w="0" w:type="dxa"/>
            <w:left w:w="108" w:type="dxa"/>
            <w:bottom w:w="0" w:type="dxa"/>
            <w:right w:w="108" w:type="dxa"/>
          </w:tblCellMar>
        </w:tblPrEx>
        <w:trPr>
          <w:trHeight w:val="1205"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15</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使用仪器设备应认真检查其状态，使用记录填写及时，内容完整、可追溯</w:t>
            </w:r>
          </w:p>
        </w:tc>
      </w:tr>
      <w:tr>
        <w:tblPrEx>
          <w:tblCellMar>
            <w:top w:w="0" w:type="dxa"/>
            <w:left w:w="108" w:type="dxa"/>
            <w:bottom w:w="0" w:type="dxa"/>
            <w:right w:w="108" w:type="dxa"/>
          </w:tblCellMar>
        </w:tblPrEx>
        <w:trPr>
          <w:trHeight w:val="790"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16</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有标准物质清单和出入库登记表，领用记录完整</w:t>
            </w:r>
          </w:p>
        </w:tc>
      </w:tr>
      <w:tr>
        <w:tblPrEx>
          <w:tblCellMar>
            <w:top w:w="0" w:type="dxa"/>
            <w:left w:w="108" w:type="dxa"/>
            <w:bottom w:w="0" w:type="dxa"/>
            <w:right w:w="108" w:type="dxa"/>
          </w:tblCellMar>
        </w:tblPrEx>
        <w:trPr>
          <w:trHeight w:val="1205"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17</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当需要利用期间核查以保持设备的可信度时，进行期间核查</w:t>
            </w:r>
          </w:p>
        </w:tc>
      </w:tr>
      <w:tr>
        <w:tblPrEx>
          <w:tblCellMar>
            <w:top w:w="0" w:type="dxa"/>
            <w:left w:w="108" w:type="dxa"/>
            <w:bottom w:w="0" w:type="dxa"/>
            <w:right w:w="108" w:type="dxa"/>
          </w:tblCellMar>
        </w:tblPrEx>
        <w:trPr>
          <w:trHeight w:val="800" w:hRule="atLeast"/>
        </w:trPr>
        <w:tc>
          <w:tcPr>
            <w:tcW w:w="1418" w:type="dxa"/>
            <w:vMerge w:val="restart"/>
            <w:tcBorders>
              <w:top w:val="single" w:color="auto" w:sz="4" w:space="0"/>
              <w:left w:val="single" w:color="auto" w:sz="8"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化学试剂</w:t>
            </w: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18</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化学试剂存储符合要求，配置的试剂存放正确</w:t>
            </w:r>
          </w:p>
        </w:tc>
      </w:tr>
      <w:tr>
        <w:tblPrEx>
          <w:tblCellMar>
            <w:top w:w="0" w:type="dxa"/>
            <w:left w:w="108" w:type="dxa"/>
            <w:bottom w:w="0" w:type="dxa"/>
            <w:right w:w="108" w:type="dxa"/>
          </w:tblCellMar>
        </w:tblPrEx>
        <w:trPr>
          <w:trHeight w:val="792" w:hRule="atLeast"/>
        </w:trPr>
        <w:tc>
          <w:tcPr>
            <w:tcW w:w="1418" w:type="dxa"/>
            <w:vMerge w:val="continue"/>
            <w:tcBorders>
              <w:left w:val="single" w:color="auto" w:sz="8" w:space="0"/>
              <w:bottom w:val="nil"/>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19</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试剂溶液标签完整、规范，填写内容全面，如有名称、浓度、配置日期、有效期和配置人等信息</w:t>
            </w:r>
          </w:p>
        </w:tc>
      </w:tr>
      <w:tr>
        <w:tblPrEx>
          <w:tblCellMar>
            <w:top w:w="0" w:type="dxa"/>
            <w:left w:w="108" w:type="dxa"/>
            <w:bottom w:w="0" w:type="dxa"/>
            <w:right w:w="108" w:type="dxa"/>
          </w:tblCellMar>
        </w:tblPrEx>
        <w:trPr>
          <w:trHeight w:val="790" w:hRule="atLeast"/>
        </w:trPr>
        <w:tc>
          <w:tcPr>
            <w:tcW w:w="1418" w:type="dxa"/>
            <w:vMerge w:val="continue"/>
            <w:tcBorders>
              <w:left w:val="single" w:color="auto" w:sz="8"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20</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使用符合检测要求的纯水，合格的纯水有相应标识</w:t>
            </w:r>
          </w:p>
        </w:tc>
      </w:tr>
      <w:tr>
        <w:tblPrEx>
          <w:tblCellMar>
            <w:top w:w="0" w:type="dxa"/>
            <w:left w:w="108" w:type="dxa"/>
            <w:bottom w:w="0" w:type="dxa"/>
            <w:right w:w="108" w:type="dxa"/>
          </w:tblCellMar>
        </w:tblPrEx>
        <w:trPr>
          <w:trHeight w:val="792" w:hRule="atLeast"/>
        </w:trPr>
        <w:tc>
          <w:tcPr>
            <w:tcW w:w="1418" w:type="dxa"/>
            <w:vMerge w:val="continue"/>
            <w:tcBorders>
              <w:left w:val="single" w:color="auto" w:sz="8" w:space="0"/>
              <w:bottom w:val="nil"/>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21</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对购置或制备纯水是否符合实验要求进行检验，并有纯水质量检验记录</w:t>
            </w:r>
          </w:p>
        </w:tc>
      </w:tr>
      <w:tr>
        <w:tblPrEx>
          <w:tblCellMar>
            <w:top w:w="0" w:type="dxa"/>
            <w:left w:w="108" w:type="dxa"/>
            <w:bottom w:w="0" w:type="dxa"/>
            <w:right w:w="108" w:type="dxa"/>
          </w:tblCellMar>
        </w:tblPrEx>
        <w:trPr>
          <w:trHeight w:val="790" w:hRule="atLeast"/>
        </w:trPr>
        <w:tc>
          <w:tcPr>
            <w:tcW w:w="1418" w:type="dxa"/>
            <w:vMerge w:val="continue"/>
            <w:tcBorders>
              <w:left w:val="single" w:color="auto" w:sz="8" w:space="0"/>
              <w:bottom w:val="single" w:color="auto" w:sz="4"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22</w:t>
            </w:r>
          </w:p>
        </w:tc>
        <w:tc>
          <w:tcPr>
            <w:tcW w:w="6521" w:type="dxa"/>
            <w:tcBorders>
              <w:top w:val="nil"/>
              <w:left w:val="single" w:color="auto" w:sz="8"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危险品存储、领用符合相关规定</w:t>
            </w:r>
          </w:p>
        </w:tc>
      </w:tr>
      <w:tr>
        <w:tblPrEx>
          <w:tblCellMar>
            <w:top w:w="0" w:type="dxa"/>
            <w:left w:w="108" w:type="dxa"/>
            <w:bottom w:w="0" w:type="dxa"/>
            <w:right w:w="108" w:type="dxa"/>
          </w:tblCellMar>
        </w:tblPrEx>
        <w:trPr>
          <w:trHeight w:val="558" w:hRule="atLeast"/>
        </w:trPr>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样品管理</w:t>
            </w:r>
          </w:p>
        </w:tc>
        <w:tc>
          <w:tcPr>
            <w:tcW w:w="992" w:type="dxa"/>
            <w:tcBorders>
              <w:top w:val="single" w:color="auto" w:sz="8" w:space="0"/>
              <w:left w:val="single" w:color="auto" w:sz="4"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23</w:t>
            </w:r>
          </w:p>
        </w:tc>
        <w:tc>
          <w:tcPr>
            <w:tcW w:w="6521" w:type="dxa"/>
            <w:tcBorders>
              <w:top w:val="single" w:color="auto" w:sz="8" w:space="0"/>
              <w:left w:val="single" w:color="auto" w:sz="8"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样品有唯一性标识</w:t>
            </w:r>
          </w:p>
        </w:tc>
      </w:tr>
      <w:tr>
        <w:tblPrEx>
          <w:tblCellMar>
            <w:top w:w="0" w:type="dxa"/>
            <w:left w:w="108" w:type="dxa"/>
            <w:bottom w:w="0" w:type="dxa"/>
            <w:right w:w="108" w:type="dxa"/>
          </w:tblCellMar>
        </w:tblPrEx>
        <w:trPr>
          <w:trHeight w:val="81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single" w:color="auto" w:sz="8" w:space="0"/>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24</w:t>
            </w:r>
          </w:p>
        </w:tc>
        <w:tc>
          <w:tcPr>
            <w:tcW w:w="6521" w:type="dxa"/>
            <w:tcBorders>
              <w:top w:val="single" w:color="auto" w:sz="8" w:space="0"/>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样品室分区管理，分区</w:t>
            </w:r>
            <w:r>
              <w:rPr>
                <w:rFonts w:hint="eastAsia" w:ascii="等线" w:hAnsi="等线" w:eastAsia="等线" w:cs="宋体"/>
                <w:bCs/>
                <w:color w:val="000000"/>
                <w:kern w:val="0"/>
                <w:szCs w:val="28"/>
              </w:rPr>
              <w:t xml:space="preserve"> </w:t>
            </w:r>
            <w:r>
              <w:rPr>
                <w:rFonts w:hint="eastAsia" w:ascii="仿宋_GB2312" w:hAnsi="仿宋" w:eastAsia="仿宋_GB2312" w:cs="宋体"/>
                <w:bCs/>
                <w:color w:val="000000"/>
                <w:kern w:val="0"/>
                <w:szCs w:val="28"/>
              </w:rPr>
              <w:t>标识明确</w:t>
            </w:r>
          </w:p>
        </w:tc>
      </w:tr>
      <w:tr>
        <w:tblPrEx>
          <w:tblCellMar>
            <w:top w:w="0" w:type="dxa"/>
            <w:left w:w="108" w:type="dxa"/>
            <w:bottom w:w="0" w:type="dxa"/>
            <w:right w:w="108" w:type="dxa"/>
          </w:tblCellMar>
        </w:tblPrEx>
        <w:trPr>
          <w:trHeight w:val="79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25</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样品管理规范，按分区规定存放样品</w:t>
            </w:r>
          </w:p>
        </w:tc>
      </w:tr>
      <w:tr>
        <w:tblPrEx>
          <w:tblCellMar>
            <w:top w:w="0" w:type="dxa"/>
            <w:left w:w="108" w:type="dxa"/>
            <w:bottom w:w="0" w:type="dxa"/>
            <w:right w:w="108" w:type="dxa"/>
          </w:tblCellMar>
        </w:tblPrEx>
        <w:trPr>
          <w:trHeight w:val="79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26</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有完整的样品流转记录</w:t>
            </w:r>
          </w:p>
        </w:tc>
      </w:tr>
      <w:tr>
        <w:tblPrEx>
          <w:tblCellMar>
            <w:top w:w="0" w:type="dxa"/>
            <w:left w:w="108" w:type="dxa"/>
            <w:bottom w:w="0" w:type="dxa"/>
            <w:right w:w="108" w:type="dxa"/>
          </w:tblCellMar>
        </w:tblPrEx>
        <w:trPr>
          <w:trHeight w:val="79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auto" w:sz="4"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27</w:t>
            </w:r>
          </w:p>
        </w:tc>
        <w:tc>
          <w:tcPr>
            <w:tcW w:w="6521" w:type="dxa"/>
            <w:tcBorders>
              <w:top w:val="nil"/>
              <w:left w:val="single" w:color="auto" w:sz="8" w:space="0"/>
              <w:bottom w:val="single" w:color="auto" w:sz="4"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样品交接记录信息量全</w:t>
            </w:r>
          </w:p>
        </w:tc>
      </w:tr>
      <w:tr>
        <w:tblPrEx>
          <w:tblCellMar>
            <w:top w:w="0" w:type="dxa"/>
            <w:left w:w="108" w:type="dxa"/>
            <w:bottom w:w="0" w:type="dxa"/>
            <w:right w:w="108" w:type="dxa"/>
          </w:tblCellMar>
        </w:tblPrEx>
        <w:trPr>
          <w:trHeight w:val="790" w:hRule="atLeast"/>
        </w:trPr>
        <w:tc>
          <w:tcPr>
            <w:tcW w:w="1418"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样品管理</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28</w:t>
            </w:r>
          </w:p>
        </w:tc>
        <w:tc>
          <w:tcPr>
            <w:tcW w:w="652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样品保存符合相关要求</w:t>
            </w:r>
          </w:p>
        </w:tc>
      </w:tr>
      <w:tr>
        <w:tblPrEx>
          <w:tblCellMar>
            <w:top w:w="0" w:type="dxa"/>
            <w:left w:w="108" w:type="dxa"/>
            <w:bottom w:w="0" w:type="dxa"/>
            <w:right w:w="108" w:type="dxa"/>
          </w:tblCellMar>
        </w:tblPrEx>
        <w:trPr>
          <w:trHeight w:val="800" w:hRule="atLeast"/>
        </w:trPr>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方法标准</w:t>
            </w:r>
          </w:p>
        </w:tc>
        <w:tc>
          <w:tcPr>
            <w:tcW w:w="992" w:type="dxa"/>
            <w:tcBorders>
              <w:top w:val="single" w:color="auto" w:sz="4" w:space="0"/>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29</w:t>
            </w:r>
          </w:p>
        </w:tc>
        <w:tc>
          <w:tcPr>
            <w:tcW w:w="6521" w:type="dxa"/>
            <w:tcBorders>
              <w:top w:val="single" w:color="auto" w:sz="4" w:space="0"/>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采样、分析依据的方法标准正确</w:t>
            </w:r>
          </w:p>
        </w:tc>
      </w:tr>
      <w:tr>
        <w:tblPrEx>
          <w:tblCellMar>
            <w:top w:w="0" w:type="dxa"/>
            <w:left w:w="108" w:type="dxa"/>
            <w:bottom w:w="0" w:type="dxa"/>
            <w:right w:w="108" w:type="dxa"/>
          </w:tblCellMar>
        </w:tblPrEx>
        <w:trPr>
          <w:trHeight w:val="790"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30</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使用的标准方法正确并受控</w:t>
            </w:r>
          </w:p>
        </w:tc>
      </w:tr>
      <w:tr>
        <w:tblPrEx>
          <w:tblCellMar>
            <w:top w:w="0" w:type="dxa"/>
            <w:left w:w="108" w:type="dxa"/>
            <w:bottom w:w="0" w:type="dxa"/>
            <w:right w:w="108" w:type="dxa"/>
          </w:tblCellMar>
        </w:tblPrEx>
        <w:trPr>
          <w:trHeight w:val="672"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31</w:t>
            </w:r>
          </w:p>
        </w:tc>
        <w:tc>
          <w:tcPr>
            <w:tcW w:w="6521"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使用的方法标准为现行有效版本</w:t>
            </w:r>
          </w:p>
        </w:tc>
      </w:tr>
      <w:tr>
        <w:tblPrEx>
          <w:tblCellMar>
            <w:top w:w="0" w:type="dxa"/>
            <w:left w:w="108" w:type="dxa"/>
            <w:bottom w:w="0" w:type="dxa"/>
            <w:right w:w="108" w:type="dxa"/>
          </w:tblCellMar>
        </w:tblPrEx>
        <w:trPr>
          <w:trHeight w:val="790"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32</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使用的方法标准经过了验证或确认</w:t>
            </w:r>
          </w:p>
        </w:tc>
      </w:tr>
      <w:tr>
        <w:tblPrEx>
          <w:tblCellMar>
            <w:top w:w="0" w:type="dxa"/>
            <w:left w:w="108" w:type="dxa"/>
            <w:bottom w:w="0" w:type="dxa"/>
            <w:right w:w="108" w:type="dxa"/>
          </w:tblCellMar>
        </w:tblPrEx>
        <w:trPr>
          <w:trHeight w:val="1205"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4"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33</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方法有偏离时，按文件规定进行了方法验证、技术判断，经批准或授权并经委托方同意。</w:t>
            </w:r>
          </w:p>
        </w:tc>
      </w:tr>
      <w:tr>
        <w:tblPrEx>
          <w:tblCellMar>
            <w:top w:w="0" w:type="dxa"/>
            <w:left w:w="108" w:type="dxa"/>
            <w:bottom w:w="0" w:type="dxa"/>
            <w:right w:w="108" w:type="dxa"/>
          </w:tblCellMar>
        </w:tblPrEx>
        <w:trPr>
          <w:trHeight w:val="876" w:hRule="atLeast"/>
        </w:trPr>
        <w:tc>
          <w:tcPr>
            <w:tcW w:w="1418" w:type="dxa"/>
            <w:vMerge w:val="restart"/>
            <w:tcBorders>
              <w:top w:val="single" w:color="auto" w:sz="4" w:space="0"/>
              <w:left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分析测试</w:t>
            </w:r>
          </w:p>
        </w:tc>
        <w:tc>
          <w:tcPr>
            <w:tcW w:w="992"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34</w:t>
            </w:r>
          </w:p>
        </w:tc>
        <w:tc>
          <w:tcPr>
            <w:tcW w:w="6521"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在样品保质期内分析样品</w:t>
            </w:r>
          </w:p>
        </w:tc>
      </w:tr>
      <w:tr>
        <w:tblPrEx>
          <w:tblCellMar>
            <w:top w:w="0" w:type="dxa"/>
            <w:left w:w="108" w:type="dxa"/>
            <w:bottom w:w="0" w:type="dxa"/>
            <w:right w:w="108" w:type="dxa"/>
          </w:tblCellMar>
        </w:tblPrEx>
        <w:trPr>
          <w:trHeight w:val="790" w:hRule="atLeast"/>
        </w:trPr>
        <w:tc>
          <w:tcPr>
            <w:tcW w:w="1418" w:type="dxa"/>
            <w:vMerge w:val="continue"/>
            <w:tcBorders>
              <w:left w:val="single" w:color="auto" w:sz="8"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single" w:color="auto" w:sz="4"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35</w:t>
            </w:r>
          </w:p>
        </w:tc>
        <w:tc>
          <w:tcPr>
            <w:tcW w:w="6521" w:type="dxa"/>
            <w:tcBorders>
              <w:top w:val="nil"/>
              <w:left w:val="single" w:color="auto" w:sz="8" w:space="0"/>
              <w:bottom w:val="single" w:color="auto" w:sz="4"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前处理、仪器操作过程等规范</w:t>
            </w:r>
          </w:p>
        </w:tc>
      </w:tr>
      <w:tr>
        <w:tblPrEx>
          <w:tblCellMar>
            <w:top w:w="0" w:type="dxa"/>
            <w:left w:w="108" w:type="dxa"/>
            <w:bottom w:w="0" w:type="dxa"/>
            <w:right w:w="108" w:type="dxa"/>
          </w:tblCellMar>
        </w:tblPrEx>
        <w:trPr>
          <w:trHeight w:val="1185" w:hRule="atLeast"/>
        </w:trPr>
        <w:tc>
          <w:tcPr>
            <w:tcW w:w="1418" w:type="dxa"/>
            <w:vMerge w:val="continue"/>
            <w:tcBorders>
              <w:left w:val="single" w:color="auto" w:sz="8" w:space="0"/>
              <w:bottom w:val="nil"/>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36</w:t>
            </w:r>
          </w:p>
        </w:tc>
        <w:tc>
          <w:tcPr>
            <w:tcW w:w="652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对前处理、校准曲线绘制、标准样品配置、分析测试、数据处理等过程进行了记录</w:t>
            </w:r>
          </w:p>
        </w:tc>
      </w:tr>
      <w:tr>
        <w:tblPrEx>
          <w:tblCellMar>
            <w:top w:w="0" w:type="dxa"/>
            <w:left w:w="108" w:type="dxa"/>
            <w:bottom w:w="0" w:type="dxa"/>
            <w:right w:w="108" w:type="dxa"/>
          </w:tblCellMar>
        </w:tblPrEx>
        <w:trPr>
          <w:trHeight w:val="768" w:hRule="atLeast"/>
        </w:trPr>
        <w:tc>
          <w:tcPr>
            <w:tcW w:w="1418" w:type="dxa"/>
            <w:vMerge w:val="continue"/>
            <w:tcBorders>
              <w:left w:val="single" w:color="auto" w:sz="8" w:space="0"/>
              <w:bottom w:val="single" w:color="000000" w:sz="8"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single" w:color="auto" w:sz="4" w:space="0"/>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37</w:t>
            </w:r>
          </w:p>
        </w:tc>
        <w:tc>
          <w:tcPr>
            <w:tcW w:w="6521" w:type="dxa"/>
            <w:tcBorders>
              <w:top w:val="single" w:color="auto" w:sz="4" w:space="0"/>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含有未检出结果的检测项目分析测试记录有方法检出限（适用时）</w:t>
            </w:r>
          </w:p>
        </w:tc>
      </w:tr>
      <w:tr>
        <w:tblPrEx>
          <w:tblCellMar>
            <w:top w:w="0" w:type="dxa"/>
            <w:left w:w="108" w:type="dxa"/>
            <w:bottom w:w="0" w:type="dxa"/>
            <w:right w:w="108" w:type="dxa"/>
          </w:tblCellMar>
        </w:tblPrEx>
        <w:trPr>
          <w:trHeight w:val="790" w:hRule="atLeast"/>
        </w:trPr>
        <w:tc>
          <w:tcPr>
            <w:tcW w:w="1418" w:type="dxa"/>
            <w:vMerge w:val="restart"/>
            <w:tcBorders>
              <w:top w:val="nil"/>
              <w:left w:val="single" w:color="auto" w:sz="8"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原始记录数据审核</w:t>
            </w: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38</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样品分析同时采取质控措施（适用时）</w:t>
            </w:r>
          </w:p>
        </w:tc>
      </w:tr>
      <w:tr>
        <w:tblPrEx>
          <w:tblCellMar>
            <w:top w:w="0" w:type="dxa"/>
            <w:left w:w="108" w:type="dxa"/>
            <w:bottom w:w="0" w:type="dxa"/>
            <w:right w:w="108" w:type="dxa"/>
          </w:tblCellMar>
        </w:tblPrEx>
        <w:trPr>
          <w:trHeight w:val="936" w:hRule="atLeast"/>
        </w:trPr>
        <w:tc>
          <w:tcPr>
            <w:tcW w:w="1418" w:type="dxa"/>
            <w:vMerge w:val="continue"/>
            <w:tcBorders>
              <w:left w:val="single" w:color="auto" w:sz="8" w:space="0"/>
              <w:bottom w:val="nil"/>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39</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采样、样品交接、分析测试、仪器使用等原始记录齐全、信息充分，记录完整具有可追溯性</w:t>
            </w:r>
          </w:p>
        </w:tc>
      </w:tr>
      <w:tr>
        <w:tblPrEx>
          <w:tblCellMar>
            <w:top w:w="0" w:type="dxa"/>
            <w:left w:w="108" w:type="dxa"/>
            <w:bottom w:w="0" w:type="dxa"/>
            <w:right w:w="108" w:type="dxa"/>
          </w:tblCellMar>
        </w:tblPrEx>
        <w:trPr>
          <w:trHeight w:val="840" w:hRule="atLeast"/>
        </w:trPr>
        <w:tc>
          <w:tcPr>
            <w:tcW w:w="1418" w:type="dxa"/>
            <w:vMerge w:val="continue"/>
            <w:tcBorders>
              <w:left w:val="single" w:color="auto" w:sz="8"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40</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有采样人员、样品交接人员、分析人员、校核人员等的签字或等效标识</w:t>
            </w:r>
          </w:p>
        </w:tc>
      </w:tr>
      <w:tr>
        <w:tblPrEx>
          <w:tblCellMar>
            <w:top w:w="0" w:type="dxa"/>
            <w:left w:w="108" w:type="dxa"/>
            <w:bottom w:w="0" w:type="dxa"/>
            <w:right w:w="108" w:type="dxa"/>
          </w:tblCellMar>
        </w:tblPrEx>
        <w:trPr>
          <w:trHeight w:val="684" w:hRule="atLeast"/>
        </w:trPr>
        <w:tc>
          <w:tcPr>
            <w:tcW w:w="1418" w:type="dxa"/>
            <w:vMerge w:val="continue"/>
            <w:tcBorders>
              <w:left w:val="single" w:color="auto" w:sz="8"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41</w:t>
            </w:r>
          </w:p>
        </w:tc>
        <w:tc>
          <w:tcPr>
            <w:tcW w:w="6521"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原始记录填写规范，在当时予以记录，没有补记、追记、重抄现象</w:t>
            </w:r>
          </w:p>
        </w:tc>
      </w:tr>
      <w:tr>
        <w:tblPrEx>
          <w:tblCellMar>
            <w:top w:w="0" w:type="dxa"/>
            <w:left w:w="108" w:type="dxa"/>
            <w:bottom w:w="0" w:type="dxa"/>
            <w:right w:w="108" w:type="dxa"/>
          </w:tblCellMar>
        </w:tblPrEx>
        <w:trPr>
          <w:trHeight w:val="708" w:hRule="atLeast"/>
        </w:trPr>
        <w:tc>
          <w:tcPr>
            <w:tcW w:w="1418" w:type="dxa"/>
            <w:vMerge w:val="continue"/>
            <w:tcBorders>
              <w:left w:val="single" w:color="auto" w:sz="8"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42</w:t>
            </w:r>
          </w:p>
        </w:tc>
        <w:tc>
          <w:tcPr>
            <w:tcW w:w="6521"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记录删改符合规定</w:t>
            </w:r>
          </w:p>
        </w:tc>
      </w:tr>
      <w:tr>
        <w:tblPrEx>
          <w:tblCellMar>
            <w:top w:w="0" w:type="dxa"/>
            <w:left w:w="108" w:type="dxa"/>
            <w:bottom w:w="0" w:type="dxa"/>
            <w:right w:w="108" w:type="dxa"/>
          </w:tblCellMar>
        </w:tblPrEx>
        <w:trPr>
          <w:trHeight w:val="790" w:hRule="atLeast"/>
        </w:trPr>
        <w:tc>
          <w:tcPr>
            <w:tcW w:w="1418" w:type="dxa"/>
            <w:vMerge w:val="continue"/>
            <w:tcBorders>
              <w:left w:val="single" w:color="auto" w:sz="8" w:space="0"/>
              <w:bottom w:val="single" w:color="000000" w:sz="8"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43</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原始记录（含电子源生记录）保存及时、规范，便于查询</w:t>
            </w:r>
          </w:p>
        </w:tc>
      </w:tr>
      <w:tr>
        <w:tblPrEx>
          <w:tblCellMar>
            <w:top w:w="0" w:type="dxa"/>
            <w:left w:w="108" w:type="dxa"/>
            <w:bottom w:w="0" w:type="dxa"/>
            <w:right w:w="108" w:type="dxa"/>
          </w:tblCellMar>
        </w:tblPrEx>
        <w:trPr>
          <w:trHeight w:val="804" w:hRule="atLeast"/>
        </w:trPr>
        <w:tc>
          <w:tcPr>
            <w:tcW w:w="1418" w:type="dxa"/>
            <w:vMerge w:val="restart"/>
            <w:tcBorders>
              <w:top w:val="nil"/>
              <w:left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原始记录数据审核</w:t>
            </w:r>
          </w:p>
        </w:tc>
        <w:tc>
          <w:tcPr>
            <w:tcW w:w="992"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44</w:t>
            </w:r>
          </w:p>
        </w:tc>
        <w:tc>
          <w:tcPr>
            <w:tcW w:w="6521"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原始数据的有效数字位数与分析方法要求的有效数字位数一致</w:t>
            </w:r>
          </w:p>
        </w:tc>
      </w:tr>
      <w:tr>
        <w:tblPrEx>
          <w:tblCellMar>
            <w:top w:w="0" w:type="dxa"/>
            <w:left w:w="108" w:type="dxa"/>
            <w:bottom w:w="0" w:type="dxa"/>
            <w:right w:w="108" w:type="dxa"/>
          </w:tblCellMar>
        </w:tblPrEx>
        <w:trPr>
          <w:trHeight w:val="588" w:hRule="atLeast"/>
        </w:trPr>
        <w:tc>
          <w:tcPr>
            <w:tcW w:w="1418" w:type="dxa"/>
            <w:vMerge w:val="continue"/>
            <w:tcBorders>
              <w:left w:val="single" w:color="auto" w:sz="8"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45</w:t>
            </w:r>
          </w:p>
        </w:tc>
        <w:tc>
          <w:tcPr>
            <w:tcW w:w="6521"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有效数字的修约符合相关规定</w:t>
            </w:r>
          </w:p>
        </w:tc>
      </w:tr>
      <w:tr>
        <w:tblPrEx>
          <w:tblCellMar>
            <w:top w:w="0" w:type="dxa"/>
            <w:left w:w="108" w:type="dxa"/>
            <w:bottom w:w="0" w:type="dxa"/>
            <w:right w:w="108" w:type="dxa"/>
          </w:tblCellMar>
        </w:tblPrEx>
        <w:trPr>
          <w:trHeight w:val="588" w:hRule="atLeast"/>
        </w:trPr>
        <w:tc>
          <w:tcPr>
            <w:tcW w:w="1418" w:type="dxa"/>
            <w:vMerge w:val="continue"/>
            <w:tcBorders>
              <w:left w:val="single" w:color="auto" w:sz="8"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46</w:t>
            </w:r>
          </w:p>
        </w:tc>
        <w:tc>
          <w:tcPr>
            <w:tcW w:w="6521" w:type="dxa"/>
            <w:tcBorders>
              <w:top w:val="nil"/>
              <w:left w:val="nil"/>
              <w:bottom w:val="single" w:color="auto"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正确使用法定计量单位</w:t>
            </w:r>
          </w:p>
        </w:tc>
      </w:tr>
      <w:tr>
        <w:tblPrEx>
          <w:tblCellMar>
            <w:top w:w="0" w:type="dxa"/>
            <w:left w:w="108" w:type="dxa"/>
            <w:bottom w:w="0" w:type="dxa"/>
            <w:right w:w="108" w:type="dxa"/>
          </w:tblCellMar>
        </w:tblPrEx>
        <w:trPr>
          <w:trHeight w:val="790" w:hRule="atLeast"/>
        </w:trPr>
        <w:tc>
          <w:tcPr>
            <w:tcW w:w="1418" w:type="dxa"/>
            <w:vMerge w:val="continue"/>
            <w:tcBorders>
              <w:left w:val="single" w:color="auto" w:sz="8"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47</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数据结果报送审核规定明确、落实到位</w:t>
            </w:r>
          </w:p>
        </w:tc>
      </w:tr>
      <w:tr>
        <w:tblPrEx>
          <w:tblCellMar>
            <w:top w:w="0" w:type="dxa"/>
            <w:left w:w="108" w:type="dxa"/>
            <w:bottom w:w="0" w:type="dxa"/>
            <w:right w:w="108" w:type="dxa"/>
          </w:tblCellMar>
        </w:tblPrEx>
        <w:trPr>
          <w:trHeight w:val="790" w:hRule="atLeast"/>
        </w:trPr>
        <w:tc>
          <w:tcPr>
            <w:tcW w:w="1418" w:type="dxa"/>
            <w:vMerge w:val="continue"/>
            <w:tcBorders>
              <w:left w:val="single" w:color="auto" w:sz="8" w:space="0"/>
              <w:bottom w:val="single" w:color="000000" w:sz="8"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48</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报表报告归档及时、规范、完整</w:t>
            </w:r>
          </w:p>
        </w:tc>
      </w:tr>
      <w:tr>
        <w:tblPrEx>
          <w:tblCellMar>
            <w:top w:w="0" w:type="dxa"/>
            <w:left w:w="108" w:type="dxa"/>
            <w:bottom w:w="0" w:type="dxa"/>
            <w:right w:w="108" w:type="dxa"/>
          </w:tblCellMar>
        </w:tblPrEx>
        <w:trPr>
          <w:trHeight w:val="395" w:hRule="atLeast"/>
        </w:trPr>
        <w:tc>
          <w:tcPr>
            <w:tcW w:w="1418"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hint="eastAsia" w:ascii="仿宋_GB2312" w:hAnsi="仿宋" w:eastAsia="仿宋_GB2312" w:cs="宋体"/>
                <w:bCs/>
                <w:color w:val="000000"/>
                <w:kern w:val="0"/>
                <w:szCs w:val="28"/>
                <w:lang w:eastAsia="zh-CN"/>
              </w:rPr>
            </w:pPr>
            <w:r>
              <w:rPr>
                <w:rFonts w:hint="eastAsia" w:ascii="仿宋_GB2312" w:hAnsi="仿宋" w:eastAsia="仿宋_GB2312" w:cs="宋体"/>
                <w:bCs/>
                <w:color w:val="000000"/>
                <w:kern w:val="0"/>
                <w:szCs w:val="28"/>
                <w:lang w:eastAsia="zh-CN"/>
              </w:rPr>
              <w:t>协作机构</w:t>
            </w:r>
          </w:p>
        </w:tc>
        <w:tc>
          <w:tcPr>
            <w:tcW w:w="99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49</w:t>
            </w:r>
          </w:p>
        </w:tc>
        <w:tc>
          <w:tcPr>
            <w:tcW w:w="6521"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具有相应条件和能力的检验检测</w:t>
            </w:r>
            <w:r>
              <w:rPr>
                <w:rFonts w:hint="eastAsia" w:ascii="仿宋_GB2312" w:hAnsi="仿宋" w:eastAsia="仿宋_GB2312" w:cs="宋体"/>
                <w:b/>
                <w:bCs/>
                <w:color w:val="000000"/>
                <w:kern w:val="0"/>
                <w:szCs w:val="28"/>
                <w:lang w:eastAsia="zh-CN"/>
              </w:rPr>
              <w:t>协作</w:t>
            </w:r>
            <w:r>
              <w:rPr>
                <w:rFonts w:hint="eastAsia" w:ascii="仿宋_GB2312" w:hAnsi="仿宋" w:eastAsia="仿宋_GB2312" w:cs="宋体"/>
                <w:b/>
                <w:bCs/>
                <w:color w:val="000000"/>
                <w:kern w:val="0"/>
                <w:szCs w:val="28"/>
              </w:rPr>
              <w:t>机构（适用时）</w:t>
            </w:r>
          </w:p>
        </w:tc>
      </w:tr>
      <w:tr>
        <w:tblPrEx>
          <w:tblCellMar>
            <w:top w:w="0" w:type="dxa"/>
            <w:left w:w="108" w:type="dxa"/>
            <w:bottom w:w="0" w:type="dxa"/>
            <w:right w:w="108" w:type="dxa"/>
          </w:tblCellMar>
        </w:tblPrEx>
        <w:trPr>
          <w:trHeight w:val="395" w:hRule="atLeast"/>
        </w:trPr>
        <w:tc>
          <w:tcPr>
            <w:tcW w:w="1418" w:type="dxa"/>
            <w:vMerge w:val="continue"/>
            <w:tcBorders>
              <w:top w:val="nil"/>
              <w:left w:val="single" w:color="auto" w:sz="8" w:space="0"/>
              <w:bottom w:val="single" w:color="000000" w:sz="8"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vMerge w:val="continue"/>
            <w:tcBorders>
              <w:top w:val="nil"/>
              <w:left w:val="single" w:color="auto" w:sz="8" w:space="0"/>
              <w:bottom w:val="single" w:color="000000" w:sz="8" w:space="0"/>
              <w:right w:val="single" w:color="auto" w:sz="8" w:space="0"/>
            </w:tcBorders>
            <w:vAlign w:val="center"/>
          </w:tcPr>
          <w:p>
            <w:pPr>
              <w:widowControl/>
              <w:ind w:firstLine="0" w:firstLineChars="0"/>
              <w:jc w:val="center"/>
              <w:rPr>
                <w:rFonts w:ascii="仿宋_GB2312" w:hAnsi="仿宋" w:eastAsia="仿宋_GB2312" w:cs="宋体"/>
                <w:b/>
                <w:bCs/>
                <w:color w:val="000000"/>
                <w:kern w:val="0"/>
                <w:szCs w:val="28"/>
              </w:rPr>
            </w:pPr>
          </w:p>
        </w:tc>
        <w:tc>
          <w:tcPr>
            <w:tcW w:w="6521" w:type="dxa"/>
            <w:vMerge w:val="continue"/>
            <w:tcBorders>
              <w:top w:val="nil"/>
              <w:left w:val="single" w:color="auto" w:sz="8" w:space="0"/>
              <w:bottom w:val="single" w:color="000000" w:sz="8" w:space="0"/>
              <w:right w:val="single" w:color="auto" w:sz="8" w:space="0"/>
            </w:tcBorders>
            <w:vAlign w:val="center"/>
          </w:tcPr>
          <w:p>
            <w:pPr>
              <w:widowControl/>
              <w:ind w:firstLine="0" w:firstLineChars="0"/>
              <w:jc w:val="center"/>
              <w:rPr>
                <w:rFonts w:ascii="仿宋_GB2312" w:hAnsi="仿宋" w:eastAsia="仿宋_GB2312" w:cs="宋体"/>
                <w:b/>
                <w:bCs/>
                <w:color w:val="000000"/>
                <w:kern w:val="0"/>
                <w:szCs w:val="28"/>
              </w:rPr>
            </w:pPr>
          </w:p>
        </w:tc>
      </w:tr>
      <w:tr>
        <w:tblPrEx>
          <w:tblCellMar>
            <w:top w:w="0" w:type="dxa"/>
            <w:left w:w="108" w:type="dxa"/>
            <w:bottom w:w="0" w:type="dxa"/>
            <w:right w:w="108" w:type="dxa"/>
          </w:tblCellMar>
        </w:tblPrEx>
        <w:trPr>
          <w:trHeight w:val="790" w:hRule="atLeast"/>
        </w:trPr>
        <w:tc>
          <w:tcPr>
            <w:tcW w:w="1418" w:type="dxa"/>
            <w:vMerge w:val="restart"/>
            <w:tcBorders>
              <w:top w:val="nil"/>
              <w:left w:val="single" w:color="auto" w:sz="8"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质量监督</w:t>
            </w: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50</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有覆盖相关监测能力且熟悉监测目的、程序、方法和结果评价的质量监督员</w:t>
            </w:r>
          </w:p>
        </w:tc>
      </w:tr>
      <w:tr>
        <w:tblPrEx>
          <w:tblCellMar>
            <w:top w:w="0" w:type="dxa"/>
            <w:left w:w="108" w:type="dxa"/>
            <w:bottom w:w="0" w:type="dxa"/>
            <w:right w:w="108" w:type="dxa"/>
          </w:tblCellMar>
        </w:tblPrEx>
        <w:trPr>
          <w:trHeight w:val="790" w:hRule="atLeast"/>
        </w:trPr>
        <w:tc>
          <w:tcPr>
            <w:tcW w:w="1418" w:type="dxa"/>
            <w:vMerge w:val="continue"/>
            <w:tcBorders>
              <w:left w:val="single" w:color="auto" w:sz="8" w:space="0"/>
              <w:bottom w:val="nil"/>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51</w:t>
            </w:r>
          </w:p>
        </w:tc>
        <w:tc>
          <w:tcPr>
            <w:tcW w:w="6521" w:type="dxa"/>
            <w:tcBorders>
              <w:top w:val="nil"/>
              <w:left w:val="single" w:color="auto" w:sz="8" w:space="0"/>
              <w:bottom w:val="single" w:color="000000" w:sz="8"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有质量监督计划，质量监督应覆盖相关领域</w:t>
            </w:r>
          </w:p>
        </w:tc>
      </w:tr>
      <w:tr>
        <w:tblPrEx>
          <w:tblCellMar>
            <w:top w:w="0" w:type="dxa"/>
            <w:left w:w="108" w:type="dxa"/>
            <w:bottom w:w="0" w:type="dxa"/>
            <w:right w:w="108" w:type="dxa"/>
          </w:tblCellMar>
        </w:tblPrEx>
        <w:trPr>
          <w:trHeight w:val="790" w:hRule="atLeast"/>
        </w:trPr>
        <w:tc>
          <w:tcPr>
            <w:tcW w:w="1418" w:type="dxa"/>
            <w:vMerge w:val="continue"/>
            <w:tcBorders>
              <w:left w:val="single" w:color="auto" w:sz="8" w:space="0"/>
              <w:bottom w:val="single" w:color="auto" w:sz="4" w:space="0"/>
              <w:right w:val="single" w:color="auto" w:sz="8" w:space="0"/>
            </w:tcBorders>
            <w:vAlign w:val="center"/>
          </w:tcPr>
          <w:p>
            <w:pPr>
              <w:widowControl/>
              <w:ind w:firstLine="0" w:firstLineChars="0"/>
              <w:jc w:val="center"/>
              <w:rPr>
                <w:rFonts w:ascii="仿宋_GB2312" w:hAnsi="仿宋" w:eastAsia="仿宋_GB2312" w:cs="宋体"/>
                <w:bCs/>
                <w:color w:val="000000"/>
                <w:kern w:val="0"/>
                <w:szCs w:val="28"/>
              </w:rPr>
            </w:pPr>
          </w:p>
        </w:tc>
        <w:tc>
          <w:tcPr>
            <w:tcW w:w="992" w:type="dxa"/>
            <w:tcBorders>
              <w:top w:val="nil"/>
              <w:left w:val="single" w:color="auto" w:sz="8" w:space="0"/>
              <w:bottom w:val="single" w:color="auto" w:sz="4"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52</w:t>
            </w:r>
          </w:p>
        </w:tc>
        <w:tc>
          <w:tcPr>
            <w:tcW w:w="6521" w:type="dxa"/>
            <w:tcBorders>
              <w:top w:val="nil"/>
              <w:left w:val="single" w:color="auto" w:sz="8" w:space="0"/>
              <w:bottom w:val="single" w:color="auto" w:sz="4" w:space="0"/>
              <w:right w:val="single" w:color="auto" w:sz="8"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质量监督记录内容完整、信息量全</w:t>
            </w:r>
          </w:p>
        </w:tc>
      </w:tr>
      <w:tr>
        <w:tblPrEx>
          <w:tblCellMar>
            <w:top w:w="0" w:type="dxa"/>
            <w:left w:w="108" w:type="dxa"/>
            <w:bottom w:w="0" w:type="dxa"/>
            <w:right w:w="108" w:type="dxa"/>
          </w:tblCellMar>
        </w:tblPrEx>
        <w:trPr>
          <w:trHeight w:val="790" w:hRule="atLeast"/>
        </w:trPr>
        <w:tc>
          <w:tcPr>
            <w:tcW w:w="8931" w:type="dxa"/>
            <w:gridSpan w:val="3"/>
            <w:tcBorders>
              <w:top w:val="single" w:color="auto" w:sz="4" w:space="0"/>
            </w:tcBorders>
            <w:vAlign w:val="center"/>
          </w:tcPr>
          <w:p>
            <w:pPr>
              <w:widowControl/>
              <w:ind w:firstLine="0" w:firstLineChars="0"/>
              <w:jc w:val="left"/>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注</w:t>
            </w:r>
            <w:r>
              <w:rPr>
                <w:rFonts w:ascii="仿宋_GB2312" w:hAnsi="仿宋" w:eastAsia="仿宋_GB2312" w:cs="宋体"/>
                <w:bCs/>
                <w:color w:val="000000"/>
                <w:kern w:val="0"/>
                <w:szCs w:val="28"/>
              </w:rPr>
              <w:t>：*</w:t>
            </w:r>
            <w:r>
              <w:rPr>
                <w:rFonts w:hint="eastAsia" w:ascii="仿宋_GB2312" w:hAnsi="仿宋" w:eastAsia="仿宋_GB2312" w:cs="宋体"/>
                <w:bCs/>
                <w:color w:val="000000"/>
                <w:kern w:val="0"/>
                <w:szCs w:val="28"/>
              </w:rPr>
              <w:t>加粗</w:t>
            </w:r>
            <w:r>
              <w:rPr>
                <w:rFonts w:ascii="仿宋_GB2312" w:hAnsi="仿宋" w:eastAsia="仿宋_GB2312" w:cs="宋体"/>
                <w:bCs/>
                <w:color w:val="000000"/>
                <w:kern w:val="0"/>
                <w:szCs w:val="28"/>
              </w:rPr>
              <w:t>为</w:t>
            </w:r>
            <w:r>
              <w:rPr>
                <w:rFonts w:hint="eastAsia" w:ascii="仿宋_GB2312" w:hAnsi="仿宋" w:eastAsia="仿宋_GB2312" w:cs="宋体"/>
                <w:bCs/>
                <w:color w:val="000000"/>
                <w:kern w:val="0"/>
                <w:szCs w:val="28"/>
              </w:rPr>
              <w:t>重点</w:t>
            </w:r>
            <w:r>
              <w:rPr>
                <w:rFonts w:ascii="仿宋_GB2312" w:hAnsi="仿宋" w:eastAsia="仿宋_GB2312" w:cs="宋体"/>
                <w:bCs/>
                <w:color w:val="000000"/>
                <w:kern w:val="0"/>
                <w:szCs w:val="28"/>
              </w:rPr>
              <w:t>评估项</w:t>
            </w:r>
          </w:p>
        </w:tc>
      </w:tr>
    </w:tbl>
    <w:p>
      <w:pPr>
        <w:widowControl/>
        <w:ind w:firstLine="0" w:firstLineChars="0"/>
        <w:jc w:val="center"/>
        <w:rPr>
          <w:rFonts w:ascii="仿宋_GB2312" w:hAnsi="仿宋" w:eastAsia="仿宋_GB2312" w:cs="宋体"/>
          <w:bCs/>
          <w:color w:val="000000"/>
          <w:kern w:val="0"/>
          <w:szCs w:val="28"/>
        </w:rPr>
        <w:sectPr>
          <w:pgSz w:w="11906" w:h="16838"/>
          <w:pgMar w:top="1440" w:right="1803" w:bottom="1440" w:left="1803" w:header="851" w:footer="992" w:gutter="0"/>
          <w:cols w:space="0" w:num="1"/>
          <w:docGrid w:type="lines" w:linePitch="395" w:charSpace="0"/>
        </w:sectPr>
      </w:pPr>
    </w:p>
    <w:p>
      <w:pPr>
        <w:keepNext/>
        <w:keepLines/>
        <w:widowControl/>
        <w:ind w:firstLine="643" w:firstLineChars="0"/>
        <w:jc w:val="left"/>
        <w:outlineLvl w:val="1"/>
        <w:rPr>
          <w:rFonts w:ascii="宋体" w:hAnsi="宋体" w:eastAsia="宋体" w:cs="宋体"/>
          <w:b/>
          <w:color w:val="000000" w:themeColor="text1"/>
          <w:kern w:val="0"/>
          <w:sz w:val="32"/>
          <w:szCs w:val="32"/>
          <w14:textFill>
            <w14:solidFill>
              <w14:schemeClr w14:val="tx1"/>
            </w14:solidFill>
          </w14:textFill>
        </w:rPr>
      </w:pPr>
      <w:bookmarkStart w:id="43" w:name="_Toc15538"/>
      <w:bookmarkStart w:id="44" w:name="_Toc192668454"/>
      <w:bookmarkStart w:id="45" w:name="_Toc192596054"/>
      <w:r>
        <w:rPr>
          <w:rFonts w:hint="eastAsia" w:ascii="仿宋_GB2312" w:hAnsi="仿宋_GB2312" w:eastAsia="仿宋_GB2312" w:cs="仿宋_GB2312"/>
          <w:b/>
          <w:color w:val="000000" w:themeColor="text1"/>
          <w:kern w:val="0"/>
          <w:sz w:val="32"/>
          <w:szCs w:val="32"/>
          <w14:textFill>
            <w14:solidFill>
              <w14:schemeClr w14:val="tx1"/>
            </w14:solidFill>
          </w14:textFill>
        </w:rPr>
        <w:t>附件2</w:t>
      </w:r>
      <w:r>
        <w:rPr>
          <w:rFonts w:hint="eastAsia" w:ascii="宋体" w:hAnsi="宋体" w:eastAsia="宋体" w:cs="宋体"/>
          <w:b/>
          <w:color w:val="000000" w:themeColor="text1"/>
          <w:kern w:val="0"/>
          <w:sz w:val="32"/>
          <w:szCs w:val="32"/>
          <w14:textFill>
            <w14:solidFill>
              <w14:schemeClr w14:val="tx1"/>
            </w14:solidFill>
          </w14:textFill>
        </w:rPr>
        <w:t xml:space="preserve"> </w:t>
      </w:r>
      <w:bookmarkEnd w:id="43"/>
    </w:p>
    <w:p>
      <w:pPr>
        <w:widowControl/>
        <w:ind w:firstLine="0" w:firstLineChars="0"/>
        <w:jc w:val="center"/>
        <w:rPr>
          <w:rFonts w:ascii="仿宋_GB2312" w:hAnsi="仿宋" w:eastAsia="仿宋_GB2312" w:cs="宋体"/>
          <w:b/>
          <w:bCs w:val="0"/>
          <w:color w:val="000000"/>
          <w:kern w:val="0"/>
          <w:szCs w:val="28"/>
        </w:rPr>
      </w:pPr>
      <w:r>
        <w:rPr>
          <w:rFonts w:hint="eastAsia" w:ascii="仿宋_GB2312" w:hAnsi="仿宋" w:eastAsia="仿宋_GB2312" w:cs="宋体"/>
          <w:b/>
          <w:bCs w:val="0"/>
          <w:color w:val="000000"/>
          <w:kern w:val="0"/>
          <w:szCs w:val="28"/>
        </w:rPr>
        <w:t>现场质控评估事项</w:t>
      </w:r>
      <w:bookmarkEnd w:id="44"/>
      <w:bookmarkEnd w:id="45"/>
    </w:p>
    <w:tbl>
      <w:tblPr>
        <w:tblStyle w:val="30"/>
        <w:tblW w:w="5387" w:type="pct"/>
        <w:tblInd w:w="-25" w:type="dxa"/>
        <w:tblLayout w:type="autofit"/>
        <w:tblCellMar>
          <w:top w:w="0" w:type="dxa"/>
          <w:left w:w="108" w:type="dxa"/>
          <w:bottom w:w="0" w:type="dxa"/>
          <w:right w:w="108" w:type="dxa"/>
        </w:tblCellMar>
      </w:tblPr>
      <w:tblGrid>
        <w:gridCol w:w="26"/>
        <w:gridCol w:w="1451"/>
        <w:gridCol w:w="873"/>
        <w:gridCol w:w="3855"/>
        <w:gridCol w:w="2338"/>
        <w:gridCol w:w="632"/>
      </w:tblGrid>
      <w:tr>
        <w:tblPrEx>
          <w:tblCellMar>
            <w:top w:w="0" w:type="dxa"/>
            <w:left w:w="108" w:type="dxa"/>
            <w:bottom w:w="0" w:type="dxa"/>
            <w:right w:w="108" w:type="dxa"/>
          </w:tblCellMar>
        </w:tblPrEx>
        <w:trPr>
          <w:gridBefore w:val="1"/>
          <w:gridAfter w:val="1"/>
          <w:wBefore w:w="14" w:type="pct"/>
          <w:wAfter w:w="345" w:type="pct"/>
          <w:trHeight w:val="288" w:hRule="atLeast"/>
        </w:trPr>
        <w:tc>
          <w:tcPr>
            <w:tcW w:w="79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类别</w:t>
            </w:r>
          </w:p>
        </w:tc>
        <w:tc>
          <w:tcPr>
            <w:tcW w:w="476" w:type="pct"/>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序号</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评估事项</w:t>
            </w:r>
          </w:p>
        </w:tc>
      </w:tr>
      <w:tr>
        <w:tblPrEx>
          <w:tblCellMar>
            <w:top w:w="0" w:type="dxa"/>
            <w:left w:w="108" w:type="dxa"/>
            <w:bottom w:w="0" w:type="dxa"/>
            <w:right w:w="108" w:type="dxa"/>
          </w:tblCellMar>
        </w:tblPrEx>
        <w:trPr>
          <w:gridBefore w:val="1"/>
          <w:gridAfter w:val="1"/>
          <w:wBefore w:w="14" w:type="pct"/>
          <w:wAfter w:w="345" w:type="pct"/>
          <w:trHeight w:val="528" w:hRule="atLeast"/>
        </w:trPr>
        <w:tc>
          <w:tcPr>
            <w:tcW w:w="791" w:type="pct"/>
            <w:vMerge w:val="restart"/>
            <w:tcBorders>
              <w:top w:val="nil"/>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前期准备</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采样人员经本单位能力确认</w:t>
            </w:r>
          </w:p>
        </w:tc>
      </w:tr>
      <w:tr>
        <w:tblPrEx>
          <w:tblCellMar>
            <w:top w:w="0" w:type="dxa"/>
            <w:left w:w="108" w:type="dxa"/>
            <w:bottom w:w="0" w:type="dxa"/>
            <w:right w:w="108" w:type="dxa"/>
          </w:tblCellMar>
        </w:tblPrEx>
        <w:trPr>
          <w:gridBefore w:val="1"/>
          <w:gridAfter w:val="1"/>
          <w:wBefore w:w="14" w:type="pct"/>
          <w:wAfter w:w="345" w:type="pct"/>
          <w:trHeight w:val="576" w:hRule="atLeast"/>
        </w:trPr>
        <w:tc>
          <w:tcPr>
            <w:tcW w:w="791" w:type="pct"/>
            <w:vMerge w:val="continue"/>
            <w:tcBorders>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海上采样前为监测人员办理保险</w:t>
            </w:r>
          </w:p>
        </w:tc>
      </w:tr>
      <w:tr>
        <w:tblPrEx>
          <w:tblCellMar>
            <w:top w:w="0" w:type="dxa"/>
            <w:left w:w="108" w:type="dxa"/>
            <w:bottom w:w="0" w:type="dxa"/>
            <w:right w:w="108" w:type="dxa"/>
          </w:tblCellMar>
        </w:tblPrEx>
        <w:trPr>
          <w:gridBefore w:val="1"/>
          <w:gridAfter w:val="1"/>
          <w:wBefore w:w="14" w:type="pct"/>
          <w:wAfter w:w="345" w:type="pct"/>
          <w:trHeight w:val="672" w:hRule="atLeast"/>
        </w:trPr>
        <w:tc>
          <w:tcPr>
            <w:tcW w:w="791" w:type="pct"/>
            <w:vMerge w:val="continue"/>
            <w:tcBorders>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出海前开展海上安全培训，监测人员熟悉船上应变系统（措施）</w:t>
            </w:r>
          </w:p>
        </w:tc>
      </w:tr>
      <w:tr>
        <w:tblPrEx>
          <w:tblCellMar>
            <w:top w:w="0" w:type="dxa"/>
            <w:left w:w="108" w:type="dxa"/>
            <w:bottom w:w="0" w:type="dxa"/>
            <w:right w:w="108" w:type="dxa"/>
          </w:tblCellMar>
        </w:tblPrEx>
        <w:trPr>
          <w:gridBefore w:val="1"/>
          <w:gridAfter w:val="1"/>
          <w:wBefore w:w="14" w:type="pct"/>
          <w:wAfter w:w="345" w:type="pct"/>
          <w:trHeight w:val="726" w:hRule="atLeast"/>
        </w:trPr>
        <w:tc>
          <w:tcPr>
            <w:tcW w:w="791" w:type="pct"/>
            <w:vMerge w:val="continue"/>
            <w:tcBorders>
              <w:left w:val="single" w:color="auto" w:sz="4" w:space="0"/>
              <w:bottom w:val="nil"/>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4</w:t>
            </w:r>
          </w:p>
        </w:tc>
        <w:tc>
          <w:tcPr>
            <w:tcW w:w="337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样品容器的准备符合规范（包括材质符合要求、洗涤过程符合要求）</w:t>
            </w:r>
          </w:p>
        </w:tc>
      </w:tr>
      <w:tr>
        <w:tblPrEx>
          <w:tblCellMar>
            <w:top w:w="0" w:type="dxa"/>
            <w:left w:w="108" w:type="dxa"/>
            <w:bottom w:w="0" w:type="dxa"/>
            <w:right w:w="108" w:type="dxa"/>
          </w:tblCellMar>
        </w:tblPrEx>
        <w:trPr>
          <w:gridBefore w:val="1"/>
          <w:gridAfter w:val="1"/>
          <w:wBefore w:w="14" w:type="pct"/>
          <w:wAfter w:w="345" w:type="pct"/>
          <w:trHeight w:val="444" w:hRule="atLeast"/>
        </w:trPr>
        <w:tc>
          <w:tcPr>
            <w:tcW w:w="791" w:type="pct"/>
            <w:vMerge w:val="continue"/>
            <w:tcBorders>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5</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容器空白检查比例达标、结果合格（查看记录单）</w:t>
            </w:r>
          </w:p>
        </w:tc>
      </w:tr>
      <w:tr>
        <w:tblPrEx>
          <w:tblCellMar>
            <w:top w:w="0" w:type="dxa"/>
            <w:left w:w="108" w:type="dxa"/>
            <w:bottom w:w="0" w:type="dxa"/>
            <w:right w:w="108" w:type="dxa"/>
          </w:tblCellMar>
        </w:tblPrEx>
        <w:trPr>
          <w:gridBefore w:val="1"/>
          <w:gridAfter w:val="1"/>
          <w:wBefore w:w="14" w:type="pct"/>
          <w:wAfter w:w="345" w:type="pct"/>
          <w:trHeight w:val="492" w:hRule="atLeast"/>
        </w:trPr>
        <w:tc>
          <w:tcPr>
            <w:tcW w:w="791" w:type="pct"/>
            <w:vMerge w:val="continue"/>
            <w:tcBorders>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6</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配备足够的备用采样器和样品瓶</w:t>
            </w:r>
          </w:p>
        </w:tc>
      </w:tr>
      <w:tr>
        <w:tblPrEx>
          <w:tblCellMar>
            <w:top w:w="0" w:type="dxa"/>
            <w:left w:w="108" w:type="dxa"/>
            <w:bottom w:w="0" w:type="dxa"/>
            <w:right w:w="108" w:type="dxa"/>
          </w:tblCellMar>
        </w:tblPrEx>
        <w:trPr>
          <w:gridBefore w:val="1"/>
          <w:gridAfter w:val="1"/>
          <w:wBefore w:w="14" w:type="pct"/>
          <w:wAfter w:w="345" w:type="pct"/>
          <w:trHeight w:val="726" w:hRule="atLeast"/>
        </w:trPr>
        <w:tc>
          <w:tcPr>
            <w:tcW w:w="791" w:type="pct"/>
            <w:vMerge w:val="continue"/>
            <w:tcBorders>
              <w:left w:val="single" w:color="auto" w:sz="4" w:space="0"/>
              <w:bottom w:val="nil"/>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7</w:t>
            </w:r>
          </w:p>
        </w:tc>
        <w:tc>
          <w:tcPr>
            <w:tcW w:w="337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采样设备（水质、沉积物、生物等）齐全，符合规范要求</w:t>
            </w:r>
          </w:p>
        </w:tc>
      </w:tr>
      <w:tr>
        <w:tblPrEx>
          <w:tblCellMar>
            <w:top w:w="0" w:type="dxa"/>
            <w:left w:w="108" w:type="dxa"/>
            <w:bottom w:w="0" w:type="dxa"/>
            <w:right w:w="108" w:type="dxa"/>
          </w:tblCellMar>
        </w:tblPrEx>
        <w:trPr>
          <w:gridBefore w:val="1"/>
          <w:gridAfter w:val="1"/>
          <w:wBefore w:w="14" w:type="pct"/>
          <w:wAfter w:w="345" w:type="pct"/>
          <w:trHeight w:val="800" w:hRule="atLeast"/>
        </w:trPr>
        <w:tc>
          <w:tcPr>
            <w:tcW w:w="791" w:type="pct"/>
            <w:vMerge w:val="continue"/>
            <w:tcBorders>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8</w:t>
            </w:r>
          </w:p>
        </w:tc>
        <w:tc>
          <w:tcPr>
            <w:tcW w:w="337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现场测试用仪器设备应在检校周期内，且在出海前进行调试、校准</w:t>
            </w:r>
          </w:p>
        </w:tc>
      </w:tr>
      <w:tr>
        <w:tblPrEx>
          <w:tblCellMar>
            <w:top w:w="0" w:type="dxa"/>
            <w:left w:w="108" w:type="dxa"/>
            <w:bottom w:w="0" w:type="dxa"/>
            <w:right w:w="108" w:type="dxa"/>
          </w:tblCellMar>
        </w:tblPrEx>
        <w:trPr>
          <w:gridBefore w:val="1"/>
          <w:gridAfter w:val="1"/>
          <w:wBefore w:w="14" w:type="pct"/>
          <w:wAfter w:w="345" w:type="pct"/>
          <w:trHeight w:val="456" w:hRule="atLeast"/>
        </w:trPr>
        <w:tc>
          <w:tcPr>
            <w:tcW w:w="79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海上设施</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9</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具备分层采样条件</w:t>
            </w:r>
          </w:p>
        </w:tc>
      </w:tr>
      <w:tr>
        <w:tblPrEx>
          <w:tblCellMar>
            <w:top w:w="0" w:type="dxa"/>
            <w:left w:w="108" w:type="dxa"/>
            <w:bottom w:w="0" w:type="dxa"/>
            <w:right w:w="108" w:type="dxa"/>
          </w:tblCellMar>
        </w:tblPrEx>
        <w:trPr>
          <w:gridBefore w:val="1"/>
          <w:gridAfter w:val="1"/>
          <w:wBefore w:w="14" w:type="pct"/>
          <w:wAfter w:w="345" w:type="pct"/>
          <w:trHeight w:val="456"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10</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冷藏空间满足航次样品保存需要</w:t>
            </w:r>
          </w:p>
        </w:tc>
      </w:tr>
      <w:tr>
        <w:tblPrEx>
          <w:tblCellMar>
            <w:top w:w="0" w:type="dxa"/>
            <w:left w:w="108" w:type="dxa"/>
            <w:bottom w:w="0" w:type="dxa"/>
            <w:right w:w="108" w:type="dxa"/>
          </w:tblCellMar>
        </w:tblPrEx>
        <w:trPr>
          <w:gridBefore w:val="1"/>
          <w:gridAfter w:val="1"/>
          <w:wBefore w:w="14" w:type="pct"/>
          <w:wAfter w:w="345" w:type="pct"/>
          <w:trHeight w:val="456"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11</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冷冻空间满足航次样品保存需要</w:t>
            </w:r>
          </w:p>
        </w:tc>
      </w:tr>
      <w:tr>
        <w:tblPrEx>
          <w:tblCellMar>
            <w:top w:w="0" w:type="dxa"/>
            <w:left w:w="108" w:type="dxa"/>
            <w:bottom w:w="0" w:type="dxa"/>
            <w:right w:w="108" w:type="dxa"/>
          </w:tblCellMar>
        </w:tblPrEx>
        <w:trPr>
          <w:gridBefore w:val="1"/>
          <w:gridAfter w:val="1"/>
          <w:wBefore w:w="14" w:type="pct"/>
          <w:wAfter w:w="345" w:type="pct"/>
          <w:trHeight w:val="552"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12</w:t>
            </w:r>
          </w:p>
        </w:tc>
        <w:tc>
          <w:tcPr>
            <w:tcW w:w="3374"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实验场所满足现场前处理、分析要求（特殊情况如小型船舶无法现场开展实验的应尽快按时效要求运输至满足条件的实验场所开展分析）</w:t>
            </w:r>
          </w:p>
        </w:tc>
      </w:tr>
      <w:tr>
        <w:tblPrEx>
          <w:tblCellMar>
            <w:top w:w="0" w:type="dxa"/>
            <w:left w:w="108" w:type="dxa"/>
            <w:bottom w:w="0" w:type="dxa"/>
            <w:right w:w="108" w:type="dxa"/>
          </w:tblCellMar>
        </w:tblPrEx>
        <w:trPr>
          <w:gridBefore w:val="1"/>
          <w:gridAfter w:val="1"/>
          <w:wBefore w:w="14" w:type="pct"/>
          <w:wAfter w:w="345" w:type="pct"/>
          <w:trHeight w:val="552"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3374"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gridBefore w:val="1"/>
          <w:gridAfter w:val="1"/>
          <w:wBefore w:w="14" w:type="pct"/>
          <w:wAfter w:w="345" w:type="pct"/>
          <w:trHeight w:val="660" w:hRule="atLeast"/>
        </w:trPr>
        <w:tc>
          <w:tcPr>
            <w:tcW w:w="79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海上安全</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13</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配备安全监督员，安全监督员起到监督作用（可由采样人员兼任）</w:t>
            </w:r>
          </w:p>
        </w:tc>
      </w:tr>
      <w:tr>
        <w:tblPrEx>
          <w:tblCellMar>
            <w:top w:w="0" w:type="dxa"/>
            <w:left w:w="108" w:type="dxa"/>
            <w:bottom w:w="0" w:type="dxa"/>
            <w:right w:w="108" w:type="dxa"/>
          </w:tblCellMar>
        </w:tblPrEx>
        <w:trPr>
          <w:gridBefore w:val="1"/>
          <w:gridAfter w:val="1"/>
          <w:wBefore w:w="14" w:type="pct"/>
          <w:wAfter w:w="345" w:type="pct"/>
          <w:trHeight w:val="660"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14</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甲板存放的装备物品用绳索捆绑固定；监测设备、设施和试剂采取固定措施</w:t>
            </w:r>
          </w:p>
        </w:tc>
      </w:tr>
      <w:tr>
        <w:tblPrEx>
          <w:tblCellMar>
            <w:top w:w="0" w:type="dxa"/>
            <w:left w:w="108" w:type="dxa"/>
            <w:bottom w:w="0" w:type="dxa"/>
            <w:right w:w="108" w:type="dxa"/>
          </w:tblCellMar>
        </w:tblPrEx>
        <w:trPr>
          <w:gridBefore w:val="1"/>
          <w:gridAfter w:val="1"/>
          <w:wBefore w:w="14" w:type="pct"/>
          <w:wAfter w:w="345" w:type="pct"/>
          <w:trHeight w:val="468" w:hRule="atLeast"/>
        </w:trPr>
        <w:tc>
          <w:tcPr>
            <w:tcW w:w="79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样品采集</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15</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单航次采样人员相对固定，分工明确</w:t>
            </w:r>
          </w:p>
        </w:tc>
      </w:tr>
      <w:tr>
        <w:tblPrEx>
          <w:tblCellMar>
            <w:top w:w="0" w:type="dxa"/>
            <w:left w:w="108" w:type="dxa"/>
            <w:bottom w:w="0" w:type="dxa"/>
            <w:right w:w="108" w:type="dxa"/>
          </w:tblCellMar>
        </w:tblPrEx>
        <w:trPr>
          <w:gridBefore w:val="1"/>
          <w:gridAfter w:val="1"/>
          <w:wBefore w:w="14" w:type="pct"/>
          <w:wAfter w:w="345" w:type="pct"/>
          <w:trHeight w:val="504" w:hRule="atLeast"/>
        </w:trPr>
        <w:tc>
          <w:tcPr>
            <w:tcW w:w="791"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16</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采样前确认到达规定的监测点位（特殊情况除外）</w:t>
            </w:r>
          </w:p>
        </w:tc>
      </w:tr>
      <w:tr>
        <w:tblPrEx>
          <w:tblCellMar>
            <w:top w:w="0" w:type="dxa"/>
            <w:left w:w="108" w:type="dxa"/>
            <w:bottom w:w="0" w:type="dxa"/>
            <w:right w:w="108" w:type="dxa"/>
          </w:tblCellMar>
        </w:tblPrEx>
        <w:trPr>
          <w:gridBefore w:val="1"/>
          <w:gridAfter w:val="1"/>
          <w:wBefore w:w="14" w:type="pct"/>
          <w:wAfter w:w="345" w:type="pct"/>
          <w:trHeight w:val="456" w:hRule="atLeast"/>
        </w:trPr>
        <w:tc>
          <w:tcPr>
            <w:tcW w:w="791"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17</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现场记录水文、气象等环境参数</w:t>
            </w:r>
          </w:p>
        </w:tc>
      </w:tr>
      <w:tr>
        <w:tblPrEx>
          <w:tblCellMar>
            <w:top w:w="0" w:type="dxa"/>
            <w:left w:w="108" w:type="dxa"/>
            <w:bottom w:w="0" w:type="dxa"/>
            <w:right w:w="108" w:type="dxa"/>
          </w:tblCellMar>
        </w:tblPrEx>
        <w:trPr>
          <w:gridBefore w:val="1"/>
          <w:gridAfter w:val="1"/>
          <w:wBefore w:w="14" w:type="pct"/>
          <w:wAfter w:w="345" w:type="pct"/>
          <w:trHeight w:val="468" w:hRule="atLeast"/>
        </w:trPr>
        <w:tc>
          <w:tcPr>
            <w:tcW w:w="791"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18</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按规范要求开展分层采样</w:t>
            </w:r>
          </w:p>
        </w:tc>
      </w:tr>
      <w:tr>
        <w:tblPrEx>
          <w:tblCellMar>
            <w:top w:w="0" w:type="dxa"/>
            <w:left w:w="108" w:type="dxa"/>
            <w:bottom w:w="0" w:type="dxa"/>
            <w:right w:w="108" w:type="dxa"/>
          </w:tblCellMar>
        </w:tblPrEx>
        <w:trPr>
          <w:gridBefore w:val="1"/>
          <w:gridAfter w:val="1"/>
          <w:wBefore w:w="14" w:type="pct"/>
          <w:wAfter w:w="345" w:type="pct"/>
          <w:trHeight w:val="800" w:hRule="atLeast"/>
        </w:trPr>
        <w:tc>
          <w:tcPr>
            <w:tcW w:w="791" w:type="pct"/>
            <w:vMerge w:val="restart"/>
            <w:tcBorders>
              <w:top w:val="single" w:color="auto" w:sz="4" w:space="0"/>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样品采集</w:t>
            </w:r>
          </w:p>
        </w:tc>
        <w:tc>
          <w:tcPr>
            <w:tcW w:w="476" w:type="pc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19</w:t>
            </w:r>
          </w:p>
        </w:tc>
        <w:tc>
          <w:tcPr>
            <w:tcW w:w="337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采样设施及样品容器防沾污</w:t>
            </w:r>
          </w:p>
        </w:tc>
      </w:tr>
      <w:tr>
        <w:tblPrEx>
          <w:tblCellMar>
            <w:top w:w="0" w:type="dxa"/>
            <w:left w:w="108" w:type="dxa"/>
            <w:bottom w:w="0" w:type="dxa"/>
            <w:right w:w="108" w:type="dxa"/>
          </w:tblCellMar>
        </w:tblPrEx>
        <w:trPr>
          <w:gridBefore w:val="1"/>
          <w:gridAfter w:val="1"/>
          <w:wBefore w:w="14" w:type="pct"/>
          <w:wAfter w:w="345" w:type="pct"/>
          <w:trHeight w:val="480" w:hRule="atLeast"/>
        </w:trPr>
        <w:tc>
          <w:tcPr>
            <w:tcW w:w="791" w:type="pct"/>
            <w:vMerge w:val="continue"/>
            <w:tcBorders>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20</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采样防止船舶等污染</w:t>
            </w:r>
          </w:p>
        </w:tc>
      </w:tr>
      <w:tr>
        <w:tblPrEx>
          <w:tblCellMar>
            <w:top w:w="0" w:type="dxa"/>
            <w:left w:w="108" w:type="dxa"/>
            <w:bottom w:w="0" w:type="dxa"/>
            <w:right w:w="108" w:type="dxa"/>
          </w:tblCellMar>
        </w:tblPrEx>
        <w:trPr>
          <w:gridBefore w:val="1"/>
          <w:gridAfter w:val="1"/>
          <w:wBefore w:w="14" w:type="pct"/>
          <w:wAfter w:w="345" w:type="pct"/>
          <w:trHeight w:val="864" w:hRule="atLeast"/>
        </w:trPr>
        <w:tc>
          <w:tcPr>
            <w:tcW w:w="791" w:type="pct"/>
            <w:vMerge w:val="continue"/>
            <w:tcBorders>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21</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水质采集容器采集前用到达点位海水荡洗至少2次后，再采集水样（适用时）</w:t>
            </w:r>
          </w:p>
        </w:tc>
      </w:tr>
      <w:tr>
        <w:tblPrEx>
          <w:tblCellMar>
            <w:top w:w="0" w:type="dxa"/>
            <w:left w:w="108" w:type="dxa"/>
            <w:bottom w:w="0" w:type="dxa"/>
            <w:right w:w="108" w:type="dxa"/>
          </w:tblCellMar>
        </w:tblPrEx>
        <w:trPr>
          <w:gridBefore w:val="1"/>
          <w:gridAfter w:val="1"/>
          <w:wBefore w:w="14" w:type="pct"/>
          <w:wAfter w:w="345" w:type="pct"/>
          <w:trHeight w:val="408" w:hRule="atLeast"/>
        </w:trPr>
        <w:tc>
          <w:tcPr>
            <w:tcW w:w="791" w:type="pct"/>
            <w:vMerge w:val="continue"/>
            <w:tcBorders>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22</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溶解氧采集应采取溢流操作（适用时）</w:t>
            </w:r>
          </w:p>
        </w:tc>
      </w:tr>
      <w:tr>
        <w:tblPrEx>
          <w:tblCellMar>
            <w:top w:w="0" w:type="dxa"/>
            <w:left w:w="108" w:type="dxa"/>
            <w:bottom w:w="0" w:type="dxa"/>
            <w:right w:w="108" w:type="dxa"/>
          </w:tblCellMar>
        </w:tblPrEx>
        <w:trPr>
          <w:gridBefore w:val="1"/>
          <w:gridAfter w:val="1"/>
          <w:wBefore w:w="14" w:type="pct"/>
          <w:wAfter w:w="345" w:type="pct"/>
          <w:trHeight w:val="480" w:hRule="atLeast"/>
        </w:trPr>
        <w:tc>
          <w:tcPr>
            <w:tcW w:w="791" w:type="pct"/>
            <w:vMerge w:val="continue"/>
            <w:tcBorders>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23</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采样瓶标签规范（防水、信息全面），样品编号唯一</w:t>
            </w:r>
          </w:p>
        </w:tc>
      </w:tr>
      <w:tr>
        <w:tblPrEx>
          <w:tblCellMar>
            <w:top w:w="0" w:type="dxa"/>
            <w:left w:w="108" w:type="dxa"/>
            <w:bottom w:w="0" w:type="dxa"/>
            <w:right w:w="108" w:type="dxa"/>
          </w:tblCellMar>
        </w:tblPrEx>
        <w:trPr>
          <w:gridBefore w:val="1"/>
          <w:gridAfter w:val="1"/>
          <w:wBefore w:w="14" w:type="pct"/>
          <w:wAfter w:w="345" w:type="pct"/>
          <w:trHeight w:val="480" w:hRule="atLeast"/>
        </w:trPr>
        <w:tc>
          <w:tcPr>
            <w:tcW w:w="791" w:type="pct"/>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24</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沉积物采样过程符合规范要求（适用时）</w:t>
            </w:r>
          </w:p>
        </w:tc>
      </w:tr>
      <w:tr>
        <w:tblPrEx>
          <w:tblCellMar>
            <w:top w:w="0" w:type="dxa"/>
            <w:left w:w="108" w:type="dxa"/>
            <w:bottom w:w="0" w:type="dxa"/>
            <w:right w:w="108" w:type="dxa"/>
          </w:tblCellMar>
        </w:tblPrEx>
        <w:trPr>
          <w:gridBefore w:val="1"/>
          <w:gridAfter w:val="1"/>
          <w:wBefore w:w="14" w:type="pct"/>
          <w:wAfter w:w="345" w:type="pct"/>
          <w:trHeight w:val="444" w:hRule="atLeast"/>
        </w:trPr>
        <w:tc>
          <w:tcPr>
            <w:tcW w:w="791" w:type="pct"/>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25</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生物采样过程符合规范要求（适用时）</w:t>
            </w:r>
          </w:p>
        </w:tc>
      </w:tr>
      <w:tr>
        <w:tblPrEx>
          <w:tblCellMar>
            <w:top w:w="0" w:type="dxa"/>
            <w:left w:w="108" w:type="dxa"/>
            <w:bottom w:w="0" w:type="dxa"/>
            <w:right w:w="108" w:type="dxa"/>
          </w:tblCellMar>
        </w:tblPrEx>
        <w:trPr>
          <w:gridBefore w:val="1"/>
          <w:gridAfter w:val="1"/>
          <w:wBefore w:w="14" w:type="pct"/>
          <w:wAfter w:w="345" w:type="pct"/>
          <w:trHeight w:val="800" w:hRule="atLeast"/>
        </w:trPr>
        <w:tc>
          <w:tcPr>
            <w:tcW w:w="791" w:type="pct"/>
            <w:vMerge w:val="continue"/>
            <w:tcBorders>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26</w:t>
            </w:r>
          </w:p>
        </w:tc>
        <w:tc>
          <w:tcPr>
            <w:tcW w:w="337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（微生物）采样符合规范要求（适用时）</w:t>
            </w:r>
          </w:p>
        </w:tc>
      </w:tr>
      <w:tr>
        <w:tblPrEx>
          <w:tblCellMar>
            <w:top w:w="0" w:type="dxa"/>
            <w:left w:w="108" w:type="dxa"/>
            <w:bottom w:w="0" w:type="dxa"/>
            <w:right w:w="108" w:type="dxa"/>
          </w:tblCellMar>
        </w:tblPrEx>
        <w:trPr>
          <w:gridBefore w:val="1"/>
          <w:gridAfter w:val="1"/>
          <w:wBefore w:w="14" w:type="pct"/>
          <w:wAfter w:w="345" w:type="pct"/>
          <w:trHeight w:val="492" w:hRule="atLeast"/>
        </w:trPr>
        <w:tc>
          <w:tcPr>
            <w:tcW w:w="79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样品现场处理及贮存</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27</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水样分装顺序符合规范</w:t>
            </w:r>
          </w:p>
        </w:tc>
      </w:tr>
      <w:tr>
        <w:tblPrEx>
          <w:tblCellMar>
            <w:top w:w="0" w:type="dxa"/>
            <w:left w:w="108" w:type="dxa"/>
            <w:bottom w:w="0" w:type="dxa"/>
            <w:right w:w="108" w:type="dxa"/>
          </w:tblCellMar>
        </w:tblPrEx>
        <w:trPr>
          <w:gridBefore w:val="1"/>
          <w:gridAfter w:val="1"/>
          <w:wBefore w:w="14" w:type="pct"/>
          <w:wAfter w:w="345" w:type="pct"/>
          <w:trHeight w:val="395"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28</w:t>
            </w:r>
          </w:p>
        </w:tc>
        <w:tc>
          <w:tcPr>
            <w:tcW w:w="3374"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样品处理和保存条件符合规范要求</w:t>
            </w:r>
          </w:p>
        </w:tc>
      </w:tr>
      <w:tr>
        <w:tblPrEx>
          <w:tblCellMar>
            <w:top w:w="0" w:type="dxa"/>
            <w:left w:w="108" w:type="dxa"/>
            <w:bottom w:w="0" w:type="dxa"/>
            <w:right w:w="108" w:type="dxa"/>
          </w:tblCellMar>
        </w:tblPrEx>
        <w:trPr>
          <w:gridBefore w:val="1"/>
          <w:gridAfter w:val="1"/>
          <w:wBefore w:w="14" w:type="pct"/>
          <w:wAfter w:w="345" w:type="pct"/>
          <w:trHeight w:val="395"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3374"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gridBefore w:val="1"/>
          <w:gridAfter w:val="1"/>
          <w:wBefore w:w="14" w:type="pct"/>
          <w:wAfter w:w="345" w:type="pct"/>
          <w:trHeight w:val="516"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29</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样品运输采取必要的保护措施，防破损、防玷污</w:t>
            </w:r>
          </w:p>
        </w:tc>
      </w:tr>
      <w:tr>
        <w:tblPrEx>
          <w:tblCellMar>
            <w:top w:w="0" w:type="dxa"/>
            <w:left w:w="108" w:type="dxa"/>
            <w:bottom w:w="0" w:type="dxa"/>
            <w:right w:w="108" w:type="dxa"/>
          </w:tblCellMar>
        </w:tblPrEx>
        <w:trPr>
          <w:gridBefore w:val="1"/>
          <w:gridAfter w:val="1"/>
          <w:wBefore w:w="14" w:type="pct"/>
          <w:wAfter w:w="345" w:type="pct"/>
          <w:trHeight w:val="756" w:hRule="atLeast"/>
        </w:trPr>
        <w:tc>
          <w:tcPr>
            <w:tcW w:w="79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现场质控</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30</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有现场质量监督员，对采样实施过程监督，对存在的问题现场纠正</w:t>
            </w:r>
          </w:p>
        </w:tc>
      </w:tr>
      <w:tr>
        <w:tblPrEx>
          <w:tblCellMar>
            <w:top w:w="0" w:type="dxa"/>
            <w:left w:w="108" w:type="dxa"/>
            <w:bottom w:w="0" w:type="dxa"/>
            <w:right w:w="108" w:type="dxa"/>
          </w:tblCellMar>
        </w:tblPrEx>
        <w:trPr>
          <w:gridBefore w:val="1"/>
          <w:gridAfter w:val="1"/>
          <w:wBefore w:w="14" w:type="pct"/>
          <w:wAfter w:w="345" w:type="pct"/>
          <w:trHeight w:val="420"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31</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监测任务执行前，有明确的质控计划下达给监/检测人员</w:t>
            </w:r>
          </w:p>
        </w:tc>
      </w:tr>
      <w:tr>
        <w:tblPrEx>
          <w:tblCellMar>
            <w:top w:w="0" w:type="dxa"/>
            <w:left w:w="108" w:type="dxa"/>
            <w:bottom w:w="0" w:type="dxa"/>
            <w:right w:w="108" w:type="dxa"/>
          </w:tblCellMar>
        </w:tblPrEx>
        <w:trPr>
          <w:gridBefore w:val="1"/>
          <w:gridAfter w:val="1"/>
          <w:wBefore w:w="14" w:type="pct"/>
          <w:wAfter w:w="345" w:type="pct"/>
          <w:trHeight w:val="288"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32</w:t>
            </w:r>
          </w:p>
        </w:tc>
        <w:tc>
          <w:tcPr>
            <w:tcW w:w="210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样品现场分析质控措施</w:t>
            </w:r>
          </w:p>
        </w:tc>
        <w:tc>
          <w:tcPr>
            <w:tcW w:w="1274"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 空白样</w:t>
            </w:r>
          </w:p>
        </w:tc>
      </w:tr>
      <w:tr>
        <w:tblPrEx>
          <w:tblCellMar>
            <w:top w:w="0" w:type="dxa"/>
            <w:left w:w="108" w:type="dxa"/>
            <w:bottom w:w="0" w:type="dxa"/>
            <w:right w:w="108" w:type="dxa"/>
          </w:tblCellMar>
        </w:tblPrEx>
        <w:trPr>
          <w:gridBefore w:val="1"/>
          <w:gridAfter w:val="1"/>
          <w:wBefore w:w="14" w:type="pct"/>
          <w:wAfter w:w="345" w:type="pct"/>
          <w:trHeight w:val="288"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210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1274"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 平行样</w:t>
            </w:r>
          </w:p>
        </w:tc>
      </w:tr>
      <w:tr>
        <w:tblPrEx>
          <w:tblCellMar>
            <w:top w:w="0" w:type="dxa"/>
            <w:left w:w="108" w:type="dxa"/>
            <w:bottom w:w="0" w:type="dxa"/>
            <w:right w:w="108" w:type="dxa"/>
          </w:tblCellMar>
        </w:tblPrEx>
        <w:trPr>
          <w:gridBefore w:val="1"/>
          <w:gridAfter w:val="1"/>
          <w:wBefore w:w="14" w:type="pct"/>
          <w:wAfter w:w="345" w:type="pct"/>
          <w:trHeight w:val="288"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210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1274"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 加标回收</w:t>
            </w:r>
          </w:p>
        </w:tc>
      </w:tr>
      <w:tr>
        <w:tblPrEx>
          <w:tblCellMar>
            <w:top w:w="0" w:type="dxa"/>
            <w:left w:w="108" w:type="dxa"/>
            <w:bottom w:w="0" w:type="dxa"/>
            <w:right w:w="108" w:type="dxa"/>
          </w:tblCellMar>
        </w:tblPrEx>
        <w:trPr>
          <w:gridBefore w:val="1"/>
          <w:gridAfter w:val="1"/>
          <w:wBefore w:w="14" w:type="pct"/>
          <w:wAfter w:w="345" w:type="pct"/>
          <w:trHeight w:val="288"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210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1274"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 其他：</w:t>
            </w:r>
          </w:p>
        </w:tc>
      </w:tr>
      <w:tr>
        <w:tblPrEx>
          <w:tblCellMar>
            <w:top w:w="0" w:type="dxa"/>
            <w:left w:w="108" w:type="dxa"/>
            <w:bottom w:w="0" w:type="dxa"/>
            <w:right w:w="108" w:type="dxa"/>
          </w:tblCellMar>
        </w:tblPrEx>
        <w:trPr>
          <w:gridBefore w:val="1"/>
          <w:gridAfter w:val="1"/>
          <w:wBefore w:w="14" w:type="pct"/>
          <w:wAfter w:w="345" w:type="pct"/>
          <w:trHeight w:val="288"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210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1274"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 xml:space="preserve">           </w:t>
            </w:r>
          </w:p>
        </w:tc>
      </w:tr>
      <w:tr>
        <w:tblPrEx>
          <w:tblCellMar>
            <w:top w:w="0" w:type="dxa"/>
            <w:left w:w="108" w:type="dxa"/>
            <w:bottom w:w="0" w:type="dxa"/>
            <w:right w:w="108" w:type="dxa"/>
          </w:tblCellMar>
        </w:tblPrEx>
        <w:trPr>
          <w:gridBefore w:val="1"/>
          <w:gridAfter w:val="1"/>
          <w:wBefore w:w="14" w:type="pct"/>
          <w:wAfter w:w="345" w:type="pct"/>
          <w:trHeight w:val="528" w:hRule="atLeast"/>
        </w:trPr>
        <w:tc>
          <w:tcPr>
            <w:tcW w:w="79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33</w:t>
            </w:r>
          </w:p>
        </w:tc>
        <w:tc>
          <w:tcPr>
            <w:tcW w:w="337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对质控结果进行分析评价，判断质控结果是否符合要求</w:t>
            </w:r>
          </w:p>
        </w:tc>
      </w:tr>
      <w:tr>
        <w:tblPrEx>
          <w:tblCellMar>
            <w:top w:w="0" w:type="dxa"/>
            <w:left w:w="108" w:type="dxa"/>
            <w:bottom w:w="0" w:type="dxa"/>
            <w:right w:w="108" w:type="dxa"/>
          </w:tblCellMar>
        </w:tblPrEx>
        <w:trPr>
          <w:trHeight w:val="790" w:hRule="atLeast"/>
        </w:trPr>
        <w:tc>
          <w:tcPr>
            <w:tcW w:w="5000" w:type="pct"/>
            <w:gridSpan w:val="6"/>
            <w:tcBorders>
              <w:top w:val="single" w:color="auto" w:sz="4" w:space="0"/>
            </w:tcBorders>
            <w:vAlign w:val="center"/>
          </w:tcPr>
          <w:p>
            <w:pPr>
              <w:widowControl/>
              <w:ind w:firstLine="0" w:firstLineChars="0"/>
              <w:jc w:val="left"/>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注</w:t>
            </w:r>
            <w:r>
              <w:rPr>
                <w:rFonts w:ascii="仿宋_GB2312" w:hAnsi="仿宋" w:eastAsia="仿宋_GB2312" w:cs="宋体"/>
                <w:bCs/>
                <w:color w:val="000000"/>
                <w:kern w:val="0"/>
                <w:szCs w:val="28"/>
              </w:rPr>
              <w:t>：*</w:t>
            </w:r>
            <w:r>
              <w:rPr>
                <w:rFonts w:hint="eastAsia" w:ascii="仿宋_GB2312" w:hAnsi="仿宋" w:eastAsia="仿宋_GB2312" w:cs="宋体"/>
                <w:bCs/>
                <w:color w:val="000000"/>
                <w:kern w:val="0"/>
                <w:szCs w:val="28"/>
              </w:rPr>
              <w:t>加粗</w:t>
            </w:r>
            <w:r>
              <w:rPr>
                <w:rFonts w:ascii="仿宋_GB2312" w:hAnsi="仿宋" w:eastAsia="仿宋_GB2312" w:cs="宋体"/>
                <w:bCs/>
                <w:color w:val="000000"/>
                <w:kern w:val="0"/>
                <w:szCs w:val="28"/>
              </w:rPr>
              <w:t>为</w:t>
            </w:r>
            <w:r>
              <w:rPr>
                <w:rFonts w:hint="eastAsia" w:ascii="仿宋_GB2312" w:hAnsi="仿宋" w:eastAsia="仿宋_GB2312" w:cs="宋体"/>
                <w:bCs/>
                <w:color w:val="000000"/>
                <w:kern w:val="0"/>
                <w:szCs w:val="28"/>
              </w:rPr>
              <w:t>重点</w:t>
            </w:r>
            <w:r>
              <w:rPr>
                <w:rFonts w:ascii="仿宋_GB2312" w:hAnsi="仿宋" w:eastAsia="仿宋_GB2312" w:cs="宋体"/>
                <w:bCs/>
                <w:color w:val="000000"/>
                <w:kern w:val="0"/>
                <w:szCs w:val="28"/>
              </w:rPr>
              <w:t>评估项</w:t>
            </w:r>
          </w:p>
        </w:tc>
      </w:tr>
    </w:tbl>
    <w:p>
      <w:pPr>
        <w:widowControl/>
        <w:ind w:firstLine="0" w:firstLineChars="0"/>
        <w:jc w:val="center"/>
        <w:rPr>
          <w:rFonts w:ascii="仿宋_GB2312" w:hAnsi="仿宋" w:eastAsia="仿宋_GB2312" w:cs="宋体"/>
          <w:bCs/>
          <w:color w:val="000000"/>
          <w:kern w:val="0"/>
          <w:szCs w:val="28"/>
        </w:rPr>
      </w:pPr>
    </w:p>
    <w:p>
      <w:pPr>
        <w:widowControl/>
        <w:ind w:firstLine="0" w:firstLineChars="0"/>
        <w:jc w:val="center"/>
        <w:rPr>
          <w:rFonts w:ascii="仿宋_GB2312" w:hAnsi="仿宋" w:eastAsia="仿宋_GB2312" w:cs="宋体"/>
          <w:bCs/>
          <w:color w:val="000000"/>
          <w:kern w:val="0"/>
          <w:szCs w:val="28"/>
        </w:rPr>
        <w:sectPr>
          <w:pgSz w:w="11906" w:h="16838"/>
          <w:pgMar w:top="1440" w:right="1803" w:bottom="1440" w:left="1803" w:header="851" w:footer="992" w:gutter="0"/>
          <w:cols w:space="0" w:num="1"/>
          <w:docGrid w:type="lines" w:linePitch="395" w:charSpace="0"/>
        </w:sectPr>
      </w:pPr>
    </w:p>
    <w:p>
      <w:pPr>
        <w:keepNext/>
        <w:keepLines/>
        <w:widowControl/>
        <w:ind w:firstLine="643" w:firstLineChars="0"/>
        <w:jc w:val="left"/>
        <w:outlineLvl w:val="1"/>
        <w:rPr>
          <w:rFonts w:ascii="宋体" w:hAnsi="宋体" w:eastAsia="宋体" w:cs="宋体"/>
          <w:b/>
          <w:color w:val="000000" w:themeColor="text1"/>
          <w:kern w:val="0"/>
          <w:sz w:val="32"/>
          <w:szCs w:val="32"/>
          <w14:textFill>
            <w14:solidFill>
              <w14:schemeClr w14:val="tx1"/>
            </w14:solidFill>
          </w14:textFill>
        </w:rPr>
      </w:pPr>
      <w:bookmarkStart w:id="46" w:name="_Toc192668455"/>
      <w:bookmarkStart w:id="47" w:name="_Toc192596057"/>
      <w:bookmarkStart w:id="48" w:name="_Toc21529"/>
      <w:bookmarkStart w:id="49" w:name="_Toc15984"/>
      <w:bookmarkStart w:id="50" w:name="_Toc192596055"/>
      <w:bookmarkStart w:id="51" w:name="_Toc27686"/>
      <w:r>
        <w:rPr>
          <w:rFonts w:hint="eastAsia" w:ascii="仿宋_GB2312" w:hAnsi="仿宋_GB2312" w:eastAsia="仿宋_GB2312" w:cs="仿宋_GB2312"/>
          <w:b/>
          <w:color w:val="000000" w:themeColor="text1"/>
          <w:kern w:val="0"/>
          <w:sz w:val="32"/>
          <w:szCs w:val="32"/>
          <w14:textFill>
            <w14:solidFill>
              <w14:schemeClr w14:val="tx1"/>
            </w14:solidFill>
          </w14:textFill>
        </w:rPr>
        <w:t>附件3</w:t>
      </w:r>
      <w:r>
        <w:rPr>
          <w:rFonts w:hint="eastAsia" w:ascii="宋体" w:hAnsi="宋体" w:eastAsia="宋体" w:cs="宋体"/>
          <w:b/>
          <w:color w:val="000000" w:themeColor="text1"/>
          <w:kern w:val="0"/>
          <w:sz w:val="32"/>
          <w:szCs w:val="32"/>
          <w14:textFill>
            <w14:solidFill>
              <w14:schemeClr w14:val="tx1"/>
            </w14:solidFill>
          </w14:textFill>
        </w:rPr>
        <w:t xml:space="preserve"> </w:t>
      </w:r>
      <w:bookmarkEnd w:id="46"/>
      <w:bookmarkEnd w:id="47"/>
    </w:p>
    <w:p>
      <w:pPr>
        <w:widowControl/>
        <w:ind w:firstLine="0" w:firstLineChars="0"/>
        <w:jc w:val="center"/>
        <w:rPr>
          <w:rFonts w:ascii="仿宋_GB2312" w:hAnsi="仿宋" w:eastAsia="仿宋_GB2312" w:cs="宋体"/>
          <w:b/>
          <w:bCs w:val="0"/>
          <w:color w:val="000000"/>
          <w:kern w:val="0"/>
          <w:szCs w:val="28"/>
          <w:lang w:bidi="ar"/>
        </w:rPr>
      </w:pPr>
      <w:r>
        <w:rPr>
          <w:rFonts w:hint="eastAsia" w:ascii="仿宋_GB2312" w:hAnsi="仿宋" w:eastAsia="仿宋_GB2312" w:cs="宋体"/>
          <w:b/>
          <w:bCs w:val="0"/>
          <w:color w:val="000000"/>
          <w:kern w:val="0"/>
          <w:szCs w:val="28"/>
          <w:lang w:bidi="ar"/>
        </w:rPr>
        <w:t>202</w:t>
      </w:r>
      <w:r>
        <w:rPr>
          <w:rFonts w:ascii="仿宋_GB2312" w:hAnsi="仿宋" w:eastAsia="仿宋_GB2312" w:cs="宋体"/>
          <w:b/>
          <w:bCs w:val="0"/>
          <w:color w:val="000000"/>
          <w:kern w:val="0"/>
          <w:szCs w:val="28"/>
          <w:lang w:bidi="ar"/>
        </w:rPr>
        <w:t>5</w:t>
      </w:r>
      <w:r>
        <w:rPr>
          <w:rFonts w:hint="eastAsia" w:ascii="仿宋_GB2312" w:hAnsi="仿宋" w:eastAsia="仿宋_GB2312" w:cs="宋体"/>
          <w:b/>
          <w:bCs w:val="0"/>
          <w:color w:val="000000"/>
          <w:kern w:val="0"/>
          <w:szCs w:val="28"/>
          <w:lang w:bidi="ar"/>
        </w:rPr>
        <w:t>年上海市海洋生态预警监测项目实施进度检查表</w:t>
      </w:r>
    </w:p>
    <w:p>
      <w:pPr>
        <w:widowControl/>
        <w:ind w:firstLine="0" w:firstLineChars="0"/>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 xml:space="preserve">报送单位（公章）： </w:t>
      </w:r>
      <w:r>
        <w:rPr>
          <w:rFonts w:ascii="仿宋_GB2312" w:hAnsi="仿宋" w:eastAsia="仿宋_GB2312" w:cs="宋体"/>
          <w:bCs/>
          <w:color w:val="000000"/>
          <w:kern w:val="0"/>
          <w:szCs w:val="28"/>
          <w:lang w:bidi="ar"/>
        </w:rPr>
        <w:t xml:space="preserve">               </w:t>
      </w:r>
      <w:r>
        <w:rPr>
          <w:rFonts w:hint="eastAsia" w:ascii="仿宋_GB2312" w:hAnsi="仿宋" w:eastAsia="仿宋_GB2312" w:cs="宋体"/>
          <w:bCs/>
          <w:color w:val="000000"/>
          <w:kern w:val="0"/>
          <w:szCs w:val="28"/>
          <w:lang w:bidi="ar"/>
        </w:rPr>
        <w:t xml:space="preserve">         联系人：                          联系电话：</w:t>
      </w:r>
    </w:p>
    <w:tbl>
      <w:tblPr>
        <w:tblStyle w:val="30"/>
        <w:tblW w:w="5015" w:type="pct"/>
        <w:tblInd w:w="-20" w:type="dxa"/>
        <w:tblLayout w:type="fixed"/>
        <w:tblCellMar>
          <w:top w:w="0" w:type="dxa"/>
          <w:left w:w="108" w:type="dxa"/>
          <w:bottom w:w="0" w:type="dxa"/>
          <w:right w:w="108" w:type="dxa"/>
        </w:tblCellMar>
      </w:tblPr>
      <w:tblGrid>
        <w:gridCol w:w="2030"/>
        <w:gridCol w:w="4635"/>
        <w:gridCol w:w="2085"/>
        <w:gridCol w:w="2080"/>
        <w:gridCol w:w="2025"/>
        <w:gridCol w:w="1362"/>
      </w:tblGrid>
      <w:tr>
        <w:tblPrEx>
          <w:tblCellMar>
            <w:top w:w="0" w:type="dxa"/>
            <w:left w:w="108" w:type="dxa"/>
            <w:bottom w:w="0" w:type="dxa"/>
            <w:right w:w="108" w:type="dxa"/>
          </w:tblCellMar>
        </w:tblPrEx>
        <w:trPr>
          <w:trHeight w:val="454" w:hRule="atLeast"/>
        </w:trPr>
        <w:tc>
          <w:tcPr>
            <w:tcW w:w="713" w:type="pct"/>
            <w:vMerge w:val="restart"/>
            <w:tcBorders>
              <w:top w:val="single" w:color="000000" w:sz="4" w:space="0"/>
              <w:left w:val="single" w:color="000000" w:sz="4" w:space="0"/>
              <w:right w:val="single" w:color="000000" w:sz="4" w:space="0"/>
            </w:tcBorders>
            <w:shd w:val="clear" w:color="auto" w:fill="auto"/>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任务分类</w:t>
            </w:r>
          </w:p>
        </w:tc>
        <w:tc>
          <w:tcPr>
            <w:tcW w:w="1630" w:type="pct"/>
            <w:vMerge w:val="restart"/>
            <w:tcBorders>
              <w:top w:val="single" w:color="000000" w:sz="4" w:space="0"/>
              <w:left w:val="single" w:color="000000" w:sz="4" w:space="0"/>
              <w:right w:val="single" w:color="000000" w:sz="4" w:space="0"/>
            </w:tcBorders>
            <w:shd w:val="clear" w:color="auto" w:fill="auto"/>
            <w:noWrap/>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监测内容</w:t>
            </w:r>
          </w:p>
        </w:tc>
        <w:tc>
          <w:tcPr>
            <w:tcW w:w="1464" w:type="pct"/>
            <w:gridSpan w:val="2"/>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已完成工作内容</w:t>
            </w:r>
          </w:p>
        </w:tc>
        <w:tc>
          <w:tcPr>
            <w:tcW w:w="712" w:type="pct"/>
            <w:vMerge w:val="restart"/>
            <w:tcBorders>
              <w:top w:val="single" w:color="000000" w:sz="4" w:space="0"/>
              <w:left w:val="single" w:color="000000" w:sz="4" w:space="0"/>
              <w:right w:val="single" w:color="000000" w:sz="4" w:space="0"/>
            </w:tcBorders>
            <w:shd w:val="clear" w:color="auto" w:fill="auto"/>
            <w:noWrap/>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是否按照计划进度安排推进项目实施</w:t>
            </w:r>
          </w:p>
        </w:tc>
        <w:tc>
          <w:tcPr>
            <w:tcW w:w="479" w:type="pct"/>
            <w:vMerge w:val="restart"/>
            <w:tcBorders>
              <w:top w:val="single" w:color="000000" w:sz="4" w:space="0"/>
              <w:left w:val="single" w:color="000000" w:sz="4" w:space="0"/>
              <w:right w:val="single" w:color="000000" w:sz="4" w:space="0"/>
            </w:tcBorders>
            <w:shd w:val="clear" w:color="auto" w:fill="auto"/>
            <w:noWrap/>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下一步工作计划</w:t>
            </w:r>
          </w:p>
        </w:tc>
      </w:tr>
      <w:tr>
        <w:tblPrEx>
          <w:tblCellMar>
            <w:top w:w="0" w:type="dxa"/>
            <w:left w:w="108" w:type="dxa"/>
            <w:bottom w:w="0" w:type="dxa"/>
            <w:right w:w="108" w:type="dxa"/>
          </w:tblCellMar>
        </w:tblPrEx>
        <w:trPr>
          <w:trHeight w:val="454" w:hRule="atLeast"/>
        </w:trPr>
        <w:tc>
          <w:tcPr>
            <w:tcW w:w="713" w:type="pct"/>
            <w:vMerge w:val="continue"/>
            <w:tcBorders>
              <w:left w:val="single" w:color="000000" w:sz="4" w:space="0"/>
              <w:bottom w:val="single" w:color="000000" w:sz="4" w:space="0"/>
              <w:right w:val="single" w:color="000000" w:sz="4" w:space="0"/>
            </w:tcBorders>
            <w:shd w:val="clear" w:color="auto" w:fill="auto"/>
            <w:vAlign w:val="center"/>
          </w:tcPr>
          <w:p>
            <w:pPr>
              <w:widowControl/>
              <w:ind w:firstLine="0" w:firstLineChars="0"/>
              <w:jc w:val="center"/>
              <w:rPr>
                <w:rFonts w:ascii="仿宋_GB2312" w:hAnsi="仿宋" w:eastAsia="仿宋_GB2312" w:cs="宋体"/>
                <w:bCs/>
                <w:color w:val="000000"/>
                <w:kern w:val="0"/>
                <w:szCs w:val="28"/>
                <w:lang w:bidi="ar"/>
              </w:rPr>
            </w:pPr>
          </w:p>
        </w:tc>
        <w:tc>
          <w:tcPr>
            <w:tcW w:w="1630" w:type="pct"/>
            <w:vMerge w:val="continue"/>
            <w:tcBorders>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rPr>
                <w:rFonts w:ascii="仿宋_GB2312" w:hAnsi="仿宋" w:eastAsia="仿宋_GB2312" w:cs="宋体"/>
                <w:bCs/>
                <w:color w:val="000000"/>
                <w:kern w:val="0"/>
                <w:szCs w:val="28"/>
                <w:lang w:bidi="ar"/>
              </w:rPr>
            </w:pPr>
          </w:p>
        </w:tc>
        <w:tc>
          <w:tcPr>
            <w:tcW w:w="733" w:type="pct"/>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rPr>
                <w:rFonts w:ascii="仿宋_GB2312" w:hAnsi="仿宋" w:eastAsia="仿宋_GB2312" w:cs="宋体"/>
                <w:bCs/>
                <w:color w:val="000000"/>
                <w:kern w:val="0"/>
                <w:szCs w:val="28"/>
                <w:lang w:bidi="ar"/>
              </w:rPr>
            </w:pPr>
            <w:r>
              <w:rPr>
                <w:rFonts w:hint="eastAsia" w:ascii="仿宋_GB2312" w:hAnsi="仿宋" w:eastAsia="仿宋_GB2312" w:cs="宋体"/>
                <w:bCs/>
                <w:color w:val="000000"/>
                <w:kern w:val="0"/>
                <w:szCs w:val="28"/>
                <w:lang w:bidi="ar"/>
              </w:rPr>
              <w:t>外业</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rPr>
                <w:rFonts w:ascii="仿宋_GB2312" w:hAnsi="仿宋" w:eastAsia="仿宋_GB2312" w:cs="宋体"/>
                <w:bCs/>
                <w:color w:val="000000"/>
                <w:kern w:val="0"/>
                <w:szCs w:val="28"/>
                <w:lang w:bidi="ar"/>
              </w:rPr>
            </w:pPr>
            <w:r>
              <w:rPr>
                <w:rFonts w:hint="eastAsia" w:ascii="仿宋_GB2312" w:hAnsi="仿宋" w:eastAsia="仿宋_GB2312" w:cs="宋体"/>
                <w:bCs/>
                <w:color w:val="000000"/>
                <w:kern w:val="0"/>
                <w:szCs w:val="28"/>
                <w:lang w:bidi="ar"/>
              </w:rPr>
              <w:t>内业</w:t>
            </w:r>
          </w:p>
        </w:tc>
        <w:tc>
          <w:tcPr>
            <w:tcW w:w="712" w:type="pct"/>
            <w:vMerge w:val="continue"/>
            <w:tcBorders>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rPr>
                <w:rFonts w:ascii="仿宋_GB2312" w:hAnsi="仿宋" w:eastAsia="仿宋_GB2312" w:cs="宋体"/>
                <w:bCs/>
                <w:color w:val="000000"/>
                <w:kern w:val="0"/>
                <w:szCs w:val="28"/>
              </w:rPr>
            </w:pPr>
          </w:p>
        </w:tc>
        <w:tc>
          <w:tcPr>
            <w:tcW w:w="479" w:type="pct"/>
            <w:vMerge w:val="continue"/>
            <w:tcBorders>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rPr>
                <w:rFonts w:ascii="仿宋_GB2312" w:hAnsi="仿宋" w:eastAsia="仿宋_GB2312" w:cs="宋体"/>
                <w:bCs/>
                <w:color w:val="000000"/>
                <w:kern w:val="0"/>
                <w:szCs w:val="28"/>
                <w:lang w:bidi="ar"/>
              </w:rPr>
            </w:pPr>
          </w:p>
        </w:tc>
      </w:tr>
      <w:tr>
        <w:tblPrEx>
          <w:tblCellMar>
            <w:top w:w="0" w:type="dxa"/>
            <w:left w:w="108" w:type="dxa"/>
            <w:bottom w:w="0" w:type="dxa"/>
            <w:right w:w="108" w:type="dxa"/>
          </w:tblCellMar>
        </w:tblPrEx>
        <w:trPr>
          <w:trHeight w:val="454" w:hRule="atLeast"/>
        </w:trPr>
        <w:tc>
          <w:tcPr>
            <w:tcW w:w="71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lang w:bidi="ar"/>
              </w:rPr>
            </w:pPr>
            <w:r>
              <w:rPr>
                <w:rFonts w:hint="eastAsia" w:ascii="仿宋_GB2312" w:hAnsi="仿宋" w:eastAsia="仿宋_GB2312" w:cs="宋体"/>
                <w:bCs/>
                <w:color w:val="000000"/>
                <w:kern w:val="0"/>
                <w:szCs w:val="28"/>
                <w:lang w:bidi="ar"/>
              </w:rPr>
              <w:t>（一）近海生态趋势性监测</w:t>
            </w:r>
          </w:p>
        </w:tc>
        <w:tc>
          <w:tcPr>
            <w:tcW w:w="163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lang w:bidi="ar"/>
              </w:rPr>
            </w:pPr>
            <w:r>
              <w:rPr>
                <w:rFonts w:hint="eastAsia" w:ascii="仿宋_GB2312" w:hAnsi="仿宋" w:eastAsia="仿宋_GB2312" w:cs="宋体"/>
                <w:bCs/>
                <w:color w:val="000000"/>
                <w:kern w:val="0"/>
                <w:szCs w:val="28"/>
                <w:lang w:bidi="ar"/>
              </w:rPr>
              <w:t>近海生态趋势性监测</w:t>
            </w:r>
          </w:p>
        </w:tc>
        <w:tc>
          <w:tcPr>
            <w:tcW w:w="733" w:type="pc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lang w:bidi="ar"/>
              </w:rPr>
            </w:pPr>
          </w:p>
        </w:tc>
        <w:tc>
          <w:tcPr>
            <w:tcW w:w="731"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lang w:bidi="ar"/>
              </w:rPr>
            </w:pPr>
          </w:p>
        </w:tc>
        <w:tc>
          <w:tcPr>
            <w:tcW w:w="712" w:type="pct"/>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lang w:bidi="ar"/>
              </w:rPr>
            </w:pPr>
          </w:p>
        </w:tc>
      </w:tr>
      <w:tr>
        <w:tblPrEx>
          <w:tblCellMar>
            <w:top w:w="0" w:type="dxa"/>
            <w:left w:w="108" w:type="dxa"/>
            <w:bottom w:w="0" w:type="dxa"/>
            <w:right w:w="108" w:type="dxa"/>
          </w:tblCellMar>
        </w:tblPrEx>
        <w:trPr>
          <w:trHeight w:val="454" w:hRule="atLeast"/>
        </w:trPr>
        <w:tc>
          <w:tcPr>
            <w:tcW w:w="71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lang w:bidi="ar"/>
              </w:rPr>
            </w:pPr>
            <w:r>
              <w:rPr>
                <w:rFonts w:hint="eastAsia" w:ascii="仿宋_GB2312" w:hAnsi="仿宋" w:eastAsia="仿宋_GB2312" w:cs="宋体"/>
                <w:bCs/>
                <w:color w:val="000000"/>
                <w:kern w:val="0"/>
                <w:szCs w:val="28"/>
                <w:lang w:bidi="ar"/>
              </w:rPr>
              <w:t>（二）近海生态系统现状调查</w:t>
            </w:r>
          </w:p>
        </w:tc>
        <w:tc>
          <w:tcPr>
            <w:tcW w:w="1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lang w:bidi="ar"/>
              </w:rPr>
            </w:pPr>
            <w:r>
              <w:rPr>
                <w:rFonts w:hint="eastAsia" w:ascii="仿宋_GB2312" w:hAnsi="仿宋" w:eastAsia="仿宋_GB2312" w:cs="宋体"/>
                <w:bCs/>
                <w:color w:val="000000"/>
                <w:kern w:val="0"/>
                <w:szCs w:val="28"/>
                <w:lang w:bidi="ar"/>
              </w:rPr>
              <w:t>河口生态系统现状调查</w:t>
            </w:r>
          </w:p>
        </w:tc>
        <w:tc>
          <w:tcPr>
            <w:tcW w:w="733" w:type="pc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1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海湾生态系统现状调查</w:t>
            </w:r>
          </w:p>
        </w:tc>
        <w:tc>
          <w:tcPr>
            <w:tcW w:w="733" w:type="pct"/>
            <w:tcBorders>
              <w:top w:val="single" w:color="auto"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1630" w:type="pct"/>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海岛生态系统现状调查</w:t>
            </w:r>
          </w:p>
        </w:tc>
        <w:tc>
          <w:tcPr>
            <w:tcW w:w="733"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1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淡水湿地生态系统现状调查</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（三）近海生态预警监测</w:t>
            </w:r>
          </w:p>
        </w:tc>
        <w:tc>
          <w:tcPr>
            <w:tcW w:w="1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河口生态系统预警监测</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continue"/>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1630" w:type="pc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盐沼生态系统预警监测</w:t>
            </w:r>
          </w:p>
        </w:tc>
        <w:tc>
          <w:tcPr>
            <w:tcW w:w="733" w:type="pct"/>
            <w:tcBorders>
              <w:top w:val="single" w:color="auto"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1630"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lang w:bidi="ar"/>
              </w:rPr>
            </w:pPr>
            <w:r>
              <w:rPr>
                <w:rFonts w:hint="eastAsia" w:ascii="仿宋_GB2312" w:hAnsi="仿宋" w:eastAsia="仿宋_GB2312" w:cs="宋体"/>
                <w:bCs/>
                <w:color w:val="000000"/>
                <w:kern w:val="0"/>
                <w:szCs w:val="28"/>
                <w:lang w:bidi="ar"/>
              </w:rPr>
              <w:t>泥质海岸</w:t>
            </w:r>
            <w:r>
              <w:rPr>
                <w:rFonts w:ascii="仿宋_GB2312" w:hAnsi="仿宋" w:eastAsia="仿宋_GB2312" w:cs="宋体"/>
                <w:bCs/>
                <w:color w:val="000000"/>
                <w:kern w:val="0"/>
                <w:szCs w:val="28"/>
                <w:lang w:bidi="ar"/>
              </w:rPr>
              <w:t>生态系统</w:t>
            </w:r>
            <w:r>
              <w:rPr>
                <w:rFonts w:hint="eastAsia" w:ascii="仿宋_GB2312" w:hAnsi="仿宋" w:eastAsia="仿宋_GB2312" w:cs="宋体"/>
                <w:bCs/>
                <w:color w:val="000000"/>
                <w:kern w:val="0"/>
                <w:szCs w:val="28"/>
                <w:lang w:bidi="ar"/>
              </w:rPr>
              <w:t>预警监测</w:t>
            </w:r>
          </w:p>
        </w:tc>
        <w:tc>
          <w:tcPr>
            <w:tcW w:w="733" w:type="pc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（四）长江口历史用海项目生态趋势监测</w:t>
            </w:r>
          </w:p>
        </w:tc>
        <w:tc>
          <w:tcPr>
            <w:tcW w:w="163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长江口历史用海项目生态趋势监测</w:t>
            </w:r>
          </w:p>
        </w:tc>
        <w:tc>
          <w:tcPr>
            <w:tcW w:w="733"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（五）海洋生态灾害预警监测</w:t>
            </w:r>
          </w:p>
        </w:tc>
        <w:tc>
          <w:tcPr>
            <w:tcW w:w="1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赤潮高风险区监测、赤潮应急监测</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1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港口海域有害</w:t>
            </w:r>
            <w:r>
              <w:rPr>
                <w:rFonts w:ascii="仿宋_GB2312" w:hAnsi="仿宋" w:eastAsia="仿宋_GB2312" w:cs="宋体"/>
                <w:bCs/>
                <w:color w:val="000000"/>
                <w:kern w:val="0"/>
                <w:szCs w:val="28"/>
                <w:lang w:bidi="ar"/>
              </w:rPr>
              <w:t>外来物种入侵监测</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1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海洋微塑料监测</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1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海水入侵及土壤盐渍化监测</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1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海岸侵蚀监测</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1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水母灾害</w:t>
            </w:r>
            <w:r>
              <w:rPr>
                <w:rFonts w:ascii="仿宋_GB2312" w:hAnsi="仿宋" w:eastAsia="仿宋_GB2312" w:cs="宋体"/>
                <w:bCs/>
                <w:color w:val="000000"/>
                <w:kern w:val="0"/>
                <w:szCs w:val="28"/>
              </w:rPr>
              <w:t>监测</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（六）海岸带保护生态预警监测</w:t>
            </w:r>
          </w:p>
        </w:tc>
        <w:tc>
          <w:tcPr>
            <w:tcW w:w="1630" w:type="pc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海岸带保护修复项目跟踪监测</w:t>
            </w:r>
          </w:p>
        </w:tc>
        <w:tc>
          <w:tcPr>
            <w:tcW w:w="733" w:type="pct"/>
            <w:tcBorders>
              <w:top w:val="single" w:color="auto"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（七）海洋生态红线区和自然保护地监测</w:t>
            </w:r>
          </w:p>
        </w:tc>
        <w:tc>
          <w:tcPr>
            <w:tcW w:w="1630"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海洋生态红线区和自然保护地监测</w:t>
            </w:r>
          </w:p>
        </w:tc>
        <w:tc>
          <w:tcPr>
            <w:tcW w:w="733" w:type="pct"/>
            <w:tcBorders>
              <w:top w:val="single" w:color="000000" w:sz="4" w:space="0"/>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（八）江河入海生态边界监测</w:t>
            </w:r>
          </w:p>
        </w:tc>
        <w:tc>
          <w:tcPr>
            <w:tcW w:w="1630"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江河入海生态边界监测</w:t>
            </w:r>
          </w:p>
        </w:tc>
        <w:tc>
          <w:tcPr>
            <w:tcW w:w="733" w:type="pct"/>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（九）海洋碳汇监测</w:t>
            </w:r>
          </w:p>
        </w:tc>
        <w:tc>
          <w:tcPr>
            <w:tcW w:w="1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盐沼碳储量调查</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454" w:hRule="atLeast"/>
        </w:trPr>
        <w:tc>
          <w:tcPr>
            <w:tcW w:w="71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16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lang w:bidi="ar"/>
              </w:rPr>
              <w:t>海-气二氧化碳通量监测</w:t>
            </w:r>
          </w:p>
        </w:tc>
        <w:tc>
          <w:tcPr>
            <w:tcW w:w="7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p>
        </w:tc>
      </w:tr>
      <w:tr>
        <w:tblPrEx>
          <w:tblCellMar>
            <w:top w:w="0" w:type="dxa"/>
            <w:left w:w="108" w:type="dxa"/>
            <w:bottom w:w="0" w:type="dxa"/>
            <w:right w:w="108" w:type="dxa"/>
          </w:tblCellMar>
        </w:tblPrEx>
        <w:trPr>
          <w:trHeight w:val="1185" w:hRule="atLeast"/>
        </w:trPr>
        <w:tc>
          <w:tcPr>
            <w:tcW w:w="5000" w:type="pct"/>
            <w:gridSpan w:val="6"/>
            <w:tcBorders>
              <w:top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例：已完成工作内容：已完成xx航次外业工作，开展了xx站位、xx要素的调查采样工作，采集水质样品xx份、沉积物样品xx份，生物样品xx份。请详细填写各项监测内容的完成情况。</w:t>
            </w:r>
          </w:p>
        </w:tc>
      </w:tr>
    </w:tbl>
    <w:p>
      <w:pPr>
        <w:widowControl/>
        <w:ind w:firstLine="0" w:firstLineChars="0"/>
        <w:jc w:val="center"/>
        <w:rPr>
          <w:rFonts w:ascii="仿宋_GB2312" w:hAnsi="仿宋" w:eastAsia="仿宋_GB2312" w:cs="宋体"/>
          <w:bCs/>
          <w:color w:val="000000"/>
          <w:kern w:val="0"/>
          <w:szCs w:val="28"/>
        </w:rPr>
        <w:sectPr>
          <w:pgSz w:w="16838" w:h="11906" w:orient="landscape"/>
          <w:pgMar w:top="1803" w:right="1440" w:bottom="1803" w:left="1440" w:header="851" w:footer="992" w:gutter="0"/>
          <w:cols w:space="0" w:num="1"/>
          <w:docGrid w:type="lines" w:linePitch="395" w:charSpace="0"/>
        </w:sectPr>
      </w:pPr>
    </w:p>
    <w:p>
      <w:pPr>
        <w:keepNext/>
        <w:keepLines/>
        <w:widowControl/>
        <w:ind w:firstLine="643" w:firstLineChars="0"/>
        <w:jc w:val="left"/>
        <w:outlineLvl w:val="1"/>
        <w:rPr>
          <w:rFonts w:ascii="宋体" w:hAnsi="宋体" w:eastAsia="宋体" w:cs="宋体"/>
          <w:b/>
          <w:color w:val="000000" w:themeColor="text1"/>
          <w:kern w:val="0"/>
          <w:sz w:val="32"/>
          <w:szCs w:val="32"/>
          <w14:textFill>
            <w14:solidFill>
              <w14:schemeClr w14:val="tx1"/>
            </w14:solidFill>
          </w14:textFill>
        </w:rPr>
      </w:pPr>
      <w:bookmarkStart w:id="52" w:name="_Toc192668456"/>
      <w:r>
        <w:rPr>
          <w:rFonts w:hint="eastAsia" w:ascii="仿宋_GB2312" w:hAnsi="仿宋_GB2312" w:eastAsia="仿宋_GB2312" w:cs="仿宋_GB2312"/>
          <w:b/>
          <w:color w:val="000000" w:themeColor="text1"/>
          <w:kern w:val="0"/>
          <w:sz w:val="32"/>
          <w:szCs w:val="32"/>
          <w14:textFill>
            <w14:solidFill>
              <w14:schemeClr w14:val="tx1"/>
            </w14:solidFill>
          </w14:textFill>
        </w:rPr>
        <w:t>附件4</w:t>
      </w:r>
      <w:r>
        <w:rPr>
          <w:rFonts w:hint="eastAsia" w:ascii="宋体" w:hAnsi="宋体" w:eastAsia="宋体" w:cs="宋体"/>
          <w:b/>
          <w:color w:val="000000" w:themeColor="text1"/>
          <w:kern w:val="0"/>
          <w:sz w:val="32"/>
          <w:szCs w:val="32"/>
          <w14:textFill>
            <w14:solidFill>
              <w14:schemeClr w14:val="tx1"/>
            </w14:solidFill>
          </w14:textFill>
        </w:rPr>
        <w:t xml:space="preserve"> </w:t>
      </w:r>
      <w:bookmarkEnd w:id="48"/>
      <w:bookmarkEnd w:id="49"/>
    </w:p>
    <w:p>
      <w:pPr>
        <w:widowControl/>
        <w:ind w:firstLine="0" w:firstLineChars="0"/>
        <w:jc w:val="center"/>
        <w:rPr>
          <w:rFonts w:ascii="仿宋_GB2312" w:hAnsi="仿宋" w:eastAsia="仿宋_GB2312" w:cs="宋体"/>
          <w:b/>
          <w:bCs w:val="0"/>
          <w:color w:val="000000"/>
          <w:kern w:val="0"/>
          <w:szCs w:val="28"/>
        </w:rPr>
      </w:pPr>
      <w:r>
        <w:rPr>
          <w:rFonts w:hint="eastAsia" w:ascii="仿宋_GB2312" w:hAnsi="仿宋" w:eastAsia="仿宋_GB2312" w:cs="宋体"/>
          <w:b/>
          <w:bCs w:val="0"/>
          <w:color w:val="000000"/>
          <w:kern w:val="0"/>
          <w:szCs w:val="28"/>
        </w:rPr>
        <w:t>实验室质控评估事项</w:t>
      </w:r>
      <w:bookmarkEnd w:id="50"/>
      <w:bookmarkEnd w:id="52"/>
    </w:p>
    <w:tbl>
      <w:tblPr>
        <w:tblStyle w:val="30"/>
        <w:tblW w:w="5387" w:type="pct"/>
        <w:tblInd w:w="-25" w:type="dxa"/>
        <w:tblLayout w:type="autofit"/>
        <w:tblCellMar>
          <w:top w:w="0" w:type="dxa"/>
          <w:left w:w="108" w:type="dxa"/>
          <w:bottom w:w="0" w:type="dxa"/>
          <w:right w:w="108" w:type="dxa"/>
        </w:tblCellMar>
      </w:tblPr>
      <w:tblGrid>
        <w:gridCol w:w="26"/>
        <w:gridCol w:w="1598"/>
        <w:gridCol w:w="873"/>
        <w:gridCol w:w="4153"/>
        <w:gridCol w:w="1892"/>
        <w:gridCol w:w="633"/>
      </w:tblGrid>
      <w:tr>
        <w:tblPrEx>
          <w:tblCellMar>
            <w:top w:w="0" w:type="dxa"/>
            <w:left w:w="108" w:type="dxa"/>
            <w:bottom w:w="0" w:type="dxa"/>
            <w:right w:w="108" w:type="dxa"/>
          </w:tblCellMar>
        </w:tblPrEx>
        <w:trPr>
          <w:gridBefore w:val="1"/>
          <w:gridAfter w:val="1"/>
          <w:wBefore w:w="14" w:type="pct"/>
          <w:wAfter w:w="345" w:type="pct"/>
          <w:trHeight w:val="288" w:hRule="atLeast"/>
        </w:trPr>
        <w:tc>
          <w:tcPr>
            <w:tcW w:w="871"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类别</w:t>
            </w:r>
          </w:p>
        </w:tc>
        <w:tc>
          <w:tcPr>
            <w:tcW w:w="476" w:type="pct"/>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序号</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评估事项</w:t>
            </w:r>
          </w:p>
        </w:tc>
      </w:tr>
      <w:tr>
        <w:tblPrEx>
          <w:tblCellMar>
            <w:top w:w="0" w:type="dxa"/>
            <w:left w:w="108" w:type="dxa"/>
            <w:bottom w:w="0" w:type="dxa"/>
            <w:right w:w="108" w:type="dxa"/>
          </w:tblCellMar>
        </w:tblPrEx>
        <w:trPr>
          <w:gridBefore w:val="1"/>
          <w:gridAfter w:val="1"/>
          <w:wBefore w:w="14" w:type="pct"/>
          <w:wAfter w:w="345" w:type="pct"/>
          <w:trHeight w:val="1032" w:hRule="atLeast"/>
        </w:trPr>
        <w:tc>
          <w:tcPr>
            <w:tcW w:w="871" w:type="pct"/>
            <w:vMerge w:val="restart"/>
            <w:tcBorders>
              <w:top w:val="nil"/>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样品交接与保存</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设置接样人，样品交接时，核查采样记录，清点样品数量、核查样品状态、固定剂、样品量等信息</w:t>
            </w:r>
          </w:p>
        </w:tc>
      </w:tr>
      <w:tr>
        <w:tblPrEx>
          <w:tblCellMar>
            <w:top w:w="0" w:type="dxa"/>
            <w:left w:w="108" w:type="dxa"/>
            <w:bottom w:w="0" w:type="dxa"/>
            <w:right w:w="108" w:type="dxa"/>
          </w:tblCellMar>
        </w:tblPrEx>
        <w:trPr>
          <w:gridBefore w:val="1"/>
          <w:gridAfter w:val="1"/>
          <w:wBefore w:w="14" w:type="pct"/>
          <w:wAfter w:w="345" w:type="pct"/>
          <w:trHeight w:val="792" w:hRule="atLeast"/>
        </w:trPr>
        <w:tc>
          <w:tcPr>
            <w:tcW w:w="871" w:type="pct"/>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按照规范要求保存样品（比如冷冻、冷藏、样品保存时限）</w:t>
            </w:r>
          </w:p>
        </w:tc>
      </w:tr>
      <w:tr>
        <w:tblPrEx>
          <w:tblCellMar>
            <w:top w:w="0" w:type="dxa"/>
            <w:left w:w="108" w:type="dxa"/>
            <w:bottom w:w="0" w:type="dxa"/>
            <w:right w:w="108" w:type="dxa"/>
          </w:tblCellMar>
        </w:tblPrEx>
        <w:trPr>
          <w:gridBefore w:val="1"/>
          <w:gridAfter w:val="1"/>
          <w:wBefore w:w="14" w:type="pct"/>
          <w:wAfter w:w="345" w:type="pct"/>
          <w:trHeight w:val="600" w:hRule="atLeast"/>
        </w:trPr>
        <w:tc>
          <w:tcPr>
            <w:tcW w:w="871" w:type="pct"/>
            <w:vMerge w:val="continue"/>
            <w:tcBorders>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样品流转符合分析要求</w:t>
            </w:r>
          </w:p>
        </w:tc>
      </w:tr>
      <w:tr>
        <w:tblPrEx>
          <w:tblCellMar>
            <w:top w:w="0" w:type="dxa"/>
            <w:left w:w="108" w:type="dxa"/>
            <w:bottom w:w="0" w:type="dxa"/>
            <w:right w:w="108" w:type="dxa"/>
          </w:tblCellMar>
        </w:tblPrEx>
        <w:trPr>
          <w:gridBefore w:val="1"/>
          <w:gridAfter w:val="1"/>
          <w:wBefore w:w="14" w:type="pct"/>
          <w:wAfter w:w="345" w:type="pct"/>
          <w:trHeight w:val="600" w:hRule="atLeast"/>
        </w:trPr>
        <w:tc>
          <w:tcPr>
            <w:tcW w:w="871" w:type="pct"/>
            <w:vMerge w:val="restart"/>
            <w:tcBorders>
              <w:top w:val="nil"/>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试剂</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4</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选用的化学试剂级别满足检测要求</w:t>
            </w:r>
          </w:p>
        </w:tc>
      </w:tr>
      <w:tr>
        <w:tblPrEx>
          <w:tblCellMar>
            <w:top w:w="0" w:type="dxa"/>
            <w:left w:w="108" w:type="dxa"/>
            <w:bottom w:w="0" w:type="dxa"/>
            <w:right w:w="108" w:type="dxa"/>
          </w:tblCellMar>
        </w:tblPrEx>
        <w:trPr>
          <w:gridBefore w:val="1"/>
          <w:gridAfter w:val="1"/>
          <w:wBefore w:w="14" w:type="pct"/>
          <w:wAfter w:w="345" w:type="pct"/>
          <w:trHeight w:val="600" w:hRule="atLeast"/>
        </w:trPr>
        <w:tc>
          <w:tcPr>
            <w:tcW w:w="871" w:type="pct"/>
            <w:vMerge w:val="continue"/>
            <w:tcBorders>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5</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试剂配制规范，并确保在有效期内使用</w:t>
            </w:r>
          </w:p>
        </w:tc>
      </w:tr>
      <w:tr>
        <w:tblPrEx>
          <w:tblCellMar>
            <w:top w:w="0" w:type="dxa"/>
            <w:left w:w="108" w:type="dxa"/>
            <w:bottom w:w="0" w:type="dxa"/>
            <w:right w:w="108" w:type="dxa"/>
          </w:tblCellMar>
        </w:tblPrEx>
        <w:trPr>
          <w:gridBefore w:val="1"/>
          <w:gridAfter w:val="1"/>
          <w:wBefore w:w="14" w:type="pct"/>
          <w:wAfter w:w="345" w:type="pct"/>
          <w:trHeight w:val="588" w:hRule="atLeast"/>
        </w:trPr>
        <w:tc>
          <w:tcPr>
            <w:tcW w:w="871" w:type="pct"/>
            <w:vMerge w:val="continue"/>
            <w:tcBorders>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6</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试剂空白（分析空白）检测结果满足要求</w:t>
            </w:r>
          </w:p>
        </w:tc>
      </w:tr>
      <w:tr>
        <w:tblPrEx>
          <w:tblCellMar>
            <w:top w:w="0" w:type="dxa"/>
            <w:left w:w="108" w:type="dxa"/>
            <w:bottom w:w="0" w:type="dxa"/>
            <w:right w:w="108" w:type="dxa"/>
          </w:tblCellMar>
        </w:tblPrEx>
        <w:trPr>
          <w:gridBefore w:val="1"/>
          <w:gridAfter w:val="1"/>
          <w:wBefore w:w="14" w:type="pct"/>
          <w:wAfter w:w="345" w:type="pct"/>
          <w:trHeight w:val="672" w:hRule="atLeast"/>
        </w:trPr>
        <w:tc>
          <w:tcPr>
            <w:tcW w:w="871" w:type="pc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纯水</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7</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实验室用纯水符合各项目分析要求，质量检测或验收记录完整</w:t>
            </w:r>
          </w:p>
        </w:tc>
      </w:tr>
      <w:tr>
        <w:tblPrEx>
          <w:tblCellMar>
            <w:top w:w="0" w:type="dxa"/>
            <w:left w:w="108" w:type="dxa"/>
            <w:bottom w:w="0" w:type="dxa"/>
            <w:right w:w="108" w:type="dxa"/>
          </w:tblCellMar>
        </w:tblPrEx>
        <w:trPr>
          <w:gridBefore w:val="1"/>
          <w:gridAfter w:val="1"/>
          <w:wBefore w:w="14" w:type="pct"/>
          <w:wAfter w:w="345" w:type="pct"/>
          <w:trHeight w:val="624" w:hRule="atLeast"/>
        </w:trPr>
        <w:tc>
          <w:tcPr>
            <w:tcW w:w="871" w:type="pc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校准曲线</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8</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校准曲线绘制规范性要求，并确保使用的有效性</w:t>
            </w:r>
          </w:p>
        </w:tc>
      </w:tr>
      <w:tr>
        <w:tblPrEx>
          <w:tblCellMar>
            <w:top w:w="0" w:type="dxa"/>
            <w:left w:w="108" w:type="dxa"/>
            <w:bottom w:w="0" w:type="dxa"/>
            <w:right w:w="108" w:type="dxa"/>
          </w:tblCellMar>
        </w:tblPrEx>
        <w:trPr>
          <w:gridBefore w:val="1"/>
          <w:gridAfter w:val="1"/>
          <w:wBefore w:w="14" w:type="pct"/>
          <w:wAfter w:w="345" w:type="pct"/>
          <w:trHeight w:val="648" w:hRule="atLeast"/>
        </w:trPr>
        <w:tc>
          <w:tcPr>
            <w:tcW w:w="871" w:type="pc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分析方法</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9</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项目分析标准方法选用的符合性要求</w:t>
            </w:r>
          </w:p>
        </w:tc>
      </w:tr>
      <w:tr>
        <w:tblPrEx>
          <w:tblCellMar>
            <w:top w:w="0" w:type="dxa"/>
            <w:left w:w="108" w:type="dxa"/>
            <w:bottom w:w="0" w:type="dxa"/>
            <w:right w:w="108" w:type="dxa"/>
          </w:tblCellMar>
        </w:tblPrEx>
        <w:trPr>
          <w:gridBefore w:val="1"/>
          <w:gridAfter w:val="1"/>
          <w:wBefore w:w="14" w:type="pct"/>
          <w:wAfter w:w="345" w:type="pct"/>
          <w:trHeight w:val="696" w:hRule="atLeast"/>
        </w:trPr>
        <w:tc>
          <w:tcPr>
            <w:tcW w:w="871" w:type="pc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生物样品鉴定</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10</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生物生态样品鉴定分析项目的考查</w:t>
            </w:r>
          </w:p>
        </w:tc>
      </w:tr>
      <w:tr>
        <w:tblPrEx>
          <w:tblCellMar>
            <w:top w:w="0" w:type="dxa"/>
            <w:left w:w="108" w:type="dxa"/>
            <w:bottom w:w="0" w:type="dxa"/>
            <w:right w:w="108" w:type="dxa"/>
          </w:tblCellMar>
        </w:tblPrEx>
        <w:trPr>
          <w:gridBefore w:val="1"/>
          <w:gridAfter w:val="1"/>
          <w:wBefore w:w="14" w:type="pct"/>
          <w:wAfter w:w="345" w:type="pct"/>
          <w:trHeight w:val="1212" w:hRule="atLeast"/>
        </w:trPr>
        <w:tc>
          <w:tcPr>
            <w:tcW w:w="87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仪器与环境</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11</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实验用计量器具的检定/校准期内使用，检定或校准结果符合标准规范要求，检定或校准结果中的修正信息得到正确的应用</w:t>
            </w:r>
          </w:p>
        </w:tc>
      </w:tr>
      <w:tr>
        <w:tblPrEx>
          <w:tblCellMar>
            <w:top w:w="0" w:type="dxa"/>
            <w:left w:w="108" w:type="dxa"/>
            <w:bottom w:w="0" w:type="dxa"/>
            <w:right w:w="108" w:type="dxa"/>
          </w:tblCellMar>
        </w:tblPrEx>
        <w:trPr>
          <w:gridBefore w:val="1"/>
          <w:gridAfter w:val="1"/>
          <w:wBefore w:w="14" w:type="pct"/>
          <w:wAfter w:w="345" w:type="pct"/>
          <w:trHeight w:val="720" w:hRule="atLeast"/>
        </w:trPr>
        <w:tc>
          <w:tcPr>
            <w:tcW w:w="87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12</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实验室环境条件符合仪器使用和标准规范要求</w:t>
            </w:r>
          </w:p>
        </w:tc>
      </w:tr>
      <w:tr>
        <w:tblPrEx>
          <w:tblCellMar>
            <w:top w:w="0" w:type="dxa"/>
            <w:left w:w="108" w:type="dxa"/>
            <w:bottom w:w="0" w:type="dxa"/>
            <w:right w:w="108" w:type="dxa"/>
          </w:tblCellMar>
        </w:tblPrEx>
        <w:trPr>
          <w:gridBefore w:val="1"/>
          <w:gridAfter w:val="1"/>
          <w:wBefore w:w="14" w:type="pct"/>
          <w:wAfter w:w="345" w:type="pct"/>
          <w:trHeight w:val="732" w:hRule="atLeast"/>
        </w:trPr>
        <w:tc>
          <w:tcPr>
            <w:tcW w:w="87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实验操作与记录</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13</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样品分析实验过程中程序与操作的规范性要求</w:t>
            </w:r>
          </w:p>
        </w:tc>
      </w:tr>
      <w:tr>
        <w:tblPrEx>
          <w:tblCellMar>
            <w:top w:w="0" w:type="dxa"/>
            <w:left w:w="108" w:type="dxa"/>
            <w:bottom w:w="0" w:type="dxa"/>
            <w:right w:w="108" w:type="dxa"/>
          </w:tblCellMar>
        </w:tblPrEx>
        <w:trPr>
          <w:gridBefore w:val="1"/>
          <w:gridAfter w:val="1"/>
          <w:wBefore w:w="14" w:type="pct"/>
          <w:wAfter w:w="345" w:type="pct"/>
          <w:trHeight w:val="756" w:hRule="atLeast"/>
        </w:trPr>
        <w:tc>
          <w:tcPr>
            <w:tcW w:w="87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14</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实验分析记录表填写及时、准确、规范、完整性要求</w:t>
            </w:r>
          </w:p>
        </w:tc>
      </w:tr>
      <w:tr>
        <w:tblPrEx>
          <w:tblCellMar>
            <w:top w:w="0" w:type="dxa"/>
            <w:left w:w="108" w:type="dxa"/>
            <w:bottom w:w="0" w:type="dxa"/>
            <w:right w:w="108" w:type="dxa"/>
          </w:tblCellMar>
        </w:tblPrEx>
        <w:trPr>
          <w:gridBefore w:val="1"/>
          <w:gridAfter w:val="1"/>
          <w:wBefore w:w="14" w:type="pct"/>
          <w:wAfter w:w="345" w:type="pct"/>
          <w:trHeight w:val="804" w:hRule="atLeast"/>
        </w:trPr>
        <w:tc>
          <w:tcPr>
            <w:tcW w:w="871"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15</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实验分析结果数据处理（计算）与有效数字位数修约正确</w:t>
            </w:r>
          </w:p>
        </w:tc>
      </w:tr>
      <w:tr>
        <w:tblPrEx>
          <w:tblCellMar>
            <w:top w:w="0" w:type="dxa"/>
            <w:left w:w="108" w:type="dxa"/>
            <w:bottom w:w="0" w:type="dxa"/>
            <w:right w:w="108" w:type="dxa"/>
          </w:tblCellMar>
        </w:tblPrEx>
        <w:trPr>
          <w:gridBefore w:val="1"/>
          <w:gridAfter w:val="1"/>
          <w:wBefore w:w="14" w:type="pct"/>
          <w:wAfter w:w="345" w:type="pct"/>
          <w:trHeight w:val="852" w:hRule="atLeast"/>
        </w:trPr>
        <w:tc>
          <w:tcPr>
            <w:tcW w:w="87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实验操作与记录</w:t>
            </w:r>
          </w:p>
        </w:tc>
        <w:tc>
          <w:tcPr>
            <w:tcW w:w="476"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16</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样品流转的时效性及样品称量或量取操作规范性要求</w:t>
            </w:r>
          </w:p>
        </w:tc>
      </w:tr>
      <w:tr>
        <w:tblPrEx>
          <w:tblCellMar>
            <w:top w:w="0" w:type="dxa"/>
            <w:left w:w="108" w:type="dxa"/>
            <w:bottom w:w="0" w:type="dxa"/>
            <w:right w:w="108" w:type="dxa"/>
          </w:tblCellMar>
        </w:tblPrEx>
        <w:trPr>
          <w:gridBefore w:val="1"/>
          <w:gridAfter w:val="1"/>
          <w:wBefore w:w="14" w:type="pct"/>
          <w:wAfter w:w="345" w:type="pct"/>
          <w:trHeight w:val="648" w:hRule="atLeast"/>
        </w:trPr>
        <w:tc>
          <w:tcPr>
            <w:tcW w:w="871"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17</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样品前处理、使用器皿、操 作过程等规范</w:t>
            </w:r>
          </w:p>
        </w:tc>
      </w:tr>
      <w:tr>
        <w:tblPrEx>
          <w:tblCellMar>
            <w:top w:w="0" w:type="dxa"/>
            <w:left w:w="108" w:type="dxa"/>
            <w:bottom w:w="0" w:type="dxa"/>
            <w:right w:w="108" w:type="dxa"/>
          </w:tblCellMar>
        </w:tblPrEx>
        <w:trPr>
          <w:gridBefore w:val="1"/>
          <w:gridAfter w:val="1"/>
          <w:wBefore w:w="14" w:type="pct"/>
          <w:wAfter w:w="345" w:type="pct"/>
          <w:trHeight w:val="804" w:hRule="atLeast"/>
        </w:trPr>
        <w:tc>
          <w:tcPr>
            <w:tcW w:w="871" w:type="pct"/>
            <w:vMerge w:val="restart"/>
            <w:tcBorders>
              <w:top w:val="single" w:color="auto" w:sz="4" w:space="0"/>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内部质控</w:t>
            </w: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18</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监测任务执行前，有明确的质控计划下达给检测人员</w:t>
            </w:r>
          </w:p>
        </w:tc>
      </w:tr>
      <w:tr>
        <w:tblPrEx>
          <w:tblCellMar>
            <w:top w:w="0" w:type="dxa"/>
            <w:left w:w="108" w:type="dxa"/>
            <w:bottom w:w="0" w:type="dxa"/>
            <w:right w:w="108" w:type="dxa"/>
          </w:tblCellMar>
        </w:tblPrEx>
        <w:trPr>
          <w:gridBefore w:val="1"/>
          <w:gridAfter w:val="1"/>
          <w:wBefore w:w="14" w:type="pct"/>
          <w:wAfter w:w="345" w:type="pct"/>
          <w:trHeight w:val="696" w:hRule="atLeast"/>
        </w:trPr>
        <w:tc>
          <w:tcPr>
            <w:tcW w:w="871" w:type="pct"/>
            <w:vMerge w:val="continue"/>
            <w:tcBorders>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19</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实验室质控措施和分析方法要求明确</w:t>
            </w:r>
          </w:p>
        </w:tc>
      </w:tr>
      <w:tr>
        <w:tblPrEx>
          <w:tblCellMar>
            <w:top w:w="0" w:type="dxa"/>
            <w:left w:w="108" w:type="dxa"/>
            <w:bottom w:w="0" w:type="dxa"/>
            <w:right w:w="108" w:type="dxa"/>
          </w:tblCellMar>
        </w:tblPrEx>
        <w:trPr>
          <w:gridBefore w:val="1"/>
          <w:gridAfter w:val="1"/>
          <w:wBefore w:w="14" w:type="pct"/>
          <w:wAfter w:w="345" w:type="pct"/>
          <w:trHeight w:val="744" w:hRule="atLeast"/>
        </w:trPr>
        <w:tc>
          <w:tcPr>
            <w:tcW w:w="871" w:type="pct"/>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20</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实验分析过程中按照质量管理方案开展内部质控，记录完整</w:t>
            </w:r>
          </w:p>
        </w:tc>
      </w:tr>
      <w:tr>
        <w:tblPrEx>
          <w:tblCellMar>
            <w:top w:w="0" w:type="dxa"/>
            <w:left w:w="108" w:type="dxa"/>
            <w:bottom w:w="0" w:type="dxa"/>
            <w:right w:w="108" w:type="dxa"/>
          </w:tblCellMar>
        </w:tblPrEx>
        <w:trPr>
          <w:gridBefore w:val="1"/>
          <w:gridAfter w:val="1"/>
          <w:wBefore w:w="14" w:type="pct"/>
          <w:wAfter w:w="345" w:type="pct"/>
          <w:trHeight w:val="936" w:hRule="atLeast"/>
        </w:trPr>
        <w:tc>
          <w:tcPr>
            <w:tcW w:w="871" w:type="pct"/>
            <w:vMerge w:val="continue"/>
            <w:tcBorders>
              <w:left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21</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使用的标准物质应是有证标准物质或能够溯源到有证标准物质</w:t>
            </w:r>
          </w:p>
        </w:tc>
      </w:tr>
      <w:tr>
        <w:tblPrEx>
          <w:tblCellMar>
            <w:top w:w="0" w:type="dxa"/>
            <w:left w:w="108" w:type="dxa"/>
            <w:bottom w:w="0" w:type="dxa"/>
            <w:right w:w="108" w:type="dxa"/>
          </w:tblCellMar>
        </w:tblPrEx>
        <w:trPr>
          <w:gridBefore w:val="1"/>
          <w:gridAfter w:val="1"/>
          <w:wBefore w:w="14" w:type="pct"/>
          <w:wAfter w:w="345" w:type="pct"/>
          <w:trHeight w:val="288" w:hRule="atLeast"/>
        </w:trPr>
        <w:tc>
          <w:tcPr>
            <w:tcW w:w="871" w:type="pct"/>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22</w:t>
            </w:r>
          </w:p>
        </w:tc>
        <w:tc>
          <w:tcPr>
            <w:tcW w:w="2263" w:type="pct"/>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样品分析过程质控措施</w:t>
            </w:r>
          </w:p>
        </w:tc>
        <w:tc>
          <w:tcPr>
            <w:tcW w:w="1031"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□空白样</w:t>
            </w:r>
          </w:p>
        </w:tc>
      </w:tr>
      <w:tr>
        <w:tblPrEx>
          <w:tblCellMar>
            <w:top w:w="0" w:type="dxa"/>
            <w:left w:w="108" w:type="dxa"/>
            <w:bottom w:w="0" w:type="dxa"/>
            <w:right w:w="108" w:type="dxa"/>
          </w:tblCellMar>
        </w:tblPrEx>
        <w:trPr>
          <w:gridBefore w:val="1"/>
          <w:gridAfter w:val="1"/>
          <w:wBefore w:w="14" w:type="pct"/>
          <w:wAfter w:w="345" w:type="pct"/>
          <w:trHeight w:val="288" w:hRule="atLeast"/>
        </w:trPr>
        <w:tc>
          <w:tcPr>
            <w:tcW w:w="871" w:type="pct"/>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226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1031"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□平行样</w:t>
            </w:r>
          </w:p>
        </w:tc>
      </w:tr>
      <w:tr>
        <w:tblPrEx>
          <w:tblCellMar>
            <w:top w:w="0" w:type="dxa"/>
            <w:left w:w="108" w:type="dxa"/>
            <w:bottom w:w="0" w:type="dxa"/>
            <w:right w:w="108" w:type="dxa"/>
          </w:tblCellMar>
        </w:tblPrEx>
        <w:trPr>
          <w:gridBefore w:val="1"/>
          <w:gridAfter w:val="1"/>
          <w:wBefore w:w="14" w:type="pct"/>
          <w:wAfter w:w="345" w:type="pct"/>
          <w:trHeight w:val="288" w:hRule="atLeast"/>
        </w:trPr>
        <w:tc>
          <w:tcPr>
            <w:tcW w:w="871" w:type="pct"/>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226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1031"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□内控样</w:t>
            </w:r>
          </w:p>
        </w:tc>
      </w:tr>
      <w:tr>
        <w:tblPrEx>
          <w:tblCellMar>
            <w:top w:w="0" w:type="dxa"/>
            <w:left w:w="108" w:type="dxa"/>
            <w:bottom w:w="0" w:type="dxa"/>
            <w:right w:w="108" w:type="dxa"/>
          </w:tblCellMar>
        </w:tblPrEx>
        <w:trPr>
          <w:gridBefore w:val="1"/>
          <w:gridAfter w:val="1"/>
          <w:wBefore w:w="14" w:type="pct"/>
          <w:wAfter w:w="345" w:type="pct"/>
          <w:trHeight w:val="288" w:hRule="atLeast"/>
        </w:trPr>
        <w:tc>
          <w:tcPr>
            <w:tcW w:w="871" w:type="pct"/>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226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1031"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□加标回收</w:t>
            </w:r>
          </w:p>
        </w:tc>
      </w:tr>
      <w:tr>
        <w:tblPrEx>
          <w:tblCellMar>
            <w:top w:w="0" w:type="dxa"/>
            <w:left w:w="108" w:type="dxa"/>
            <w:bottom w:w="0" w:type="dxa"/>
            <w:right w:w="108" w:type="dxa"/>
          </w:tblCellMar>
        </w:tblPrEx>
        <w:trPr>
          <w:gridBefore w:val="1"/>
          <w:gridAfter w:val="1"/>
          <w:wBefore w:w="14" w:type="pct"/>
          <w:wAfter w:w="345" w:type="pct"/>
          <w:trHeight w:val="288" w:hRule="atLeast"/>
        </w:trPr>
        <w:tc>
          <w:tcPr>
            <w:tcW w:w="871" w:type="pct"/>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226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1031"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□其 他：</w:t>
            </w:r>
          </w:p>
        </w:tc>
      </w:tr>
      <w:tr>
        <w:tblPrEx>
          <w:tblCellMar>
            <w:top w:w="0" w:type="dxa"/>
            <w:left w:w="108" w:type="dxa"/>
            <w:bottom w:w="0" w:type="dxa"/>
            <w:right w:w="108" w:type="dxa"/>
          </w:tblCellMar>
        </w:tblPrEx>
        <w:trPr>
          <w:gridBefore w:val="1"/>
          <w:gridAfter w:val="1"/>
          <w:wBefore w:w="14" w:type="pct"/>
          <w:wAfter w:w="345" w:type="pct"/>
          <w:trHeight w:val="288" w:hRule="atLeast"/>
        </w:trPr>
        <w:tc>
          <w:tcPr>
            <w:tcW w:w="871" w:type="pct"/>
            <w:vMerge w:val="continue"/>
            <w:tcBorders>
              <w:left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76"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226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1031"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 xml:space="preserve">        </w:t>
            </w:r>
          </w:p>
        </w:tc>
      </w:tr>
      <w:tr>
        <w:tblPrEx>
          <w:tblCellMar>
            <w:top w:w="0" w:type="dxa"/>
            <w:left w:w="108" w:type="dxa"/>
            <w:bottom w:w="0" w:type="dxa"/>
            <w:right w:w="108" w:type="dxa"/>
          </w:tblCellMar>
        </w:tblPrEx>
        <w:trPr>
          <w:gridBefore w:val="1"/>
          <w:gridAfter w:val="1"/>
          <w:wBefore w:w="14" w:type="pct"/>
          <w:wAfter w:w="345" w:type="pct"/>
          <w:trHeight w:val="720" w:hRule="atLeast"/>
        </w:trPr>
        <w:tc>
          <w:tcPr>
            <w:tcW w:w="871" w:type="pct"/>
            <w:vMerge w:val="continue"/>
            <w:tcBorders>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476" w:type="pct"/>
            <w:tcBorders>
              <w:top w:val="nil"/>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23</w:t>
            </w:r>
          </w:p>
        </w:tc>
        <w:tc>
          <w:tcPr>
            <w:tcW w:w="3294" w:type="pct"/>
            <w:gridSpan w:val="2"/>
            <w:tcBorders>
              <w:top w:val="single" w:color="auto" w:sz="4" w:space="0"/>
              <w:left w:val="nil"/>
              <w:bottom w:val="single" w:color="auto" w:sz="4" w:space="0"/>
              <w:right w:val="single" w:color="auto" w:sz="4" w:space="0"/>
            </w:tcBorders>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对质控结果进行分析评价，判断质控结果是否符合要求</w:t>
            </w:r>
          </w:p>
        </w:tc>
      </w:tr>
      <w:tr>
        <w:tblPrEx>
          <w:tblCellMar>
            <w:top w:w="0" w:type="dxa"/>
            <w:left w:w="108" w:type="dxa"/>
            <w:bottom w:w="0" w:type="dxa"/>
            <w:right w:w="108" w:type="dxa"/>
          </w:tblCellMar>
        </w:tblPrEx>
        <w:trPr>
          <w:trHeight w:val="790" w:hRule="atLeast"/>
        </w:trPr>
        <w:tc>
          <w:tcPr>
            <w:tcW w:w="5000" w:type="pct"/>
            <w:gridSpan w:val="6"/>
            <w:tcBorders>
              <w:top w:val="single" w:color="auto" w:sz="4" w:space="0"/>
            </w:tcBorders>
            <w:vAlign w:val="center"/>
          </w:tcPr>
          <w:p>
            <w:pPr>
              <w:widowControl/>
              <w:ind w:firstLine="0" w:firstLineChars="0"/>
              <w:jc w:val="left"/>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注</w:t>
            </w:r>
            <w:r>
              <w:rPr>
                <w:rFonts w:ascii="仿宋_GB2312" w:hAnsi="仿宋" w:eastAsia="仿宋_GB2312" w:cs="宋体"/>
                <w:bCs/>
                <w:color w:val="000000"/>
                <w:kern w:val="0"/>
                <w:szCs w:val="28"/>
              </w:rPr>
              <w:t>：*</w:t>
            </w:r>
            <w:r>
              <w:rPr>
                <w:rFonts w:hint="eastAsia" w:ascii="仿宋_GB2312" w:hAnsi="仿宋" w:eastAsia="仿宋_GB2312" w:cs="宋体"/>
                <w:bCs/>
                <w:color w:val="000000"/>
                <w:kern w:val="0"/>
                <w:szCs w:val="28"/>
              </w:rPr>
              <w:t>加粗</w:t>
            </w:r>
            <w:r>
              <w:rPr>
                <w:rFonts w:ascii="仿宋_GB2312" w:hAnsi="仿宋" w:eastAsia="仿宋_GB2312" w:cs="宋体"/>
                <w:bCs/>
                <w:color w:val="000000"/>
                <w:kern w:val="0"/>
                <w:szCs w:val="28"/>
              </w:rPr>
              <w:t>为</w:t>
            </w:r>
            <w:r>
              <w:rPr>
                <w:rFonts w:hint="eastAsia" w:ascii="仿宋_GB2312" w:hAnsi="仿宋" w:eastAsia="仿宋_GB2312" w:cs="宋体"/>
                <w:bCs/>
                <w:color w:val="000000"/>
                <w:kern w:val="0"/>
                <w:szCs w:val="28"/>
              </w:rPr>
              <w:t>重点</w:t>
            </w:r>
            <w:r>
              <w:rPr>
                <w:rFonts w:ascii="仿宋_GB2312" w:hAnsi="仿宋" w:eastAsia="仿宋_GB2312" w:cs="宋体"/>
                <w:bCs/>
                <w:color w:val="000000"/>
                <w:kern w:val="0"/>
                <w:szCs w:val="28"/>
              </w:rPr>
              <w:t>评估项</w:t>
            </w:r>
          </w:p>
        </w:tc>
      </w:tr>
    </w:tbl>
    <w:p>
      <w:pPr>
        <w:widowControl/>
        <w:ind w:firstLine="0" w:firstLineChars="0"/>
        <w:jc w:val="center"/>
        <w:rPr>
          <w:rFonts w:ascii="仿宋_GB2312" w:hAnsi="仿宋" w:eastAsia="仿宋_GB2312" w:cs="宋体"/>
          <w:bCs/>
          <w:color w:val="000000"/>
          <w:kern w:val="0"/>
          <w:szCs w:val="28"/>
        </w:rPr>
      </w:pPr>
    </w:p>
    <w:p>
      <w:pPr>
        <w:widowControl/>
        <w:ind w:firstLine="0" w:firstLineChars="0"/>
        <w:jc w:val="center"/>
        <w:rPr>
          <w:rFonts w:ascii="仿宋_GB2312" w:hAnsi="仿宋" w:eastAsia="仿宋_GB2312" w:cs="宋体"/>
          <w:bCs/>
          <w:color w:val="000000"/>
          <w:kern w:val="0"/>
          <w:szCs w:val="28"/>
        </w:rPr>
        <w:sectPr>
          <w:pgSz w:w="11906" w:h="16838"/>
          <w:pgMar w:top="1440" w:right="1803" w:bottom="1440" w:left="1803" w:header="851" w:footer="992" w:gutter="0"/>
          <w:cols w:space="0" w:num="1"/>
          <w:docGrid w:type="lines" w:linePitch="395" w:charSpace="0"/>
        </w:sectPr>
      </w:pPr>
    </w:p>
    <w:p>
      <w:pPr>
        <w:keepNext/>
        <w:keepLines/>
        <w:widowControl/>
        <w:ind w:firstLine="643" w:firstLineChars="0"/>
        <w:jc w:val="left"/>
        <w:outlineLvl w:val="1"/>
        <w:rPr>
          <w:rFonts w:ascii="宋体" w:hAnsi="宋体" w:eastAsia="宋体" w:cs="宋体"/>
          <w:b/>
          <w:color w:val="000000" w:themeColor="text1"/>
          <w:kern w:val="0"/>
          <w:sz w:val="32"/>
          <w:szCs w:val="32"/>
          <w14:textFill>
            <w14:solidFill>
              <w14:schemeClr w14:val="tx1"/>
            </w14:solidFill>
          </w14:textFill>
        </w:rPr>
      </w:pPr>
      <w:bookmarkStart w:id="53" w:name="_Toc192668457"/>
      <w:bookmarkStart w:id="54" w:name="_Toc192596056"/>
      <w:r>
        <w:rPr>
          <w:rFonts w:hint="eastAsia" w:ascii="仿宋_GB2312" w:hAnsi="仿宋_GB2312" w:eastAsia="仿宋_GB2312" w:cs="仿宋_GB2312"/>
          <w:b/>
          <w:color w:val="000000" w:themeColor="text1"/>
          <w:kern w:val="0"/>
          <w:sz w:val="32"/>
          <w:szCs w:val="32"/>
          <w14:textFill>
            <w14:solidFill>
              <w14:schemeClr w14:val="tx1"/>
            </w14:solidFill>
          </w14:textFill>
        </w:rPr>
        <w:t>附件5</w:t>
      </w:r>
      <w:r>
        <w:rPr>
          <w:rFonts w:hint="eastAsia" w:ascii="宋体" w:hAnsi="宋体" w:eastAsia="宋体" w:cs="宋体"/>
          <w:b/>
          <w:color w:val="000000" w:themeColor="text1"/>
          <w:kern w:val="0"/>
          <w:sz w:val="32"/>
          <w:szCs w:val="32"/>
          <w14:textFill>
            <w14:solidFill>
              <w14:schemeClr w14:val="tx1"/>
            </w14:solidFill>
          </w14:textFill>
        </w:rPr>
        <w:t xml:space="preserve"> </w:t>
      </w:r>
    </w:p>
    <w:p>
      <w:pPr>
        <w:widowControl/>
        <w:ind w:firstLine="0" w:firstLineChars="0"/>
        <w:jc w:val="center"/>
        <w:rPr>
          <w:rFonts w:ascii="仿宋_GB2312" w:hAnsi="仿宋" w:eastAsia="仿宋_GB2312" w:cs="宋体"/>
          <w:b/>
          <w:bCs w:val="0"/>
          <w:color w:val="000000"/>
          <w:kern w:val="0"/>
          <w:szCs w:val="28"/>
        </w:rPr>
      </w:pPr>
      <w:r>
        <w:rPr>
          <w:rFonts w:hint="eastAsia" w:ascii="仿宋_GB2312" w:hAnsi="仿宋" w:eastAsia="仿宋_GB2312" w:cs="宋体"/>
          <w:b/>
          <w:bCs w:val="0"/>
          <w:color w:val="000000"/>
          <w:kern w:val="0"/>
          <w:szCs w:val="28"/>
        </w:rPr>
        <w:t>遥感解译和现状核查质控</w:t>
      </w:r>
      <w:bookmarkEnd w:id="51"/>
      <w:r>
        <w:rPr>
          <w:rFonts w:hint="eastAsia" w:ascii="仿宋_GB2312" w:hAnsi="仿宋" w:eastAsia="仿宋_GB2312" w:cs="宋体"/>
          <w:b/>
          <w:bCs w:val="0"/>
          <w:color w:val="000000"/>
          <w:kern w:val="0"/>
          <w:szCs w:val="28"/>
        </w:rPr>
        <w:t>评估事项</w:t>
      </w:r>
      <w:bookmarkEnd w:id="53"/>
      <w:bookmarkEnd w:id="54"/>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841"/>
        <w:gridCol w:w="5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类别</w:t>
            </w:r>
          </w:p>
        </w:tc>
        <w:tc>
          <w:tcPr>
            <w:tcW w:w="494"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序号</w:t>
            </w:r>
          </w:p>
        </w:tc>
        <w:tc>
          <w:tcPr>
            <w:tcW w:w="3480"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评估事项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26" w:type="pct"/>
            <w:vMerge w:val="restar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数据资料</w:t>
            </w:r>
          </w:p>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与工作底图</w:t>
            </w:r>
          </w:p>
        </w:tc>
        <w:tc>
          <w:tcPr>
            <w:tcW w:w="494"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w:t>
            </w:r>
          </w:p>
        </w:tc>
        <w:tc>
          <w:tcPr>
            <w:tcW w:w="3480"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采用的卫星遥感影像应具有相应的卫星标识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026" w:type="pct"/>
            <w:vMerge w:val="continue"/>
            <w:vAlign w:val="center"/>
          </w:tcPr>
          <w:p>
            <w:pPr>
              <w:widowControl/>
              <w:ind w:firstLine="0" w:firstLineChars="0"/>
              <w:jc w:val="center"/>
              <w:rPr>
                <w:rFonts w:ascii="仿宋_GB2312" w:hAnsi="仿宋" w:eastAsia="仿宋_GB2312" w:cs="宋体"/>
                <w:bCs/>
                <w:color w:val="000000"/>
                <w:kern w:val="0"/>
                <w:szCs w:val="28"/>
              </w:rPr>
            </w:pPr>
          </w:p>
        </w:tc>
        <w:tc>
          <w:tcPr>
            <w:tcW w:w="494"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w:t>
            </w:r>
          </w:p>
        </w:tc>
        <w:tc>
          <w:tcPr>
            <w:tcW w:w="3480"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查验工作底图和</w:t>
            </w:r>
            <w:r>
              <w:rPr>
                <w:rFonts w:ascii="仿宋_GB2312" w:hAnsi="仿宋" w:eastAsia="仿宋_GB2312" w:cs="宋体"/>
                <w:bCs/>
                <w:color w:val="000000"/>
                <w:kern w:val="0"/>
                <w:szCs w:val="28"/>
              </w:rPr>
              <w:t>卫星遥感影像</w:t>
            </w:r>
            <w:r>
              <w:rPr>
                <w:rFonts w:hint="eastAsia" w:ascii="仿宋_GB2312" w:hAnsi="仿宋" w:eastAsia="仿宋_GB2312" w:cs="宋体"/>
                <w:bCs/>
                <w:color w:val="000000"/>
                <w:kern w:val="0"/>
                <w:szCs w:val="28"/>
              </w:rPr>
              <w:t>数学基础（平面坐标系、投影、深度基准、高程基准等）符合规范要求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pct"/>
            <w:vMerge w:val="continue"/>
            <w:vAlign w:val="center"/>
          </w:tcPr>
          <w:p>
            <w:pPr>
              <w:widowControl/>
              <w:ind w:firstLine="0" w:firstLineChars="0"/>
              <w:jc w:val="center"/>
              <w:rPr>
                <w:rFonts w:ascii="仿宋_GB2312" w:hAnsi="仿宋" w:eastAsia="仿宋_GB2312" w:cs="宋体"/>
                <w:bCs/>
                <w:color w:val="000000"/>
                <w:kern w:val="0"/>
                <w:szCs w:val="28"/>
              </w:rPr>
            </w:pPr>
          </w:p>
        </w:tc>
        <w:tc>
          <w:tcPr>
            <w:tcW w:w="494" w:type="pct"/>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3</w:t>
            </w:r>
          </w:p>
        </w:tc>
        <w:tc>
          <w:tcPr>
            <w:tcW w:w="3480" w:type="pct"/>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核验遥感影像数据，确保时相、空间分辨率、云量、潮时等满足规范要求；</w:t>
            </w:r>
            <w:r>
              <w:rPr>
                <w:rFonts w:ascii="仿宋_GB2312" w:hAnsi="仿宋" w:eastAsia="仿宋_GB2312" w:cs="宋体"/>
                <w:b/>
                <w:bCs/>
                <w:color w:val="000000"/>
                <w:kern w:val="0"/>
                <w:szCs w:val="28"/>
              </w:rPr>
              <w:t>影像预处理是否符合规范要求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026" w:type="pct"/>
            <w:vMerge w:val="restar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遥感解译</w:t>
            </w:r>
          </w:p>
        </w:tc>
        <w:tc>
          <w:tcPr>
            <w:tcW w:w="494"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4</w:t>
            </w:r>
          </w:p>
        </w:tc>
        <w:tc>
          <w:tcPr>
            <w:tcW w:w="3480"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检查解译人员应经过技术培训并具备相应的能力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 w:type="pct"/>
            <w:vMerge w:val="continue"/>
            <w:vAlign w:val="center"/>
          </w:tcPr>
          <w:p>
            <w:pPr>
              <w:widowControl/>
              <w:ind w:firstLine="0" w:firstLineChars="0"/>
              <w:jc w:val="center"/>
              <w:rPr>
                <w:rFonts w:ascii="仿宋_GB2312" w:hAnsi="仿宋" w:eastAsia="仿宋_GB2312" w:cs="宋体"/>
                <w:bCs/>
                <w:color w:val="000000"/>
                <w:kern w:val="0"/>
                <w:szCs w:val="28"/>
              </w:rPr>
            </w:pPr>
          </w:p>
        </w:tc>
        <w:tc>
          <w:tcPr>
            <w:tcW w:w="494" w:type="pct"/>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5</w:t>
            </w:r>
          </w:p>
        </w:tc>
        <w:tc>
          <w:tcPr>
            <w:tcW w:w="3480" w:type="pct"/>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确认解译标志建立、解译方法和图斑</w:t>
            </w:r>
            <w:r>
              <w:rPr>
                <w:rFonts w:ascii="仿宋_GB2312" w:hAnsi="仿宋" w:eastAsia="仿宋_GB2312" w:cs="宋体"/>
                <w:b/>
                <w:bCs/>
                <w:color w:val="000000"/>
                <w:kern w:val="0"/>
                <w:szCs w:val="28"/>
              </w:rPr>
              <w:t>解译结果</w:t>
            </w:r>
            <w:r>
              <w:rPr>
                <w:rFonts w:hint="eastAsia" w:ascii="仿宋_GB2312" w:hAnsi="仿宋" w:eastAsia="仿宋_GB2312" w:cs="宋体"/>
                <w:b/>
                <w:bCs/>
                <w:color w:val="000000"/>
                <w:kern w:val="0"/>
                <w:szCs w:val="28"/>
              </w:rPr>
              <w:t>符合规范要求（适用时）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6" w:type="pct"/>
            <w:vMerge w:val="continue"/>
            <w:vAlign w:val="center"/>
          </w:tcPr>
          <w:p>
            <w:pPr>
              <w:widowControl/>
              <w:ind w:firstLine="0" w:firstLineChars="0"/>
              <w:jc w:val="center"/>
              <w:rPr>
                <w:rFonts w:ascii="仿宋_GB2312" w:hAnsi="仿宋" w:eastAsia="仿宋_GB2312" w:cs="宋体"/>
                <w:bCs/>
                <w:color w:val="000000"/>
                <w:kern w:val="0"/>
                <w:szCs w:val="28"/>
              </w:rPr>
            </w:pPr>
          </w:p>
        </w:tc>
        <w:tc>
          <w:tcPr>
            <w:tcW w:w="494"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6</w:t>
            </w:r>
          </w:p>
        </w:tc>
        <w:tc>
          <w:tcPr>
            <w:tcW w:w="3480"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核验解译图斑属性信息表内容完整准确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26" w:type="pct"/>
            <w:vMerge w:val="restar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内业核查</w:t>
            </w:r>
          </w:p>
        </w:tc>
        <w:tc>
          <w:tcPr>
            <w:tcW w:w="494"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7</w:t>
            </w:r>
          </w:p>
        </w:tc>
        <w:tc>
          <w:tcPr>
            <w:tcW w:w="3480"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检查解译结果应另有专人审核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pct"/>
            <w:vMerge w:val="continue"/>
            <w:vAlign w:val="center"/>
          </w:tcPr>
          <w:p>
            <w:pPr>
              <w:widowControl/>
              <w:ind w:firstLine="0" w:firstLineChars="0"/>
              <w:jc w:val="center"/>
              <w:rPr>
                <w:rFonts w:ascii="仿宋_GB2312" w:hAnsi="仿宋" w:eastAsia="仿宋_GB2312" w:cs="宋体"/>
                <w:bCs/>
                <w:color w:val="000000"/>
                <w:kern w:val="0"/>
                <w:szCs w:val="28"/>
              </w:rPr>
            </w:pPr>
          </w:p>
        </w:tc>
        <w:tc>
          <w:tcPr>
            <w:tcW w:w="494"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8</w:t>
            </w:r>
          </w:p>
        </w:tc>
        <w:tc>
          <w:tcPr>
            <w:tcW w:w="3480"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确认内业核查所用遥感影像、历史数据资料（数据、图件或实地照片等）来源准确可靠（适用时）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pct"/>
            <w:vMerge w:val="continue"/>
            <w:vAlign w:val="center"/>
          </w:tcPr>
          <w:p>
            <w:pPr>
              <w:widowControl/>
              <w:ind w:firstLine="0" w:firstLineChars="0"/>
              <w:jc w:val="center"/>
              <w:rPr>
                <w:rFonts w:ascii="仿宋_GB2312" w:hAnsi="仿宋" w:eastAsia="仿宋_GB2312" w:cs="宋体"/>
                <w:bCs/>
                <w:color w:val="000000"/>
                <w:kern w:val="0"/>
                <w:szCs w:val="28"/>
              </w:rPr>
            </w:pPr>
          </w:p>
        </w:tc>
        <w:tc>
          <w:tcPr>
            <w:tcW w:w="494"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9</w:t>
            </w:r>
          </w:p>
        </w:tc>
        <w:tc>
          <w:tcPr>
            <w:tcW w:w="3480"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确认基于GIS软件对遥感识别结果的坐标系、空间拓扑等准确性进行过核查（适用时）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pct"/>
            <w:vMerge w:val="restar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现场核查/</w:t>
            </w:r>
          </w:p>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外业验证</w:t>
            </w:r>
          </w:p>
        </w:tc>
        <w:tc>
          <w:tcPr>
            <w:tcW w:w="494" w:type="pct"/>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10</w:t>
            </w:r>
          </w:p>
        </w:tc>
        <w:tc>
          <w:tcPr>
            <w:tcW w:w="3480" w:type="pct"/>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确认现场核查或外业验证量和区域符合规范要求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pct"/>
            <w:vMerge w:val="continue"/>
            <w:vAlign w:val="center"/>
          </w:tcPr>
          <w:p>
            <w:pPr>
              <w:widowControl/>
              <w:ind w:firstLine="0" w:firstLineChars="0"/>
              <w:jc w:val="center"/>
              <w:rPr>
                <w:rFonts w:ascii="仿宋_GB2312" w:hAnsi="仿宋" w:eastAsia="仿宋_GB2312" w:cs="宋体"/>
                <w:bCs/>
                <w:color w:val="000000"/>
                <w:kern w:val="0"/>
                <w:szCs w:val="28"/>
              </w:rPr>
            </w:pPr>
          </w:p>
        </w:tc>
        <w:tc>
          <w:tcPr>
            <w:tcW w:w="494"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11</w:t>
            </w:r>
          </w:p>
        </w:tc>
        <w:tc>
          <w:tcPr>
            <w:tcW w:w="3480"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相机、手持GNSS系统、无人机等拍摄清晰，附有定位信息；无人机正射影像资料、外业照片像素和视频分辨率等满足规范要求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pct"/>
            <w:vMerge w:val="continue"/>
            <w:vAlign w:val="center"/>
          </w:tcPr>
          <w:p>
            <w:pPr>
              <w:widowControl/>
              <w:ind w:firstLine="0" w:firstLineChars="0"/>
              <w:jc w:val="center"/>
              <w:rPr>
                <w:rFonts w:ascii="仿宋_GB2312" w:hAnsi="仿宋" w:eastAsia="仿宋_GB2312" w:cs="宋体"/>
                <w:bCs/>
                <w:color w:val="000000"/>
                <w:kern w:val="0"/>
                <w:szCs w:val="28"/>
              </w:rPr>
            </w:pPr>
          </w:p>
        </w:tc>
        <w:tc>
          <w:tcPr>
            <w:tcW w:w="494"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12</w:t>
            </w:r>
          </w:p>
        </w:tc>
        <w:tc>
          <w:tcPr>
            <w:tcW w:w="3480" w:type="pct"/>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现场核查人员、方法、仪器设备符合相关质控要求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26" w:type="pct"/>
            <w:vMerge w:val="continue"/>
            <w:vAlign w:val="center"/>
          </w:tcPr>
          <w:p>
            <w:pPr>
              <w:widowControl/>
              <w:ind w:firstLine="0" w:firstLineChars="0"/>
              <w:jc w:val="center"/>
              <w:rPr>
                <w:rFonts w:ascii="仿宋_GB2312" w:hAnsi="仿宋" w:eastAsia="仿宋_GB2312" w:cs="宋体"/>
                <w:bCs/>
                <w:color w:val="000000"/>
                <w:kern w:val="0"/>
                <w:szCs w:val="28"/>
              </w:rPr>
            </w:pPr>
          </w:p>
        </w:tc>
        <w:tc>
          <w:tcPr>
            <w:tcW w:w="494" w:type="pct"/>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13</w:t>
            </w:r>
          </w:p>
        </w:tc>
        <w:tc>
          <w:tcPr>
            <w:tcW w:w="3480" w:type="pct"/>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现场核查记录表或外业验证表内容准确完整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pct"/>
            <w:vMerge w:val="continue"/>
            <w:tcBorders>
              <w:bottom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p>
        </w:tc>
        <w:tc>
          <w:tcPr>
            <w:tcW w:w="494" w:type="pct"/>
            <w:tcBorders>
              <w:bottom w:val="single" w:color="auto" w:sz="4" w:space="0"/>
            </w:tcBorders>
            <w:vAlign w:val="center"/>
          </w:tcPr>
          <w:p>
            <w:pPr>
              <w:widowControl/>
              <w:ind w:firstLine="0" w:firstLineChars="0"/>
              <w:jc w:val="center"/>
              <w:rPr>
                <w:rFonts w:ascii="仿宋_GB2312" w:hAnsi="仿宋" w:eastAsia="仿宋_GB2312" w:cs="宋体"/>
                <w:b/>
                <w:bCs/>
                <w:color w:val="000000"/>
                <w:kern w:val="0"/>
                <w:szCs w:val="28"/>
              </w:rPr>
            </w:pPr>
            <w:r>
              <w:rPr>
                <w:rFonts w:ascii="仿宋_GB2312" w:hAnsi="仿宋" w:eastAsia="仿宋_GB2312" w:cs="宋体"/>
                <w:b/>
                <w:bCs/>
                <w:color w:val="000000"/>
                <w:kern w:val="0"/>
                <w:szCs w:val="28"/>
              </w:rPr>
              <w:t>*</w:t>
            </w:r>
            <w:r>
              <w:rPr>
                <w:rFonts w:hint="eastAsia" w:ascii="仿宋_GB2312" w:hAnsi="仿宋" w:eastAsia="仿宋_GB2312" w:cs="宋体"/>
                <w:b/>
                <w:bCs/>
                <w:color w:val="000000"/>
                <w:kern w:val="0"/>
                <w:szCs w:val="28"/>
              </w:rPr>
              <w:t>14</w:t>
            </w:r>
          </w:p>
        </w:tc>
        <w:tc>
          <w:tcPr>
            <w:tcW w:w="3480" w:type="pct"/>
            <w:tcBorders>
              <w:bottom w:val="single" w:color="auto" w:sz="4" w:space="0"/>
            </w:tcBorders>
            <w:vAlign w:val="center"/>
          </w:tcPr>
          <w:p>
            <w:pPr>
              <w:widowControl/>
              <w:ind w:firstLine="0" w:firstLineChars="0"/>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开展遥感解译图斑现场核查，核实表信息填写完整规范，根据核查信息修正图斑数据和属性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pct"/>
            <w:tcBorders>
              <w:bottom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成果和</w:t>
            </w:r>
          </w:p>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数据质量</w:t>
            </w:r>
          </w:p>
        </w:tc>
        <w:tc>
          <w:tcPr>
            <w:tcW w:w="494" w:type="pct"/>
            <w:tcBorders>
              <w:bottom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w:t>
            </w:r>
            <w:r>
              <w:rPr>
                <w:rFonts w:ascii="仿宋_GB2312" w:hAnsi="仿宋" w:eastAsia="仿宋_GB2312" w:cs="宋体"/>
                <w:bCs/>
                <w:color w:val="000000"/>
                <w:kern w:val="0"/>
                <w:szCs w:val="28"/>
              </w:rPr>
              <w:t>5</w:t>
            </w:r>
          </w:p>
        </w:tc>
        <w:tc>
          <w:tcPr>
            <w:tcW w:w="3480" w:type="pct"/>
            <w:tcBorders>
              <w:bottom w:val="single" w:color="auto" w:sz="4" w:space="0"/>
            </w:tcBorders>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确认影像数据、矢量数据、栅格数据、文本数据、图件数据或多媒体数据等满足成果汇交要求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
            <w:tcBorders>
              <w:top w:val="single" w:color="auto" w:sz="4" w:space="0"/>
              <w:left w:val="nil"/>
              <w:bottom w:val="nil"/>
              <w:right w:val="nil"/>
            </w:tcBorders>
            <w:vAlign w:val="center"/>
          </w:tcPr>
          <w:p>
            <w:pPr>
              <w:widowControl/>
              <w:ind w:firstLine="0" w:firstLineChars="0"/>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注</w:t>
            </w:r>
            <w:r>
              <w:rPr>
                <w:rFonts w:ascii="仿宋_GB2312" w:hAnsi="仿宋" w:eastAsia="仿宋_GB2312" w:cs="宋体"/>
                <w:bCs/>
                <w:color w:val="000000"/>
                <w:kern w:val="0"/>
                <w:szCs w:val="28"/>
              </w:rPr>
              <w:t>：</w:t>
            </w:r>
            <w:r>
              <w:rPr>
                <w:rFonts w:ascii="仿宋_GB2312" w:hAnsi="仿宋" w:eastAsia="仿宋_GB2312" w:cs="宋体"/>
                <w:b/>
                <w:bCs/>
                <w:color w:val="000000"/>
                <w:kern w:val="0"/>
                <w:szCs w:val="28"/>
              </w:rPr>
              <w:t>*</w:t>
            </w:r>
            <w:r>
              <w:rPr>
                <w:rFonts w:hint="eastAsia" w:ascii="仿宋_GB2312" w:hAnsi="仿宋" w:eastAsia="仿宋_GB2312" w:cs="宋体"/>
                <w:bCs/>
                <w:color w:val="000000"/>
                <w:kern w:val="0"/>
                <w:szCs w:val="28"/>
              </w:rPr>
              <w:t>加粗</w:t>
            </w:r>
            <w:r>
              <w:rPr>
                <w:rFonts w:ascii="仿宋_GB2312" w:hAnsi="仿宋" w:eastAsia="仿宋_GB2312" w:cs="宋体"/>
                <w:bCs/>
                <w:color w:val="000000"/>
                <w:kern w:val="0"/>
                <w:szCs w:val="28"/>
              </w:rPr>
              <w:t>为重点评估项</w:t>
            </w:r>
          </w:p>
        </w:tc>
      </w:tr>
    </w:tbl>
    <w:p>
      <w:pPr>
        <w:keepNext/>
        <w:keepLines/>
        <w:widowControl/>
        <w:ind w:firstLine="643" w:firstLineChars="0"/>
        <w:jc w:val="left"/>
        <w:outlineLvl w:val="1"/>
        <w:rPr>
          <w:rFonts w:ascii="宋体" w:hAnsi="宋体" w:eastAsia="宋体" w:cs="宋体"/>
          <w:b/>
          <w:color w:val="000000" w:themeColor="text1"/>
          <w:kern w:val="0"/>
          <w:sz w:val="32"/>
          <w:szCs w:val="32"/>
          <w14:textFill>
            <w14:solidFill>
              <w14:schemeClr w14:val="tx1"/>
            </w14:solidFill>
          </w14:textFill>
        </w:rPr>
        <w:sectPr>
          <w:pgSz w:w="11906" w:h="16838"/>
          <w:pgMar w:top="1440" w:right="1803" w:bottom="1440" w:left="1803" w:header="851" w:footer="992" w:gutter="0"/>
          <w:cols w:space="0" w:num="1"/>
          <w:docGrid w:type="lines" w:linePitch="395" w:charSpace="0"/>
        </w:sectPr>
      </w:pPr>
    </w:p>
    <w:p>
      <w:pPr>
        <w:keepNext/>
        <w:keepLines/>
        <w:widowControl/>
        <w:ind w:firstLine="643" w:firstLineChars="0"/>
        <w:jc w:val="left"/>
        <w:outlineLvl w:val="1"/>
        <w:rPr>
          <w:rFonts w:ascii="宋体" w:hAnsi="宋体" w:eastAsia="宋体" w:cs="宋体"/>
          <w:b/>
          <w:color w:val="000000" w:themeColor="text1"/>
          <w:kern w:val="0"/>
          <w:sz w:val="32"/>
          <w:szCs w:val="32"/>
          <w14:textFill>
            <w14:solidFill>
              <w14:schemeClr w14:val="tx1"/>
            </w14:solidFill>
          </w14:textFill>
        </w:rPr>
      </w:pPr>
      <w:bookmarkStart w:id="55" w:name="_Toc7270"/>
      <w:bookmarkStart w:id="56" w:name="_Toc192668458"/>
      <w:bookmarkStart w:id="57" w:name="_Toc192596058"/>
      <w:r>
        <w:rPr>
          <w:rFonts w:hint="eastAsia" w:ascii="仿宋_GB2312" w:hAnsi="仿宋_GB2312" w:eastAsia="仿宋_GB2312" w:cs="仿宋_GB2312"/>
          <w:b/>
          <w:color w:val="000000" w:themeColor="text1"/>
          <w:kern w:val="0"/>
          <w:sz w:val="32"/>
          <w:szCs w:val="32"/>
          <w14:textFill>
            <w14:solidFill>
              <w14:schemeClr w14:val="tx1"/>
            </w14:solidFill>
          </w14:textFill>
        </w:rPr>
        <w:t>附件6</w:t>
      </w:r>
      <w:r>
        <w:rPr>
          <w:rFonts w:hint="eastAsia" w:ascii="宋体" w:hAnsi="宋体" w:eastAsia="宋体" w:cs="宋体"/>
          <w:b/>
          <w:color w:val="000000" w:themeColor="text1"/>
          <w:kern w:val="0"/>
          <w:sz w:val="32"/>
          <w:szCs w:val="32"/>
          <w14:textFill>
            <w14:solidFill>
              <w14:schemeClr w14:val="tx1"/>
            </w14:solidFill>
          </w14:textFill>
        </w:rPr>
        <w:t xml:space="preserve"> </w:t>
      </w:r>
    </w:p>
    <w:p>
      <w:pPr>
        <w:widowControl/>
        <w:ind w:firstLine="0" w:firstLineChars="0"/>
        <w:jc w:val="center"/>
        <w:rPr>
          <w:rFonts w:ascii="仿宋_GB2312" w:hAnsi="仿宋" w:eastAsia="仿宋_GB2312" w:cs="宋体"/>
          <w:b/>
          <w:bCs w:val="0"/>
          <w:color w:val="000000"/>
          <w:kern w:val="0"/>
          <w:szCs w:val="28"/>
        </w:rPr>
      </w:pPr>
      <w:r>
        <w:rPr>
          <w:rFonts w:hint="eastAsia" w:ascii="仿宋_GB2312" w:hAnsi="仿宋" w:eastAsia="仿宋_GB2312" w:cs="宋体"/>
          <w:b/>
          <w:bCs w:val="0"/>
          <w:color w:val="000000"/>
          <w:kern w:val="0"/>
          <w:szCs w:val="28"/>
        </w:rPr>
        <w:t>数据可追溯性</w:t>
      </w:r>
      <w:bookmarkEnd w:id="55"/>
      <w:r>
        <w:rPr>
          <w:rFonts w:hint="eastAsia" w:ascii="仿宋_GB2312" w:hAnsi="仿宋" w:eastAsia="仿宋_GB2312" w:cs="宋体"/>
          <w:b/>
          <w:bCs w:val="0"/>
          <w:color w:val="000000"/>
          <w:kern w:val="0"/>
          <w:szCs w:val="28"/>
        </w:rPr>
        <w:t>评估事项</w:t>
      </w:r>
      <w:bookmarkEnd w:id="56"/>
      <w:bookmarkEnd w:id="57"/>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874"/>
        <w:gridCol w:w="5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blHeader/>
        </w:trPr>
        <w:tc>
          <w:tcPr>
            <w:tcW w:w="1022"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类别</w:t>
            </w:r>
          </w:p>
        </w:tc>
        <w:tc>
          <w:tcPr>
            <w:tcW w:w="513"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序号</w:t>
            </w:r>
          </w:p>
        </w:tc>
        <w:tc>
          <w:tcPr>
            <w:tcW w:w="3465"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评估事项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22" w:type="pct"/>
            <w:vMerge w:val="restar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采样记录</w:t>
            </w:r>
          </w:p>
        </w:tc>
        <w:tc>
          <w:tcPr>
            <w:tcW w:w="513"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w:t>
            </w:r>
          </w:p>
        </w:tc>
        <w:tc>
          <w:tcPr>
            <w:tcW w:w="3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采样记录对海洋生态预警监测工作方案所列监测站位的符合情况、对《海洋监测规范》技术要求的符合情况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22" w:type="pct"/>
            <w:vMerge w:val="continue"/>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513"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2</w:t>
            </w:r>
          </w:p>
        </w:tc>
        <w:tc>
          <w:tcPr>
            <w:tcW w:w="3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任务书中监测站位对海洋生态预警监测工作方案所列监测站位的符合情况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22" w:type="pct"/>
            <w:vMerge w:val="continue"/>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513"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3</w:t>
            </w:r>
          </w:p>
        </w:tc>
        <w:tc>
          <w:tcPr>
            <w:tcW w:w="3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采样记录表中采样人员的签字情况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22" w:type="pct"/>
            <w:vMerge w:val="restar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样品交接</w:t>
            </w:r>
            <w:r>
              <w:rPr>
                <w:rFonts w:ascii="仿宋_GB2312" w:hAnsi="仿宋" w:eastAsia="仿宋_GB2312" w:cs="宋体"/>
                <w:bCs/>
                <w:color w:val="000000"/>
                <w:kern w:val="0"/>
                <w:szCs w:val="28"/>
              </w:rPr>
              <w:t>/</w:t>
            </w:r>
          </w:p>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流转记录</w:t>
            </w:r>
          </w:p>
        </w:tc>
        <w:tc>
          <w:tcPr>
            <w:tcW w:w="513"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4</w:t>
            </w:r>
          </w:p>
        </w:tc>
        <w:tc>
          <w:tcPr>
            <w:tcW w:w="3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对采样记录表所列样品编号的符合情况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22" w:type="pct"/>
            <w:vMerge w:val="continue"/>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513"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5</w:t>
            </w:r>
          </w:p>
        </w:tc>
        <w:tc>
          <w:tcPr>
            <w:tcW w:w="3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样品交接</w:t>
            </w:r>
            <w:r>
              <w:rPr>
                <w:rFonts w:ascii="仿宋_GB2312" w:hAnsi="仿宋" w:eastAsia="仿宋_GB2312" w:cs="宋体"/>
                <w:bCs/>
                <w:color w:val="000000"/>
                <w:kern w:val="0"/>
                <w:szCs w:val="28"/>
              </w:rPr>
              <w:t>/流转记录表中相关人员的签字情况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22" w:type="pct"/>
            <w:vMerge w:val="restar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分析测试记录</w:t>
            </w:r>
          </w:p>
        </w:tc>
        <w:tc>
          <w:tcPr>
            <w:tcW w:w="513"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6</w:t>
            </w:r>
          </w:p>
        </w:tc>
        <w:tc>
          <w:tcPr>
            <w:tcW w:w="3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抽</w:t>
            </w:r>
            <w:r>
              <w:rPr>
                <w:rFonts w:ascii="仿宋_GB2312" w:hAnsi="仿宋" w:eastAsia="仿宋_GB2312" w:cs="宋体"/>
                <w:bCs/>
                <w:color w:val="000000"/>
                <w:kern w:val="0"/>
                <w:szCs w:val="28"/>
              </w:rPr>
              <w:t>2个项目的分析测试记录表</w:t>
            </w:r>
            <w:r>
              <w:rPr>
                <w:rFonts w:hint="eastAsia" w:ascii="仿宋_GB2312" w:hAnsi="仿宋" w:eastAsia="仿宋_GB2312" w:cs="宋体"/>
                <w:bCs/>
                <w:color w:val="000000"/>
                <w:kern w:val="0"/>
                <w:szCs w:val="28"/>
              </w:rPr>
              <w:t>与采样记录表、样品交接</w:t>
            </w:r>
            <w:r>
              <w:rPr>
                <w:rFonts w:ascii="仿宋_GB2312" w:hAnsi="仿宋" w:eastAsia="仿宋_GB2312" w:cs="宋体"/>
                <w:bCs/>
                <w:color w:val="000000"/>
                <w:kern w:val="0"/>
                <w:szCs w:val="28"/>
              </w:rPr>
              <w:t>/流转记录表中站号/样品号的溯源情况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22" w:type="pct"/>
            <w:vMerge w:val="continue"/>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513"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7</w:t>
            </w:r>
          </w:p>
        </w:tc>
        <w:tc>
          <w:tcPr>
            <w:tcW w:w="3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（适用时）每项任务至少抽</w:t>
            </w:r>
            <w:r>
              <w:rPr>
                <w:rFonts w:ascii="仿宋_GB2312" w:hAnsi="仿宋" w:eastAsia="仿宋_GB2312" w:cs="宋体"/>
                <w:bCs/>
                <w:color w:val="000000"/>
                <w:kern w:val="0"/>
                <w:szCs w:val="28"/>
              </w:rPr>
              <w:t>1个</w:t>
            </w:r>
            <w:r>
              <w:rPr>
                <w:rFonts w:hint="eastAsia" w:ascii="仿宋_GB2312" w:hAnsi="仿宋" w:eastAsia="仿宋_GB2312" w:cs="宋体"/>
                <w:bCs/>
                <w:color w:val="000000"/>
                <w:kern w:val="0"/>
                <w:szCs w:val="28"/>
              </w:rPr>
              <w:t>在仪器的电脑中自动保存测试原始数据的项目（核对记录表与仪器中存储原始数据的吻合性，注意该项目数量上的吻合）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22" w:type="pct"/>
            <w:vMerge w:val="continue"/>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513"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8</w:t>
            </w:r>
          </w:p>
        </w:tc>
        <w:tc>
          <w:tcPr>
            <w:tcW w:w="3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抽</w:t>
            </w:r>
            <w:r>
              <w:rPr>
                <w:rFonts w:ascii="仿宋_GB2312" w:hAnsi="仿宋" w:eastAsia="仿宋_GB2312" w:cs="宋体"/>
                <w:bCs/>
                <w:color w:val="000000"/>
                <w:kern w:val="0"/>
                <w:szCs w:val="28"/>
              </w:rPr>
              <w:t>2项任务的报表（每个报表至少查看2个项目分析测试记录表的测试结果与报表中结果的符合情况）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22" w:type="pct"/>
            <w:vMerge w:val="continue"/>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513"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9</w:t>
            </w:r>
          </w:p>
        </w:tc>
        <w:tc>
          <w:tcPr>
            <w:tcW w:w="3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分析测试记录表和报表中相关人员的签字情况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22" w:type="pct"/>
            <w:vMerge w:val="restar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质控记录</w:t>
            </w:r>
          </w:p>
        </w:tc>
        <w:tc>
          <w:tcPr>
            <w:tcW w:w="513"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10</w:t>
            </w:r>
          </w:p>
        </w:tc>
        <w:tc>
          <w:tcPr>
            <w:tcW w:w="3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每项任务至少抽</w:t>
            </w:r>
            <w:r>
              <w:rPr>
                <w:rFonts w:ascii="仿宋_GB2312" w:hAnsi="仿宋" w:eastAsia="仿宋_GB2312" w:cs="宋体"/>
                <w:bCs/>
                <w:color w:val="000000"/>
                <w:kern w:val="0"/>
                <w:szCs w:val="28"/>
              </w:rPr>
              <w:t>2个项目的分析测试质控记录</w:t>
            </w:r>
            <w:r>
              <w:rPr>
                <w:rFonts w:hint="eastAsia" w:ascii="仿宋_GB2312" w:hAnsi="仿宋" w:eastAsia="仿宋_GB2312" w:cs="宋体"/>
                <w:bCs/>
                <w:color w:val="000000"/>
                <w:kern w:val="0"/>
                <w:szCs w:val="28"/>
              </w:rPr>
              <w:t>，</w:t>
            </w:r>
            <w:r>
              <w:rPr>
                <w:rFonts w:ascii="仿宋_GB2312" w:hAnsi="仿宋" w:eastAsia="仿宋_GB2312" w:cs="宋体"/>
                <w:bCs/>
                <w:color w:val="000000"/>
                <w:kern w:val="0"/>
                <w:szCs w:val="28"/>
              </w:rPr>
              <w:t>包括但不限于插入内控样、加标回收率、平行样等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22" w:type="pct"/>
            <w:vMerge w:val="continue"/>
            <w:shd w:val="clear" w:color="000000" w:fill="FFFFFF"/>
            <w:vAlign w:val="center"/>
          </w:tcPr>
          <w:p>
            <w:pPr>
              <w:widowControl/>
              <w:ind w:firstLine="0" w:firstLineChars="0"/>
              <w:jc w:val="center"/>
              <w:rPr>
                <w:rFonts w:ascii="仿宋_GB2312" w:hAnsi="仿宋" w:eastAsia="仿宋_GB2312" w:cs="宋体"/>
                <w:bCs/>
                <w:color w:val="000000"/>
                <w:kern w:val="0"/>
                <w:szCs w:val="28"/>
              </w:rPr>
            </w:pPr>
          </w:p>
        </w:tc>
        <w:tc>
          <w:tcPr>
            <w:tcW w:w="513" w:type="pct"/>
            <w:shd w:val="clear" w:color="000000" w:fill="FFFFFF"/>
            <w:vAlign w:val="center"/>
          </w:tcPr>
          <w:p>
            <w:pPr>
              <w:widowControl/>
              <w:ind w:firstLine="0" w:firstLineChars="0"/>
              <w:jc w:val="center"/>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11</w:t>
            </w:r>
          </w:p>
        </w:tc>
        <w:tc>
          <w:tcPr>
            <w:tcW w:w="3465" w:type="pct"/>
            <w:shd w:val="clear" w:color="000000" w:fill="FFFFFF"/>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（适用时）每项任务至少抽</w:t>
            </w:r>
            <w:r>
              <w:rPr>
                <w:rFonts w:ascii="仿宋_GB2312" w:hAnsi="仿宋" w:eastAsia="仿宋_GB2312" w:cs="宋体"/>
                <w:bCs/>
                <w:color w:val="000000"/>
                <w:kern w:val="0"/>
                <w:szCs w:val="28"/>
              </w:rPr>
              <w:t>1个在仪器的电脑中自动保存测试原始数据的项目（查仪器中存储的原始数据是否包含质控数据）</w:t>
            </w:r>
          </w:p>
        </w:tc>
      </w:tr>
    </w:tbl>
    <w:p>
      <w:pPr>
        <w:widowControl/>
        <w:ind w:firstLine="0" w:firstLineChars="0"/>
        <w:jc w:val="center"/>
        <w:rPr>
          <w:rFonts w:ascii="仿宋_GB2312" w:hAnsi="仿宋" w:eastAsia="仿宋_GB2312" w:cs="宋体"/>
          <w:bCs/>
          <w:color w:val="000000"/>
          <w:kern w:val="0"/>
          <w:szCs w:val="28"/>
        </w:rPr>
      </w:pPr>
    </w:p>
    <w:p>
      <w:pPr>
        <w:widowControl/>
        <w:ind w:firstLine="0" w:firstLineChars="0"/>
        <w:jc w:val="center"/>
        <w:rPr>
          <w:rFonts w:ascii="仿宋_GB2312" w:hAnsi="仿宋" w:eastAsia="仿宋_GB2312" w:cs="宋体"/>
          <w:bCs/>
          <w:color w:val="000000"/>
          <w:kern w:val="0"/>
          <w:szCs w:val="28"/>
        </w:rPr>
        <w:sectPr>
          <w:pgSz w:w="11906" w:h="16838"/>
          <w:pgMar w:top="1440" w:right="1800" w:bottom="1440" w:left="1800" w:header="851" w:footer="992" w:gutter="0"/>
          <w:cols w:space="425" w:num="1"/>
          <w:docGrid w:type="lines" w:linePitch="312" w:charSpace="0"/>
        </w:sectPr>
      </w:pPr>
    </w:p>
    <w:p>
      <w:pPr>
        <w:keepNext/>
        <w:keepLines/>
        <w:widowControl/>
        <w:ind w:firstLine="643" w:firstLineChars="0"/>
        <w:jc w:val="left"/>
        <w:outlineLvl w:val="1"/>
        <w:rPr>
          <w:rFonts w:ascii="宋体" w:hAnsi="宋体" w:eastAsia="宋体" w:cs="宋体"/>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附件7</w:t>
      </w:r>
      <w:r>
        <w:rPr>
          <w:rFonts w:hint="eastAsia" w:ascii="宋体" w:hAnsi="宋体" w:eastAsia="宋体" w:cs="宋体"/>
          <w:b/>
          <w:color w:val="000000" w:themeColor="text1"/>
          <w:kern w:val="0"/>
          <w:sz w:val="32"/>
          <w:szCs w:val="32"/>
          <w14:textFill>
            <w14:solidFill>
              <w14:schemeClr w14:val="tx1"/>
            </w14:solidFill>
          </w14:textFill>
        </w:rPr>
        <w:t xml:space="preserve"> </w:t>
      </w:r>
    </w:p>
    <w:p>
      <w:pPr>
        <w:spacing w:line="560" w:lineRule="exact"/>
        <w:ind w:firstLine="0" w:firstLineChars="0"/>
        <w:jc w:val="center"/>
        <w:rPr>
          <w:rFonts w:ascii="方正小标宋简体" w:hAnsi="方正小标宋简体" w:eastAsia="方正小标宋简体" w:cs="方正小标宋简体"/>
          <w:snapToGrid w:val="0"/>
          <w:color w:val="000000"/>
          <w:sz w:val="32"/>
          <w:szCs w:val="32"/>
        </w:rPr>
      </w:pPr>
      <w:r>
        <w:rPr>
          <w:rFonts w:hint="eastAsia" w:ascii="方正小标宋简体" w:hAnsi="方正小标宋简体" w:eastAsia="方正小标宋简体" w:cs="方正小标宋简体"/>
          <w:snapToGrid w:val="0"/>
          <w:color w:val="000000"/>
          <w:sz w:val="32"/>
          <w:szCs w:val="32"/>
        </w:rPr>
        <w:t>202</w:t>
      </w:r>
      <w:r>
        <w:rPr>
          <w:rFonts w:ascii="方正小标宋简体" w:hAnsi="方正小标宋简体" w:eastAsia="方正小标宋简体" w:cs="方正小标宋简体"/>
          <w:snapToGrid w:val="0"/>
          <w:color w:val="000000"/>
          <w:sz w:val="32"/>
          <w:szCs w:val="32"/>
        </w:rPr>
        <w:t>5</w:t>
      </w:r>
      <w:r>
        <w:rPr>
          <w:rFonts w:hint="eastAsia" w:ascii="方正小标宋简体" w:hAnsi="方正小标宋简体" w:eastAsia="方正小标宋简体" w:cs="方正小标宋简体"/>
          <w:snapToGrid w:val="0"/>
          <w:color w:val="000000"/>
          <w:sz w:val="32"/>
          <w:szCs w:val="32"/>
        </w:rPr>
        <w:t>年××项目质量控制报告（编写大纲）</w:t>
      </w:r>
    </w:p>
    <w:p>
      <w:pPr>
        <w:widowControl/>
        <w:spacing w:line="500" w:lineRule="exact"/>
        <w:ind w:firstLine="560"/>
        <w:jc w:val="left"/>
        <w:rPr>
          <w:rFonts w:ascii="黑体" w:hAnsi="黑体" w:eastAsia="黑体" w:cs="黑体"/>
          <w:bCs/>
          <w:color w:val="000000"/>
          <w:szCs w:val="28"/>
        </w:rPr>
      </w:pPr>
      <w:r>
        <w:rPr>
          <w:rFonts w:hint="eastAsia" w:ascii="黑体" w:hAnsi="黑体" w:eastAsia="黑体" w:cs="黑体"/>
          <w:bCs/>
          <w:color w:val="000000"/>
          <w:szCs w:val="28"/>
        </w:rPr>
        <w:t>一、项目概述</w:t>
      </w:r>
    </w:p>
    <w:p>
      <w:pPr>
        <w:widowControl/>
        <w:spacing w:line="500" w:lineRule="exact"/>
        <w:ind w:firstLine="560"/>
        <w:jc w:val="left"/>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概述任务完成情况，包括工作内容、工作量统计、任务完成情况（包括任务调整）等，以表格形式详细说明（附表）。</w:t>
      </w:r>
    </w:p>
    <w:p>
      <w:pPr>
        <w:widowControl/>
        <w:spacing w:line="500" w:lineRule="exact"/>
        <w:ind w:firstLine="560"/>
        <w:jc w:val="left"/>
        <w:rPr>
          <w:rFonts w:ascii="黑体" w:hAnsi="黑体" w:eastAsia="黑体" w:cs="黑体"/>
          <w:bCs/>
          <w:color w:val="000000"/>
          <w:szCs w:val="28"/>
        </w:rPr>
      </w:pPr>
      <w:r>
        <w:rPr>
          <w:rFonts w:hint="eastAsia" w:ascii="黑体" w:hAnsi="黑体" w:eastAsia="黑体" w:cs="黑体"/>
          <w:bCs/>
          <w:color w:val="000000"/>
          <w:szCs w:val="28"/>
        </w:rPr>
        <w:t>二、工作依据</w:t>
      </w:r>
    </w:p>
    <w:p>
      <w:pPr>
        <w:widowControl/>
        <w:spacing w:line="500" w:lineRule="exact"/>
        <w:ind w:firstLine="560"/>
        <w:jc w:val="left"/>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质量控制工作依据的文件、标准规范等。</w:t>
      </w:r>
    </w:p>
    <w:p>
      <w:pPr>
        <w:widowControl/>
        <w:spacing w:line="500" w:lineRule="exact"/>
        <w:ind w:firstLine="560"/>
        <w:jc w:val="left"/>
        <w:rPr>
          <w:rFonts w:ascii="黑体" w:hAnsi="黑体" w:eastAsia="黑体" w:cs="黑体"/>
          <w:bCs/>
          <w:color w:val="000000"/>
          <w:szCs w:val="28"/>
        </w:rPr>
      </w:pPr>
      <w:r>
        <w:rPr>
          <w:rFonts w:hint="eastAsia" w:ascii="黑体" w:hAnsi="黑体" w:eastAsia="黑体" w:cs="黑体"/>
          <w:bCs/>
          <w:color w:val="000000"/>
          <w:szCs w:val="28"/>
        </w:rPr>
        <w:t>三、质控内容</w:t>
      </w:r>
    </w:p>
    <w:p>
      <w:pPr>
        <w:widowControl/>
        <w:spacing w:line="500" w:lineRule="exact"/>
        <w:ind w:firstLine="560"/>
        <w:jc w:val="left"/>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1.质量方案/计划</w:t>
      </w:r>
    </w:p>
    <w:p>
      <w:pPr>
        <w:widowControl/>
        <w:spacing w:line="500" w:lineRule="exact"/>
        <w:ind w:firstLine="560"/>
        <w:jc w:val="left"/>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描述质量方案/计划主要内容，重点描述是否覆盖监测、调查的相关领域，是否确定本项目的质量监督员及其监督内容，是否针对本项目开展过质量检查及其检查内容。</w:t>
      </w:r>
    </w:p>
    <w:p>
      <w:pPr>
        <w:widowControl/>
        <w:spacing w:line="500" w:lineRule="exact"/>
        <w:ind w:firstLine="560"/>
        <w:jc w:val="left"/>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2.体系运行</w:t>
      </w:r>
    </w:p>
    <w:p>
      <w:pPr>
        <w:widowControl/>
        <w:spacing w:line="500" w:lineRule="exact"/>
        <w:ind w:firstLine="560"/>
        <w:jc w:val="left"/>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描述本年度检验检测资质能力范围是否发生变化和参加外部能力验证的情况。</w:t>
      </w:r>
    </w:p>
    <w:p>
      <w:pPr>
        <w:widowControl/>
        <w:spacing w:line="500" w:lineRule="exact"/>
        <w:ind w:firstLine="560"/>
        <w:jc w:val="left"/>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3.内审和外审</w:t>
      </w:r>
    </w:p>
    <w:p>
      <w:pPr>
        <w:widowControl/>
        <w:spacing w:line="500" w:lineRule="exact"/>
        <w:ind w:firstLine="560"/>
        <w:jc w:val="left"/>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描述内审和外审中发现的问题及整改情况。</w:t>
      </w:r>
    </w:p>
    <w:p>
      <w:pPr>
        <w:widowControl/>
        <w:spacing w:line="500" w:lineRule="exact"/>
        <w:ind w:firstLine="560"/>
        <w:jc w:val="left"/>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4.数据质控结果</w:t>
      </w:r>
    </w:p>
    <w:p>
      <w:pPr>
        <w:widowControl/>
        <w:spacing w:line="500" w:lineRule="exact"/>
        <w:ind w:firstLine="560"/>
        <w:jc w:val="left"/>
        <w:rPr>
          <w:rFonts w:ascii="仿宋_GB2312" w:hAnsi="仿宋_GB2312" w:eastAsia="仿宋_GB2312" w:cs="仿宋_GB2312"/>
          <w:color w:val="000000"/>
          <w:szCs w:val="28"/>
        </w:rPr>
      </w:pPr>
      <w:r>
        <w:rPr>
          <w:rFonts w:hint="eastAsia" w:ascii="仿宋_GB2312" w:hAnsi="仿宋_GB2312" w:eastAsia="仿宋_GB2312" w:cs="仿宋_GB2312"/>
          <w:color w:val="000000"/>
          <w:szCs w:val="28"/>
        </w:rPr>
        <w:t>描述项目开展现场空白、现场平行样、密码平行样、加标回收、标样（内控样）及标样（外控样）等数据质量控制的统计结果，以及数据结果质控存在的主要问题。</w:t>
      </w:r>
    </w:p>
    <w:p>
      <w:pPr>
        <w:widowControl/>
        <w:spacing w:line="500" w:lineRule="exact"/>
        <w:ind w:firstLine="560"/>
        <w:jc w:val="left"/>
        <w:rPr>
          <w:rFonts w:ascii="仿宋_GB2312" w:hAnsi="仿宋_GB2312" w:eastAsia="仿宋_GB2312" w:cs="仿宋_GB2312"/>
          <w:b/>
          <w:color w:val="000000"/>
          <w:szCs w:val="28"/>
        </w:rPr>
      </w:pPr>
      <w:r>
        <w:rPr>
          <w:rFonts w:hint="eastAsia" w:ascii="黑体" w:hAnsi="黑体" w:eastAsia="黑体" w:cs="黑体"/>
          <w:bCs/>
          <w:color w:val="000000"/>
          <w:szCs w:val="28"/>
        </w:rPr>
        <w:t>四、结论及建议</w:t>
      </w:r>
    </w:p>
    <w:p>
      <w:pPr>
        <w:widowControl/>
        <w:spacing w:line="500" w:lineRule="exact"/>
        <w:ind w:firstLine="561" w:firstLineChars="0"/>
        <w:jc w:val="left"/>
      </w:pPr>
      <w:r>
        <w:rPr>
          <w:rFonts w:hint="eastAsia" w:ascii="仿宋_GB2312" w:hAnsi="仿宋_GB2312" w:eastAsia="仿宋_GB2312" w:cs="仿宋_GB2312"/>
          <w:color w:val="000000"/>
          <w:szCs w:val="28"/>
        </w:rPr>
        <w:t>评价本年度X</w:t>
      </w:r>
      <w:r>
        <w:rPr>
          <w:rFonts w:ascii="仿宋_GB2312" w:hAnsi="仿宋_GB2312" w:eastAsia="仿宋_GB2312" w:cs="仿宋_GB2312"/>
          <w:color w:val="000000"/>
          <w:szCs w:val="28"/>
        </w:rPr>
        <w:t>X</w:t>
      </w:r>
      <w:r>
        <w:rPr>
          <w:rFonts w:hint="eastAsia" w:ascii="仿宋_GB2312" w:hAnsi="仿宋_GB2312" w:eastAsia="仿宋_GB2312" w:cs="仿宋_GB2312"/>
          <w:color w:val="000000"/>
          <w:szCs w:val="28"/>
        </w:rPr>
        <w:t>项目质量控制情况，分析问题成因，提出对策建议。</w:t>
      </w:r>
    </w:p>
    <w:sectPr>
      <w:pgSz w:w="11906" w:h="16838"/>
      <w:pgMar w:top="1440" w:right="1803" w:bottom="1440" w:left="1803" w:header="851" w:footer="992" w:gutter="0"/>
      <w:cols w:space="0" w:num="1"/>
      <w:docGrid w:type="lines" w:linePitch="39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Verdana">
    <w:altName w:val="DejaVu Sans"/>
    <w:panose1 w:val="020B0604030504040204"/>
    <w:charset w:val="00"/>
    <w:family w:val="swiss"/>
    <w:pitch w:val="default"/>
    <w:sig w:usb0="00000000" w:usb1="00000000" w:usb2="00000010" w:usb3="00000000" w:csb0="2000019F" w:csb1="00000000"/>
  </w:font>
  <w:font w:name="Calibri Light">
    <w:altName w:val="DejaVu Sans"/>
    <w:panose1 w:val="020F0302020204030204"/>
    <w:charset w:val="00"/>
    <w:family w:val="swiss"/>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等线">
    <w:altName w:val="仿宋"/>
    <w:panose1 w:val="00000000000000000000"/>
    <w:charset w:val="00"/>
    <w:family w:val="auto"/>
    <w:pitch w:val="default"/>
    <w:sig w:usb0="00000000" w:usb1="00000000" w:usb2="00000000" w:usb3="00000000" w:csb0="0000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36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18"/>
                      <w:ind w:firstLine="36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B9D1A"/>
    <w:multiLevelType w:val="singleLevel"/>
    <w:tmpl w:val="E1FB9D1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xYjdmNjY5ZDIyYjJiMWZhZDljZmViZmY0ZjJiZjYifQ=="/>
  </w:docVars>
  <w:rsids>
    <w:rsidRoot w:val="00733526"/>
    <w:rsid w:val="0001138E"/>
    <w:rsid w:val="000415FE"/>
    <w:rsid w:val="000703D9"/>
    <w:rsid w:val="00072848"/>
    <w:rsid w:val="0008622D"/>
    <w:rsid w:val="00094200"/>
    <w:rsid w:val="000A28C5"/>
    <w:rsid w:val="000C1649"/>
    <w:rsid w:val="000C4618"/>
    <w:rsid w:val="00110935"/>
    <w:rsid w:val="00121445"/>
    <w:rsid w:val="001333DE"/>
    <w:rsid w:val="00146991"/>
    <w:rsid w:val="00185A60"/>
    <w:rsid w:val="001C5C40"/>
    <w:rsid w:val="001D6C38"/>
    <w:rsid w:val="00217811"/>
    <w:rsid w:val="0023299F"/>
    <w:rsid w:val="00253617"/>
    <w:rsid w:val="00272B65"/>
    <w:rsid w:val="00286BA0"/>
    <w:rsid w:val="002911AE"/>
    <w:rsid w:val="002A6106"/>
    <w:rsid w:val="00341DDD"/>
    <w:rsid w:val="003577EE"/>
    <w:rsid w:val="00384771"/>
    <w:rsid w:val="003B7D8F"/>
    <w:rsid w:val="003C0324"/>
    <w:rsid w:val="003C5FDA"/>
    <w:rsid w:val="003D4962"/>
    <w:rsid w:val="003F79FA"/>
    <w:rsid w:val="00406B4A"/>
    <w:rsid w:val="00421A86"/>
    <w:rsid w:val="00456534"/>
    <w:rsid w:val="00495A60"/>
    <w:rsid w:val="004A01F9"/>
    <w:rsid w:val="004B474C"/>
    <w:rsid w:val="004D1D67"/>
    <w:rsid w:val="00507083"/>
    <w:rsid w:val="00527227"/>
    <w:rsid w:val="005415F6"/>
    <w:rsid w:val="005727B6"/>
    <w:rsid w:val="00576A5C"/>
    <w:rsid w:val="00581354"/>
    <w:rsid w:val="0059358E"/>
    <w:rsid w:val="005A71A5"/>
    <w:rsid w:val="005C61DD"/>
    <w:rsid w:val="005C69E0"/>
    <w:rsid w:val="006103FF"/>
    <w:rsid w:val="0061325C"/>
    <w:rsid w:val="00642F1A"/>
    <w:rsid w:val="00644734"/>
    <w:rsid w:val="00653A01"/>
    <w:rsid w:val="00667311"/>
    <w:rsid w:val="0067368A"/>
    <w:rsid w:val="00680EA3"/>
    <w:rsid w:val="006A0555"/>
    <w:rsid w:val="006B7957"/>
    <w:rsid w:val="006D4637"/>
    <w:rsid w:val="006D7001"/>
    <w:rsid w:val="006E4786"/>
    <w:rsid w:val="00702DE9"/>
    <w:rsid w:val="007074E0"/>
    <w:rsid w:val="00720F2D"/>
    <w:rsid w:val="00731ED2"/>
    <w:rsid w:val="00733526"/>
    <w:rsid w:val="0074173E"/>
    <w:rsid w:val="00745198"/>
    <w:rsid w:val="00770DAD"/>
    <w:rsid w:val="00771AFF"/>
    <w:rsid w:val="0078756D"/>
    <w:rsid w:val="007A6BF3"/>
    <w:rsid w:val="007F1F3D"/>
    <w:rsid w:val="00812790"/>
    <w:rsid w:val="00830B4E"/>
    <w:rsid w:val="00842F2D"/>
    <w:rsid w:val="00845C10"/>
    <w:rsid w:val="00850AD6"/>
    <w:rsid w:val="008904C5"/>
    <w:rsid w:val="008927F3"/>
    <w:rsid w:val="00895253"/>
    <w:rsid w:val="008A2118"/>
    <w:rsid w:val="008A71F5"/>
    <w:rsid w:val="008C39B5"/>
    <w:rsid w:val="008C786E"/>
    <w:rsid w:val="008D1C4E"/>
    <w:rsid w:val="008D7C2F"/>
    <w:rsid w:val="00903BBE"/>
    <w:rsid w:val="00915451"/>
    <w:rsid w:val="009621A3"/>
    <w:rsid w:val="00963933"/>
    <w:rsid w:val="00985E85"/>
    <w:rsid w:val="009931F3"/>
    <w:rsid w:val="009C0C31"/>
    <w:rsid w:val="009E5E41"/>
    <w:rsid w:val="00A01E18"/>
    <w:rsid w:val="00A111C5"/>
    <w:rsid w:val="00A231A7"/>
    <w:rsid w:val="00A23248"/>
    <w:rsid w:val="00A23732"/>
    <w:rsid w:val="00A31FD7"/>
    <w:rsid w:val="00A36764"/>
    <w:rsid w:val="00A41048"/>
    <w:rsid w:val="00A55DF0"/>
    <w:rsid w:val="00A726B0"/>
    <w:rsid w:val="00AA596D"/>
    <w:rsid w:val="00B03FE5"/>
    <w:rsid w:val="00B3562D"/>
    <w:rsid w:val="00B36D9A"/>
    <w:rsid w:val="00B47683"/>
    <w:rsid w:val="00B646E3"/>
    <w:rsid w:val="00B65029"/>
    <w:rsid w:val="00B80A69"/>
    <w:rsid w:val="00BA4C67"/>
    <w:rsid w:val="00BD402C"/>
    <w:rsid w:val="00BF38B9"/>
    <w:rsid w:val="00BF6C46"/>
    <w:rsid w:val="00C45052"/>
    <w:rsid w:val="00C65193"/>
    <w:rsid w:val="00C748C0"/>
    <w:rsid w:val="00C9356D"/>
    <w:rsid w:val="00C95AE1"/>
    <w:rsid w:val="00CE7907"/>
    <w:rsid w:val="00CF0417"/>
    <w:rsid w:val="00CF476A"/>
    <w:rsid w:val="00D261EE"/>
    <w:rsid w:val="00D5431C"/>
    <w:rsid w:val="00D6160C"/>
    <w:rsid w:val="00DC3B3E"/>
    <w:rsid w:val="00DC67E3"/>
    <w:rsid w:val="00DD12D8"/>
    <w:rsid w:val="00E10AC4"/>
    <w:rsid w:val="00E1518B"/>
    <w:rsid w:val="00E31411"/>
    <w:rsid w:val="00E42889"/>
    <w:rsid w:val="00E42E38"/>
    <w:rsid w:val="00EA49E1"/>
    <w:rsid w:val="00EB03F7"/>
    <w:rsid w:val="00EE5354"/>
    <w:rsid w:val="00EF1BDE"/>
    <w:rsid w:val="00EF2E87"/>
    <w:rsid w:val="00F05E5F"/>
    <w:rsid w:val="00F17008"/>
    <w:rsid w:val="00F34DA5"/>
    <w:rsid w:val="00F46BFC"/>
    <w:rsid w:val="00F6408D"/>
    <w:rsid w:val="00F73A2C"/>
    <w:rsid w:val="00F910ED"/>
    <w:rsid w:val="00F95669"/>
    <w:rsid w:val="00FA33CF"/>
    <w:rsid w:val="00FA4295"/>
    <w:rsid w:val="00FB1A83"/>
    <w:rsid w:val="00FC398A"/>
    <w:rsid w:val="015F1D2E"/>
    <w:rsid w:val="02181129"/>
    <w:rsid w:val="02206A8C"/>
    <w:rsid w:val="02E24306"/>
    <w:rsid w:val="039B3FBF"/>
    <w:rsid w:val="03EF2E9E"/>
    <w:rsid w:val="041B0A5C"/>
    <w:rsid w:val="04663FCD"/>
    <w:rsid w:val="056F1060"/>
    <w:rsid w:val="059C373C"/>
    <w:rsid w:val="05E27A84"/>
    <w:rsid w:val="05E466D7"/>
    <w:rsid w:val="061D6D0E"/>
    <w:rsid w:val="06685DC7"/>
    <w:rsid w:val="067A5F0E"/>
    <w:rsid w:val="068F5F50"/>
    <w:rsid w:val="06B036DE"/>
    <w:rsid w:val="06F757B1"/>
    <w:rsid w:val="07F817E1"/>
    <w:rsid w:val="07FC4BB4"/>
    <w:rsid w:val="0822685D"/>
    <w:rsid w:val="08324E1D"/>
    <w:rsid w:val="0840557F"/>
    <w:rsid w:val="0B1269BE"/>
    <w:rsid w:val="0B774EE9"/>
    <w:rsid w:val="0B8D4A3E"/>
    <w:rsid w:val="0BCA630D"/>
    <w:rsid w:val="0BED2CDE"/>
    <w:rsid w:val="0C175FAD"/>
    <w:rsid w:val="0C6A3B37"/>
    <w:rsid w:val="0E4221F9"/>
    <w:rsid w:val="0E903DF5"/>
    <w:rsid w:val="0EC159D4"/>
    <w:rsid w:val="0F1A7F9C"/>
    <w:rsid w:val="0F2033CB"/>
    <w:rsid w:val="0F995910"/>
    <w:rsid w:val="1081433D"/>
    <w:rsid w:val="108871F8"/>
    <w:rsid w:val="10973B61"/>
    <w:rsid w:val="10D5349A"/>
    <w:rsid w:val="11254CC9"/>
    <w:rsid w:val="11D005C0"/>
    <w:rsid w:val="121F3E0E"/>
    <w:rsid w:val="128B14A3"/>
    <w:rsid w:val="12FC5EFD"/>
    <w:rsid w:val="130F4961"/>
    <w:rsid w:val="13B81E24"/>
    <w:rsid w:val="14FA18DC"/>
    <w:rsid w:val="155E2E9F"/>
    <w:rsid w:val="162163A6"/>
    <w:rsid w:val="169B5E7F"/>
    <w:rsid w:val="16CB00C0"/>
    <w:rsid w:val="198A7DBF"/>
    <w:rsid w:val="1C4E5079"/>
    <w:rsid w:val="1C874A89"/>
    <w:rsid w:val="1CBA4031"/>
    <w:rsid w:val="1D1B06D6"/>
    <w:rsid w:val="1D6D0123"/>
    <w:rsid w:val="1D9B6A3E"/>
    <w:rsid w:val="1E054DAA"/>
    <w:rsid w:val="1E4F31B8"/>
    <w:rsid w:val="1E984D2C"/>
    <w:rsid w:val="20447F23"/>
    <w:rsid w:val="212446B3"/>
    <w:rsid w:val="22667B7E"/>
    <w:rsid w:val="22C5455D"/>
    <w:rsid w:val="233C2FD3"/>
    <w:rsid w:val="236F55FB"/>
    <w:rsid w:val="239D5C73"/>
    <w:rsid w:val="23BA3996"/>
    <w:rsid w:val="23CC21F8"/>
    <w:rsid w:val="2418780C"/>
    <w:rsid w:val="244137B3"/>
    <w:rsid w:val="248E18F5"/>
    <w:rsid w:val="24FC7D50"/>
    <w:rsid w:val="25916979"/>
    <w:rsid w:val="26355AC8"/>
    <w:rsid w:val="26D50231"/>
    <w:rsid w:val="283917B1"/>
    <w:rsid w:val="292308AB"/>
    <w:rsid w:val="299F4469"/>
    <w:rsid w:val="29E245E4"/>
    <w:rsid w:val="2A3B2005"/>
    <w:rsid w:val="2AC3134F"/>
    <w:rsid w:val="2B011EAB"/>
    <w:rsid w:val="2B073965"/>
    <w:rsid w:val="2BAF776E"/>
    <w:rsid w:val="2C1B0D4A"/>
    <w:rsid w:val="2C526E62"/>
    <w:rsid w:val="2CBA384E"/>
    <w:rsid w:val="2CC633AC"/>
    <w:rsid w:val="2CDC4C19"/>
    <w:rsid w:val="2D9B2143"/>
    <w:rsid w:val="2DC24BA0"/>
    <w:rsid w:val="2E041243"/>
    <w:rsid w:val="2E1078B5"/>
    <w:rsid w:val="2E7555A0"/>
    <w:rsid w:val="2ECE479A"/>
    <w:rsid w:val="2EDA6E9C"/>
    <w:rsid w:val="2EF3779A"/>
    <w:rsid w:val="2FFB336C"/>
    <w:rsid w:val="30B7743C"/>
    <w:rsid w:val="30D00355"/>
    <w:rsid w:val="31A00182"/>
    <w:rsid w:val="31BE7FEB"/>
    <w:rsid w:val="31C51E84"/>
    <w:rsid w:val="32FD7216"/>
    <w:rsid w:val="332C1A8F"/>
    <w:rsid w:val="335538E9"/>
    <w:rsid w:val="33B71CA0"/>
    <w:rsid w:val="340842AA"/>
    <w:rsid w:val="349B6ECC"/>
    <w:rsid w:val="349D0E96"/>
    <w:rsid w:val="35136703"/>
    <w:rsid w:val="353225D9"/>
    <w:rsid w:val="35D01EDB"/>
    <w:rsid w:val="370C40B1"/>
    <w:rsid w:val="38156F95"/>
    <w:rsid w:val="38E54BBA"/>
    <w:rsid w:val="391159AF"/>
    <w:rsid w:val="39203804"/>
    <w:rsid w:val="39E14071"/>
    <w:rsid w:val="3A2A5A4B"/>
    <w:rsid w:val="3B4C2CCE"/>
    <w:rsid w:val="3B516536"/>
    <w:rsid w:val="3B6761F5"/>
    <w:rsid w:val="3B7E2BAF"/>
    <w:rsid w:val="3C38549C"/>
    <w:rsid w:val="3CC26750"/>
    <w:rsid w:val="3D1F6756"/>
    <w:rsid w:val="3D25585E"/>
    <w:rsid w:val="3D6D72B7"/>
    <w:rsid w:val="3E104487"/>
    <w:rsid w:val="3E594080"/>
    <w:rsid w:val="3E9A5AE5"/>
    <w:rsid w:val="3ECB6600"/>
    <w:rsid w:val="3F2A2C35"/>
    <w:rsid w:val="3FB35A12"/>
    <w:rsid w:val="42B06238"/>
    <w:rsid w:val="430D368B"/>
    <w:rsid w:val="432B58BF"/>
    <w:rsid w:val="433B35D6"/>
    <w:rsid w:val="43574906"/>
    <w:rsid w:val="44CB735A"/>
    <w:rsid w:val="45F841F1"/>
    <w:rsid w:val="46032B23"/>
    <w:rsid w:val="469A2752"/>
    <w:rsid w:val="476D64A6"/>
    <w:rsid w:val="47783B54"/>
    <w:rsid w:val="47C63E08"/>
    <w:rsid w:val="48020772"/>
    <w:rsid w:val="481B7AFF"/>
    <w:rsid w:val="484C006E"/>
    <w:rsid w:val="48B73AE2"/>
    <w:rsid w:val="49496F4A"/>
    <w:rsid w:val="49634005"/>
    <w:rsid w:val="497A426C"/>
    <w:rsid w:val="497E3E25"/>
    <w:rsid w:val="49CD077C"/>
    <w:rsid w:val="4A1423BD"/>
    <w:rsid w:val="4A1672C9"/>
    <w:rsid w:val="4BF57314"/>
    <w:rsid w:val="4C957F04"/>
    <w:rsid w:val="4CE216E4"/>
    <w:rsid w:val="4D1F6849"/>
    <w:rsid w:val="4D3737F3"/>
    <w:rsid w:val="4E57260B"/>
    <w:rsid w:val="4E9E7CED"/>
    <w:rsid w:val="4F531AA8"/>
    <w:rsid w:val="4F902740"/>
    <w:rsid w:val="52650DED"/>
    <w:rsid w:val="53FA6BB6"/>
    <w:rsid w:val="543547EF"/>
    <w:rsid w:val="54694499"/>
    <w:rsid w:val="54CD2C7A"/>
    <w:rsid w:val="56692126"/>
    <w:rsid w:val="56BC6338"/>
    <w:rsid w:val="56F33478"/>
    <w:rsid w:val="570F15BE"/>
    <w:rsid w:val="57260F4D"/>
    <w:rsid w:val="57730ABB"/>
    <w:rsid w:val="57CB1FF1"/>
    <w:rsid w:val="57ED6018"/>
    <w:rsid w:val="57F55C07"/>
    <w:rsid w:val="58E56C6E"/>
    <w:rsid w:val="59B14918"/>
    <w:rsid w:val="5AD940C9"/>
    <w:rsid w:val="5C02145B"/>
    <w:rsid w:val="5CF65DAD"/>
    <w:rsid w:val="5D30024A"/>
    <w:rsid w:val="5E48511F"/>
    <w:rsid w:val="5E4E1BD4"/>
    <w:rsid w:val="5E95535A"/>
    <w:rsid w:val="5E9A2DDA"/>
    <w:rsid w:val="5ED065AC"/>
    <w:rsid w:val="5F2E6A0B"/>
    <w:rsid w:val="5F47265B"/>
    <w:rsid w:val="5F6749DD"/>
    <w:rsid w:val="5FD37B58"/>
    <w:rsid w:val="60CA62C0"/>
    <w:rsid w:val="616C7377"/>
    <w:rsid w:val="61E84C4F"/>
    <w:rsid w:val="62211120"/>
    <w:rsid w:val="626F6586"/>
    <w:rsid w:val="62763FC0"/>
    <w:rsid w:val="62A0377C"/>
    <w:rsid w:val="63235088"/>
    <w:rsid w:val="645E744B"/>
    <w:rsid w:val="64A77044"/>
    <w:rsid w:val="65F71905"/>
    <w:rsid w:val="664024FC"/>
    <w:rsid w:val="66525B0B"/>
    <w:rsid w:val="67710D5B"/>
    <w:rsid w:val="67BC2E06"/>
    <w:rsid w:val="688610D0"/>
    <w:rsid w:val="68DF48DA"/>
    <w:rsid w:val="69882394"/>
    <w:rsid w:val="6A2829D5"/>
    <w:rsid w:val="6A972913"/>
    <w:rsid w:val="6B004ED0"/>
    <w:rsid w:val="6B7F0226"/>
    <w:rsid w:val="6B885418"/>
    <w:rsid w:val="6BBF7563"/>
    <w:rsid w:val="6C2824F0"/>
    <w:rsid w:val="6FDE58E3"/>
    <w:rsid w:val="702E0619"/>
    <w:rsid w:val="70CC2482"/>
    <w:rsid w:val="715B3690"/>
    <w:rsid w:val="721C3121"/>
    <w:rsid w:val="732C6966"/>
    <w:rsid w:val="732D180B"/>
    <w:rsid w:val="73334198"/>
    <w:rsid w:val="73EA3223"/>
    <w:rsid w:val="73F90F2F"/>
    <w:rsid w:val="745557A2"/>
    <w:rsid w:val="74AA048A"/>
    <w:rsid w:val="74D55507"/>
    <w:rsid w:val="74E05257"/>
    <w:rsid w:val="74E975A9"/>
    <w:rsid w:val="7548217D"/>
    <w:rsid w:val="75CE1F56"/>
    <w:rsid w:val="77A67DDA"/>
    <w:rsid w:val="77B238DE"/>
    <w:rsid w:val="787B684F"/>
    <w:rsid w:val="78811502"/>
    <w:rsid w:val="78E977D3"/>
    <w:rsid w:val="7B963516"/>
    <w:rsid w:val="7BE31B71"/>
    <w:rsid w:val="7BF64BA7"/>
    <w:rsid w:val="7CD442F6"/>
    <w:rsid w:val="7CF04E3A"/>
    <w:rsid w:val="7D532B5C"/>
    <w:rsid w:val="7D7635FF"/>
    <w:rsid w:val="7DA82866"/>
    <w:rsid w:val="7FA279DC"/>
    <w:rsid w:val="7FBD0ECC"/>
    <w:rsid w:val="9EBE2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40"/>
    <w:autoRedefine/>
    <w:qFormat/>
    <w:uiPriority w:val="9"/>
    <w:pPr>
      <w:keepNext/>
      <w:keepLines/>
      <w:spacing w:before="340" w:after="330" w:line="578" w:lineRule="auto"/>
      <w:outlineLvl w:val="0"/>
    </w:pPr>
    <w:rPr>
      <w:rFonts w:eastAsia="宋体"/>
      <w:b/>
      <w:bCs/>
      <w:kern w:val="44"/>
      <w:sz w:val="30"/>
      <w:szCs w:val="44"/>
    </w:rPr>
  </w:style>
  <w:style w:type="paragraph" w:styleId="3">
    <w:name w:val="heading 2"/>
    <w:basedOn w:val="1"/>
    <w:next w:val="1"/>
    <w:link w:val="41"/>
    <w:autoRedefine/>
    <w:unhideWhenUsed/>
    <w:qFormat/>
    <w:uiPriority w:val="9"/>
    <w:pPr>
      <w:keepNext/>
      <w:keepLines/>
      <w:ind w:firstLine="643"/>
      <w:outlineLvl w:val="1"/>
    </w:pPr>
    <w:rPr>
      <w:rFonts w:ascii="宋体" w:hAnsi="宋体" w:eastAsia="楷体_GB2312" w:cs="宋体"/>
      <w:b/>
      <w:bCs/>
      <w:color w:val="000000" w:themeColor="text1"/>
      <w:sz w:val="32"/>
      <w:szCs w:val="32"/>
      <w14:textFill>
        <w14:solidFill>
          <w14:schemeClr w14:val="tx1"/>
        </w14:solidFill>
      </w14:textFill>
    </w:rPr>
  </w:style>
  <w:style w:type="paragraph" w:styleId="4">
    <w:name w:val="heading 3"/>
    <w:basedOn w:val="1"/>
    <w:next w:val="1"/>
    <w:link w:val="55"/>
    <w:autoRedefine/>
    <w:unhideWhenUsed/>
    <w:qFormat/>
    <w:uiPriority w:val="0"/>
    <w:pPr>
      <w:keepNext/>
      <w:keepLines/>
      <w:spacing w:line="600" w:lineRule="exact"/>
      <w:ind w:firstLine="643"/>
      <w:outlineLvl w:val="2"/>
    </w:pPr>
    <w:rPr>
      <w:rFonts w:ascii="仿宋_GB2312" w:hAnsi="仿宋_GB2312" w:eastAsia="仿宋_GB2312" w:cs="仿宋_GB2312"/>
      <w:b/>
      <w:color w:val="000000" w:themeColor="text1"/>
      <w:sz w:val="32"/>
      <w14:textFill>
        <w14:solidFill>
          <w14:schemeClr w14:val="tx1"/>
        </w14:solidFill>
      </w14:textFill>
    </w:rPr>
  </w:style>
  <w:style w:type="paragraph" w:styleId="5">
    <w:name w:val="heading 4"/>
    <w:basedOn w:val="1"/>
    <w:next w:val="1"/>
    <w:link w:val="47"/>
    <w:autoRedefine/>
    <w:unhideWhenUsed/>
    <w:qFormat/>
    <w:uiPriority w:val="9"/>
    <w:pPr>
      <w:keepNext/>
      <w:keepLines/>
      <w:spacing w:line="360" w:lineRule="auto"/>
      <w:outlineLvl w:val="3"/>
    </w:pPr>
    <w:rPr>
      <w:rFonts w:ascii="Times New Roman" w:hAnsi="Times New Roman" w:eastAsia="宋体" w:cstheme="majorBidi"/>
      <w:bCs/>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widowControl/>
      <w:ind w:left="2520" w:leftChars="1200" w:firstLine="0" w:firstLineChars="0"/>
      <w:jc w:val="center"/>
    </w:pPr>
    <w:rPr>
      <w:rFonts w:ascii="Calibri" w:hAnsi="Calibri" w:eastAsia="宋体" w:cs="Times New Roman"/>
      <w:bCs/>
      <w:color w:val="000000"/>
      <w:kern w:val="0"/>
      <w:sz w:val="21"/>
      <w:szCs w:val="28"/>
    </w:rPr>
  </w:style>
  <w:style w:type="paragraph" w:styleId="7">
    <w:name w:val="Document Map"/>
    <w:basedOn w:val="1"/>
    <w:link w:val="48"/>
    <w:autoRedefine/>
    <w:unhideWhenUsed/>
    <w:qFormat/>
    <w:uiPriority w:val="0"/>
    <w:pPr>
      <w:spacing w:line="360" w:lineRule="auto"/>
    </w:pPr>
    <w:rPr>
      <w:rFonts w:ascii="宋体" w:hAnsi="Times New Roman" w:eastAsia="宋体" w:cs="Times New Roman"/>
      <w:sz w:val="18"/>
      <w:szCs w:val="18"/>
    </w:rPr>
  </w:style>
  <w:style w:type="paragraph" w:styleId="8">
    <w:name w:val="annotation text"/>
    <w:basedOn w:val="1"/>
    <w:link w:val="66"/>
    <w:autoRedefine/>
    <w:unhideWhenUsed/>
    <w:qFormat/>
    <w:uiPriority w:val="99"/>
    <w:pPr>
      <w:jc w:val="left"/>
    </w:pPr>
  </w:style>
  <w:style w:type="paragraph" w:styleId="9">
    <w:name w:val="Body Text"/>
    <w:basedOn w:val="1"/>
    <w:link w:val="49"/>
    <w:autoRedefine/>
    <w:qFormat/>
    <w:uiPriority w:val="0"/>
    <w:pPr>
      <w:spacing w:line="360" w:lineRule="auto"/>
      <w:ind w:firstLine="883"/>
    </w:pPr>
    <w:rPr>
      <w:rFonts w:ascii="仿宋_GB2312" w:hAnsi="仿宋_GB2312" w:eastAsia="仿宋_GB2312" w:cs="Times New Roman"/>
      <w:szCs w:val="24"/>
    </w:rPr>
  </w:style>
  <w:style w:type="paragraph" w:styleId="10">
    <w:name w:val="Body Text Indent"/>
    <w:basedOn w:val="1"/>
    <w:link w:val="50"/>
    <w:autoRedefine/>
    <w:unhideWhenUsed/>
    <w:qFormat/>
    <w:uiPriority w:val="0"/>
    <w:pPr>
      <w:spacing w:after="120" w:line="360" w:lineRule="auto"/>
      <w:ind w:left="420" w:leftChars="200"/>
    </w:pPr>
    <w:rPr>
      <w:rFonts w:ascii="Times New Roman" w:hAnsi="Times New Roman" w:eastAsia="宋体" w:cs="Times New Roman"/>
      <w:szCs w:val="24"/>
    </w:rPr>
  </w:style>
  <w:style w:type="paragraph" w:styleId="11">
    <w:name w:val="Block Text"/>
    <w:basedOn w:val="1"/>
    <w:qFormat/>
    <w:uiPriority w:val="0"/>
    <w:pPr>
      <w:widowControl/>
      <w:spacing w:line="220" w:lineRule="exact"/>
      <w:ind w:left="-22" w:right="-13" w:firstLine="0" w:firstLineChars="0"/>
      <w:jc w:val="center"/>
    </w:pPr>
    <w:rPr>
      <w:rFonts w:ascii="宋体" w:hAnsi="Times New Roman" w:eastAsia="宋体" w:cs="Times New Roman"/>
      <w:bCs/>
      <w:color w:val="000000"/>
      <w:kern w:val="0"/>
      <w:sz w:val="18"/>
      <w:szCs w:val="24"/>
    </w:rPr>
  </w:style>
  <w:style w:type="paragraph" w:styleId="12">
    <w:name w:val="toc 5"/>
    <w:basedOn w:val="1"/>
    <w:next w:val="1"/>
    <w:unhideWhenUsed/>
    <w:qFormat/>
    <w:uiPriority w:val="39"/>
    <w:pPr>
      <w:widowControl/>
      <w:ind w:left="1680" w:leftChars="800" w:firstLine="0" w:firstLineChars="0"/>
      <w:jc w:val="center"/>
    </w:pPr>
    <w:rPr>
      <w:rFonts w:ascii="Calibri" w:hAnsi="Calibri" w:eastAsia="宋体" w:cs="Times New Roman"/>
      <w:bCs/>
      <w:color w:val="000000"/>
      <w:kern w:val="0"/>
      <w:sz w:val="21"/>
      <w:szCs w:val="28"/>
    </w:rPr>
  </w:style>
  <w:style w:type="paragraph" w:styleId="13">
    <w:name w:val="toc 3"/>
    <w:basedOn w:val="1"/>
    <w:next w:val="1"/>
    <w:autoRedefine/>
    <w:unhideWhenUsed/>
    <w:qFormat/>
    <w:uiPriority w:val="39"/>
    <w:pPr>
      <w:ind w:left="840" w:leftChars="400"/>
    </w:pPr>
  </w:style>
  <w:style w:type="paragraph" w:styleId="14">
    <w:name w:val="toc 8"/>
    <w:basedOn w:val="1"/>
    <w:next w:val="1"/>
    <w:unhideWhenUsed/>
    <w:qFormat/>
    <w:uiPriority w:val="39"/>
    <w:pPr>
      <w:widowControl/>
      <w:ind w:left="2940" w:leftChars="1400" w:firstLine="0" w:firstLineChars="0"/>
      <w:jc w:val="center"/>
    </w:pPr>
    <w:rPr>
      <w:rFonts w:ascii="Calibri" w:hAnsi="Calibri" w:eastAsia="宋体" w:cs="Times New Roman"/>
      <w:bCs/>
      <w:color w:val="000000"/>
      <w:kern w:val="0"/>
      <w:sz w:val="21"/>
      <w:szCs w:val="28"/>
    </w:rPr>
  </w:style>
  <w:style w:type="paragraph" w:styleId="15">
    <w:name w:val="Date"/>
    <w:basedOn w:val="1"/>
    <w:next w:val="1"/>
    <w:link w:val="62"/>
    <w:qFormat/>
    <w:uiPriority w:val="99"/>
    <w:pPr>
      <w:widowControl/>
      <w:ind w:left="100" w:leftChars="2500" w:firstLine="0" w:firstLineChars="0"/>
      <w:jc w:val="center"/>
    </w:pPr>
    <w:rPr>
      <w:rFonts w:ascii="仿宋_GB2312" w:hAnsi="Times New Roman" w:eastAsia="仿宋_GB2312" w:cs="Times New Roman"/>
      <w:bCs/>
      <w:color w:val="000000"/>
      <w:kern w:val="0"/>
      <w:sz w:val="32"/>
      <w:szCs w:val="24"/>
    </w:rPr>
  </w:style>
  <w:style w:type="paragraph" w:styleId="16">
    <w:name w:val="Body Text Indent 2"/>
    <w:basedOn w:val="1"/>
    <w:link w:val="63"/>
    <w:qFormat/>
    <w:uiPriority w:val="0"/>
    <w:pPr>
      <w:widowControl/>
      <w:ind w:firstLine="420" w:firstLineChars="0"/>
      <w:jc w:val="center"/>
    </w:pPr>
    <w:rPr>
      <w:rFonts w:ascii="Times New Roman" w:hAnsi="Times New Roman" w:eastAsia="宋体" w:cs="Times New Roman"/>
      <w:bCs/>
      <w:color w:val="000000"/>
      <w:kern w:val="0"/>
      <w:sz w:val="21"/>
      <w:szCs w:val="20"/>
    </w:rPr>
  </w:style>
  <w:style w:type="paragraph" w:styleId="17">
    <w:name w:val="Balloon Text"/>
    <w:basedOn w:val="1"/>
    <w:link w:val="44"/>
    <w:autoRedefine/>
    <w:semiHidden/>
    <w:unhideWhenUsed/>
    <w:qFormat/>
    <w:uiPriority w:val="99"/>
    <w:rPr>
      <w:sz w:val="18"/>
      <w:szCs w:val="18"/>
    </w:rPr>
  </w:style>
  <w:style w:type="paragraph" w:styleId="18">
    <w:name w:val="footer"/>
    <w:basedOn w:val="1"/>
    <w:link w:val="43"/>
    <w:autoRedefine/>
    <w:unhideWhenUsed/>
    <w:qFormat/>
    <w:uiPriority w:val="99"/>
    <w:pPr>
      <w:tabs>
        <w:tab w:val="center" w:pos="4153"/>
        <w:tab w:val="right" w:pos="8306"/>
      </w:tabs>
      <w:snapToGrid w:val="0"/>
      <w:jc w:val="left"/>
    </w:pPr>
    <w:rPr>
      <w:sz w:val="18"/>
      <w:szCs w:val="18"/>
    </w:rPr>
  </w:style>
  <w:style w:type="paragraph" w:styleId="19">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style>
  <w:style w:type="paragraph" w:styleId="21">
    <w:name w:val="toc 4"/>
    <w:basedOn w:val="1"/>
    <w:next w:val="1"/>
    <w:unhideWhenUsed/>
    <w:qFormat/>
    <w:uiPriority w:val="39"/>
    <w:pPr>
      <w:widowControl/>
      <w:ind w:left="1260" w:leftChars="600" w:firstLine="0" w:firstLineChars="0"/>
      <w:jc w:val="center"/>
    </w:pPr>
    <w:rPr>
      <w:rFonts w:ascii="Calibri" w:hAnsi="Calibri" w:eastAsia="宋体" w:cs="Times New Roman"/>
      <w:bCs/>
      <w:color w:val="000000"/>
      <w:kern w:val="0"/>
      <w:sz w:val="21"/>
      <w:szCs w:val="28"/>
    </w:rPr>
  </w:style>
  <w:style w:type="paragraph" w:styleId="22">
    <w:name w:val="toc 6"/>
    <w:basedOn w:val="1"/>
    <w:next w:val="1"/>
    <w:unhideWhenUsed/>
    <w:qFormat/>
    <w:uiPriority w:val="39"/>
    <w:pPr>
      <w:widowControl/>
      <w:ind w:left="2100" w:leftChars="1000" w:firstLine="0" w:firstLineChars="0"/>
      <w:jc w:val="center"/>
    </w:pPr>
    <w:rPr>
      <w:rFonts w:ascii="Calibri" w:hAnsi="Calibri" w:eastAsia="宋体" w:cs="Times New Roman"/>
      <w:bCs/>
      <w:color w:val="000000"/>
      <w:kern w:val="0"/>
      <w:sz w:val="21"/>
      <w:szCs w:val="28"/>
    </w:rPr>
  </w:style>
  <w:style w:type="paragraph" w:styleId="23">
    <w:name w:val="Body Text Indent 3"/>
    <w:basedOn w:val="1"/>
    <w:link w:val="64"/>
    <w:qFormat/>
    <w:uiPriority w:val="0"/>
    <w:pPr>
      <w:widowControl/>
      <w:spacing w:after="120"/>
      <w:ind w:left="420" w:leftChars="200" w:firstLine="0" w:firstLineChars="0"/>
      <w:jc w:val="center"/>
    </w:pPr>
    <w:rPr>
      <w:rFonts w:ascii="仿宋_GB2312" w:hAnsi="Times New Roman" w:eastAsia="仿宋_GB2312" w:cs="Times New Roman"/>
      <w:bCs/>
      <w:color w:val="000000"/>
      <w:kern w:val="0"/>
      <w:sz w:val="16"/>
      <w:szCs w:val="16"/>
    </w:rPr>
  </w:style>
  <w:style w:type="paragraph" w:styleId="24">
    <w:name w:val="toc 2"/>
    <w:basedOn w:val="1"/>
    <w:next w:val="1"/>
    <w:autoRedefine/>
    <w:unhideWhenUsed/>
    <w:qFormat/>
    <w:uiPriority w:val="39"/>
    <w:pPr>
      <w:ind w:left="420" w:leftChars="200"/>
    </w:pPr>
  </w:style>
  <w:style w:type="paragraph" w:styleId="25">
    <w:name w:val="toc 9"/>
    <w:basedOn w:val="1"/>
    <w:next w:val="1"/>
    <w:unhideWhenUsed/>
    <w:qFormat/>
    <w:uiPriority w:val="39"/>
    <w:pPr>
      <w:widowControl/>
      <w:ind w:left="3360" w:leftChars="1600" w:firstLine="0" w:firstLineChars="0"/>
      <w:jc w:val="center"/>
    </w:pPr>
    <w:rPr>
      <w:rFonts w:ascii="Calibri" w:hAnsi="Calibri" w:eastAsia="宋体" w:cs="Times New Roman"/>
      <w:bCs/>
      <w:color w:val="000000"/>
      <w:kern w:val="0"/>
      <w:sz w:val="21"/>
      <w:szCs w:val="28"/>
    </w:rPr>
  </w:style>
  <w:style w:type="paragraph" w:styleId="26">
    <w:name w:val="Normal (Web)"/>
    <w:basedOn w:val="1"/>
    <w:link w:val="53"/>
    <w:autoRedefine/>
    <w:qFormat/>
    <w:uiPriority w:val="0"/>
    <w:pPr>
      <w:widowControl/>
      <w:adjustRightInd w:val="0"/>
      <w:snapToGrid w:val="0"/>
      <w:spacing w:line="360" w:lineRule="auto"/>
      <w:ind w:firstLine="0" w:firstLineChars="0"/>
      <w:jc w:val="center"/>
    </w:pPr>
    <w:rPr>
      <w:rFonts w:ascii="Times New Roman" w:hAnsi="Times New Roman" w:eastAsia="宋体" w:cs="Times New Roman"/>
      <w:b/>
      <w:sz w:val="52"/>
      <w:szCs w:val="52"/>
    </w:rPr>
  </w:style>
  <w:style w:type="paragraph" w:styleId="27">
    <w:name w:val="Title"/>
    <w:basedOn w:val="1"/>
    <w:next w:val="1"/>
    <w:link w:val="65"/>
    <w:qFormat/>
    <w:uiPriority w:val="0"/>
    <w:pPr>
      <w:widowControl/>
      <w:spacing w:before="240" w:after="60"/>
      <w:ind w:firstLine="0" w:firstLineChars="0"/>
      <w:jc w:val="center"/>
      <w:outlineLvl w:val="0"/>
    </w:pPr>
    <w:rPr>
      <w:rFonts w:ascii="Cambria" w:hAnsi="Cambria" w:eastAsia="宋体" w:cs="Times New Roman"/>
      <w:b/>
      <w:color w:val="000000"/>
      <w:kern w:val="0"/>
      <w:sz w:val="32"/>
      <w:szCs w:val="32"/>
    </w:rPr>
  </w:style>
  <w:style w:type="paragraph" w:styleId="28">
    <w:name w:val="annotation subject"/>
    <w:basedOn w:val="8"/>
    <w:next w:val="8"/>
    <w:link w:val="67"/>
    <w:qFormat/>
    <w:uiPriority w:val="99"/>
    <w:pPr>
      <w:widowControl/>
      <w:ind w:firstLine="0" w:firstLineChars="0"/>
    </w:pPr>
    <w:rPr>
      <w:rFonts w:ascii="Times New Roman" w:hAnsi="Times New Roman" w:eastAsia="宋体" w:cs="Times New Roman"/>
      <w:b/>
      <w:color w:val="000000"/>
      <w:kern w:val="0"/>
      <w:sz w:val="21"/>
      <w:szCs w:val="24"/>
    </w:rPr>
  </w:style>
  <w:style w:type="paragraph" w:styleId="29">
    <w:name w:val="Body Text First Indent 2"/>
    <w:basedOn w:val="10"/>
    <w:link w:val="51"/>
    <w:autoRedefine/>
    <w:qFormat/>
    <w:uiPriority w:val="0"/>
    <w:pPr>
      <w:spacing w:after="0"/>
      <w:ind w:left="0" w:leftChars="0" w:firstLine="420"/>
    </w:pPr>
    <w:rPr>
      <w:rFonts w:ascii="仿宋_GB2312"/>
      <w:kern w:val="0"/>
    </w:rPr>
  </w:style>
  <w:style w:type="table" w:styleId="31">
    <w:name w:val="Table Grid"/>
    <w:basedOn w:val="3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basedOn w:val="32"/>
    <w:autoRedefine/>
    <w:unhideWhenUsed/>
    <w:qFormat/>
    <w:uiPriority w:val="99"/>
    <w:rPr>
      <w:color w:val="0563C1" w:themeColor="hyperlink"/>
      <w:u w:val="single"/>
      <w14:textFill>
        <w14:solidFill>
          <w14:schemeClr w14:val="hlink"/>
        </w14:solidFill>
      </w14:textFill>
    </w:rPr>
  </w:style>
  <w:style w:type="character" w:styleId="37">
    <w:name w:val="annotation reference"/>
    <w:qFormat/>
    <w:uiPriority w:val="99"/>
    <w:rPr>
      <w:sz w:val="21"/>
      <w:szCs w:val="21"/>
    </w:rPr>
  </w:style>
  <w:style w:type="paragraph" w:styleId="38">
    <w:name w:val="List Paragraph"/>
    <w:basedOn w:val="1"/>
    <w:autoRedefine/>
    <w:qFormat/>
    <w:uiPriority w:val="34"/>
    <w:pPr>
      <w:ind w:firstLine="420"/>
    </w:pPr>
  </w:style>
  <w:style w:type="character" w:styleId="39">
    <w:name w:val="Placeholder Text"/>
    <w:basedOn w:val="32"/>
    <w:autoRedefine/>
    <w:semiHidden/>
    <w:qFormat/>
    <w:uiPriority w:val="99"/>
    <w:rPr>
      <w:color w:val="808080"/>
    </w:rPr>
  </w:style>
  <w:style w:type="character" w:customStyle="1" w:styleId="40">
    <w:name w:val="标题 1 Char"/>
    <w:basedOn w:val="32"/>
    <w:link w:val="2"/>
    <w:autoRedefine/>
    <w:qFormat/>
    <w:uiPriority w:val="9"/>
    <w:rPr>
      <w:rFonts w:eastAsia="宋体"/>
      <w:b/>
      <w:bCs/>
      <w:kern w:val="44"/>
      <w:sz w:val="30"/>
      <w:szCs w:val="44"/>
    </w:rPr>
  </w:style>
  <w:style w:type="character" w:customStyle="1" w:styleId="41">
    <w:name w:val="标题 2 Char"/>
    <w:basedOn w:val="32"/>
    <w:link w:val="3"/>
    <w:autoRedefine/>
    <w:qFormat/>
    <w:uiPriority w:val="9"/>
    <w:rPr>
      <w:rFonts w:ascii="宋体" w:hAnsi="宋体" w:eastAsia="楷体_GB2312" w:cs="宋体"/>
      <w:b/>
      <w:bCs/>
      <w:color w:val="000000" w:themeColor="text1"/>
      <w:kern w:val="2"/>
      <w:sz w:val="32"/>
      <w:szCs w:val="32"/>
      <w14:textFill>
        <w14:solidFill>
          <w14:schemeClr w14:val="tx1"/>
        </w14:solidFill>
      </w14:textFill>
    </w:rPr>
  </w:style>
  <w:style w:type="character" w:customStyle="1" w:styleId="42">
    <w:name w:val="页眉 Char"/>
    <w:basedOn w:val="32"/>
    <w:link w:val="19"/>
    <w:autoRedefine/>
    <w:qFormat/>
    <w:uiPriority w:val="99"/>
    <w:rPr>
      <w:rFonts w:eastAsia="仿宋"/>
      <w:sz w:val="18"/>
      <w:szCs w:val="18"/>
    </w:rPr>
  </w:style>
  <w:style w:type="character" w:customStyle="1" w:styleId="43">
    <w:name w:val="页脚 Char"/>
    <w:basedOn w:val="32"/>
    <w:link w:val="18"/>
    <w:autoRedefine/>
    <w:qFormat/>
    <w:uiPriority w:val="99"/>
    <w:rPr>
      <w:rFonts w:eastAsia="仿宋"/>
      <w:sz w:val="18"/>
      <w:szCs w:val="18"/>
    </w:rPr>
  </w:style>
  <w:style w:type="character" w:customStyle="1" w:styleId="44">
    <w:name w:val="批注框文本 Char"/>
    <w:basedOn w:val="32"/>
    <w:link w:val="17"/>
    <w:autoRedefine/>
    <w:semiHidden/>
    <w:qFormat/>
    <w:uiPriority w:val="99"/>
    <w:rPr>
      <w:rFonts w:eastAsia="仿宋"/>
      <w:sz w:val="18"/>
      <w:szCs w:val="18"/>
    </w:rPr>
  </w:style>
  <w:style w:type="paragraph" w:customStyle="1" w:styleId="45">
    <w:name w:val="WPSOffice手动目录 1"/>
    <w:autoRedefine/>
    <w:qFormat/>
    <w:uiPriority w:val="0"/>
    <w:rPr>
      <w:rFonts w:asciiTheme="minorHAnsi" w:hAnsiTheme="minorHAnsi" w:eastAsiaTheme="minorEastAsia" w:cstheme="minorBidi"/>
      <w:lang w:val="en-US" w:eastAsia="zh-CN" w:bidi="ar-SA"/>
    </w:rPr>
  </w:style>
  <w:style w:type="paragraph" w:customStyle="1" w:styleId="46">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7">
    <w:name w:val="标题 4 Char"/>
    <w:basedOn w:val="32"/>
    <w:link w:val="5"/>
    <w:qFormat/>
    <w:uiPriority w:val="9"/>
    <w:rPr>
      <w:rFonts w:cstheme="majorBidi"/>
      <w:bCs/>
      <w:kern w:val="2"/>
      <w:sz w:val="28"/>
      <w:szCs w:val="28"/>
    </w:rPr>
  </w:style>
  <w:style w:type="character" w:customStyle="1" w:styleId="48">
    <w:name w:val="文档结构图 Char"/>
    <w:basedOn w:val="32"/>
    <w:link w:val="7"/>
    <w:qFormat/>
    <w:uiPriority w:val="0"/>
    <w:rPr>
      <w:rFonts w:ascii="宋体"/>
      <w:kern w:val="2"/>
      <w:sz w:val="18"/>
      <w:szCs w:val="18"/>
    </w:rPr>
  </w:style>
  <w:style w:type="character" w:customStyle="1" w:styleId="49">
    <w:name w:val="正文文本 Char"/>
    <w:basedOn w:val="32"/>
    <w:link w:val="9"/>
    <w:qFormat/>
    <w:uiPriority w:val="0"/>
    <w:rPr>
      <w:rFonts w:ascii="仿宋_GB2312" w:hAnsi="仿宋_GB2312" w:eastAsia="仿宋_GB2312"/>
      <w:kern w:val="2"/>
      <w:sz w:val="28"/>
      <w:szCs w:val="24"/>
    </w:rPr>
  </w:style>
  <w:style w:type="character" w:customStyle="1" w:styleId="50">
    <w:name w:val="正文文本缩进 Char"/>
    <w:basedOn w:val="32"/>
    <w:link w:val="10"/>
    <w:qFormat/>
    <w:uiPriority w:val="0"/>
    <w:rPr>
      <w:kern w:val="2"/>
      <w:sz w:val="28"/>
      <w:szCs w:val="24"/>
    </w:rPr>
  </w:style>
  <w:style w:type="character" w:customStyle="1" w:styleId="51">
    <w:name w:val="正文首行缩进 2 Char"/>
    <w:basedOn w:val="50"/>
    <w:link w:val="29"/>
    <w:qFormat/>
    <w:uiPriority w:val="0"/>
    <w:rPr>
      <w:rFonts w:ascii="仿宋_GB2312"/>
      <w:kern w:val="2"/>
      <w:sz w:val="28"/>
      <w:szCs w:val="24"/>
    </w:rPr>
  </w:style>
  <w:style w:type="character" w:customStyle="1" w:styleId="52">
    <w:name w:val="页脚 字符1"/>
    <w:basedOn w:val="32"/>
    <w:autoRedefine/>
    <w:qFormat/>
    <w:uiPriority w:val="99"/>
    <w:rPr>
      <w:sz w:val="18"/>
      <w:szCs w:val="18"/>
    </w:rPr>
  </w:style>
  <w:style w:type="character" w:customStyle="1" w:styleId="53">
    <w:name w:val="普通(网站) Char"/>
    <w:link w:val="26"/>
    <w:autoRedefine/>
    <w:qFormat/>
    <w:locked/>
    <w:uiPriority w:val="99"/>
    <w:rPr>
      <w:b/>
      <w:kern w:val="2"/>
      <w:sz w:val="52"/>
      <w:szCs w:val="52"/>
    </w:rPr>
  </w:style>
  <w:style w:type="character" w:customStyle="1" w:styleId="54">
    <w:name w:val="普通(网站) 字符3"/>
    <w:autoRedefine/>
    <w:qFormat/>
    <w:locked/>
    <w:uiPriority w:val="0"/>
    <w:rPr>
      <w:rFonts w:ascii="宋体" w:hAnsi="宋体"/>
      <w:color w:val="000000"/>
      <w:sz w:val="24"/>
      <w:szCs w:val="24"/>
    </w:rPr>
  </w:style>
  <w:style w:type="character" w:customStyle="1" w:styleId="55">
    <w:name w:val="标题 3 Char"/>
    <w:basedOn w:val="32"/>
    <w:link w:val="4"/>
    <w:autoRedefine/>
    <w:qFormat/>
    <w:uiPriority w:val="0"/>
    <w:rPr>
      <w:rFonts w:ascii="仿宋_GB2312" w:hAnsi="仿宋_GB2312" w:eastAsia="仿宋_GB2312" w:cs="仿宋_GB2312"/>
      <w:b/>
      <w:color w:val="000000" w:themeColor="text1"/>
      <w:kern w:val="2"/>
      <w:sz w:val="32"/>
      <w:szCs w:val="22"/>
      <w14:textFill>
        <w14:solidFill>
          <w14:schemeClr w14:val="tx1"/>
        </w14:solidFill>
      </w14:textFill>
    </w:rPr>
  </w:style>
  <w:style w:type="character" w:customStyle="1" w:styleId="56">
    <w:name w:val="font41"/>
    <w:basedOn w:val="32"/>
    <w:autoRedefine/>
    <w:qFormat/>
    <w:uiPriority w:val="0"/>
    <w:rPr>
      <w:rFonts w:hint="eastAsia" w:ascii="宋体" w:hAnsi="宋体" w:eastAsia="宋体" w:cs="宋体"/>
      <w:color w:val="000000"/>
      <w:sz w:val="22"/>
      <w:szCs w:val="22"/>
      <w:u w:val="none"/>
    </w:rPr>
  </w:style>
  <w:style w:type="paragraph" w:customStyle="1" w:styleId="57">
    <w:name w:val="段"/>
    <w:autoRedefine/>
    <w:qFormat/>
    <w:uiPriority w:val="0"/>
    <w:pPr>
      <w:autoSpaceDE w:val="0"/>
      <w:autoSpaceDN w:val="0"/>
      <w:spacing w:line="360" w:lineRule="auto"/>
      <w:ind w:firstLine="200" w:firstLineChars="200"/>
      <w:jc w:val="both"/>
    </w:pPr>
    <w:rPr>
      <w:rFonts w:ascii="宋体" w:hAnsi="Calibri" w:eastAsia="宋体" w:cs="Times New Roman"/>
      <w:kern w:val="2"/>
      <w:sz w:val="21"/>
      <w:szCs w:val="22"/>
      <w:lang w:val="en-US" w:eastAsia="zh-CN" w:bidi="ar-SA"/>
    </w:rPr>
  </w:style>
  <w:style w:type="character" w:customStyle="1" w:styleId="58">
    <w:name w:val="font21"/>
    <w:basedOn w:val="32"/>
    <w:autoRedefine/>
    <w:qFormat/>
    <w:uiPriority w:val="0"/>
    <w:rPr>
      <w:rFonts w:ascii="等线" w:hAnsi="等线" w:eastAsia="等线" w:cs="等线"/>
      <w:color w:val="000000"/>
      <w:sz w:val="21"/>
      <w:szCs w:val="21"/>
      <w:u w:val="none"/>
    </w:rPr>
  </w:style>
  <w:style w:type="character" w:customStyle="1" w:styleId="59">
    <w:name w:val="font11"/>
    <w:basedOn w:val="32"/>
    <w:autoRedefine/>
    <w:qFormat/>
    <w:uiPriority w:val="0"/>
    <w:rPr>
      <w:rFonts w:hint="eastAsia" w:ascii="宋体" w:hAnsi="宋体" w:eastAsia="宋体" w:cs="宋体"/>
      <w:color w:val="000000"/>
      <w:sz w:val="21"/>
      <w:szCs w:val="21"/>
      <w:u w:val="none"/>
    </w:rPr>
  </w:style>
  <w:style w:type="character" w:customStyle="1" w:styleId="60">
    <w:name w:val="font81"/>
    <w:basedOn w:val="32"/>
    <w:qFormat/>
    <w:uiPriority w:val="0"/>
    <w:rPr>
      <w:rFonts w:ascii="Calibri" w:hAnsi="Calibri" w:cs="Calibri"/>
      <w:color w:val="000000"/>
      <w:sz w:val="28"/>
      <w:szCs w:val="28"/>
      <w:u w:val="none"/>
    </w:rPr>
  </w:style>
  <w:style w:type="character" w:customStyle="1" w:styleId="61">
    <w:name w:val="批注文字 Char"/>
    <w:qFormat/>
    <w:uiPriority w:val="99"/>
    <w:rPr>
      <w:kern w:val="2"/>
      <w:sz w:val="21"/>
      <w:szCs w:val="24"/>
    </w:rPr>
  </w:style>
  <w:style w:type="character" w:customStyle="1" w:styleId="62">
    <w:name w:val="日期 Char"/>
    <w:basedOn w:val="32"/>
    <w:link w:val="15"/>
    <w:qFormat/>
    <w:uiPriority w:val="99"/>
    <w:rPr>
      <w:rFonts w:ascii="仿宋_GB2312" w:eastAsia="仿宋_GB2312"/>
      <w:bCs/>
      <w:color w:val="000000"/>
      <w:sz w:val="32"/>
      <w:szCs w:val="24"/>
    </w:rPr>
  </w:style>
  <w:style w:type="character" w:customStyle="1" w:styleId="63">
    <w:name w:val="正文文本缩进 2 Char"/>
    <w:basedOn w:val="32"/>
    <w:link w:val="16"/>
    <w:qFormat/>
    <w:uiPriority w:val="0"/>
    <w:rPr>
      <w:bCs/>
      <w:color w:val="000000"/>
      <w:sz w:val="21"/>
    </w:rPr>
  </w:style>
  <w:style w:type="character" w:customStyle="1" w:styleId="64">
    <w:name w:val="正文文本缩进 3 Char"/>
    <w:basedOn w:val="32"/>
    <w:link w:val="23"/>
    <w:qFormat/>
    <w:uiPriority w:val="0"/>
    <w:rPr>
      <w:rFonts w:ascii="仿宋_GB2312" w:eastAsia="仿宋_GB2312"/>
      <w:bCs/>
      <w:color w:val="000000"/>
      <w:sz w:val="16"/>
      <w:szCs w:val="16"/>
    </w:rPr>
  </w:style>
  <w:style w:type="character" w:customStyle="1" w:styleId="65">
    <w:name w:val="标题 Char"/>
    <w:basedOn w:val="32"/>
    <w:link w:val="27"/>
    <w:qFormat/>
    <w:uiPriority w:val="0"/>
    <w:rPr>
      <w:rFonts w:ascii="Cambria" w:hAnsi="Cambria"/>
      <w:b/>
      <w:color w:val="000000"/>
      <w:sz w:val="32"/>
      <w:szCs w:val="32"/>
    </w:rPr>
  </w:style>
  <w:style w:type="character" w:customStyle="1" w:styleId="66">
    <w:name w:val="批注文字 Char1"/>
    <w:basedOn w:val="32"/>
    <w:link w:val="8"/>
    <w:qFormat/>
    <w:uiPriority w:val="99"/>
    <w:rPr>
      <w:rFonts w:eastAsia="仿宋" w:asciiTheme="minorHAnsi" w:hAnsiTheme="minorHAnsi" w:cstheme="minorBidi"/>
      <w:kern w:val="2"/>
      <w:sz w:val="28"/>
      <w:szCs w:val="22"/>
    </w:rPr>
  </w:style>
  <w:style w:type="character" w:customStyle="1" w:styleId="67">
    <w:name w:val="批注主题 Char"/>
    <w:basedOn w:val="66"/>
    <w:link w:val="28"/>
    <w:qFormat/>
    <w:uiPriority w:val="99"/>
    <w:rPr>
      <w:rFonts w:eastAsia="仿宋" w:asciiTheme="minorHAnsi" w:hAnsiTheme="minorHAnsi" w:cstheme="minorBidi"/>
      <w:b/>
      <w:color w:val="000000"/>
      <w:kern w:val="2"/>
      <w:sz w:val="21"/>
      <w:szCs w:val="24"/>
    </w:rPr>
  </w:style>
  <w:style w:type="paragraph" w:customStyle="1" w:styleId="68">
    <w:name w:val="Char"/>
    <w:basedOn w:val="4"/>
    <w:qFormat/>
    <w:uiPriority w:val="0"/>
    <w:pPr>
      <w:widowControl/>
      <w:spacing w:before="260" w:after="260" w:line="240" w:lineRule="atLeast"/>
      <w:ind w:firstLine="0" w:firstLineChars="0"/>
      <w:jc w:val="left"/>
    </w:pPr>
    <w:rPr>
      <w:rFonts w:eastAsia="宋体" w:cs="Times New Roman"/>
      <w:color w:val="000000"/>
      <w:kern w:val="0"/>
      <w:sz w:val="24"/>
      <w:szCs w:val="21"/>
    </w:rPr>
  </w:style>
  <w:style w:type="paragraph" w:customStyle="1" w:styleId="69">
    <w:name w:val="Char Char Char Char"/>
    <w:basedOn w:val="1"/>
    <w:qFormat/>
    <w:uiPriority w:val="0"/>
    <w:pPr>
      <w:widowControl/>
      <w:snapToGrid w:val="0"/>
      <w:spacing w:after="160" w:line="300" w:lineRule="auto"/>
      <w:ind w:firstLine="0" w:firstLineChars="0"/>
      <w:jc w:val="left"/>
    </w:pPr>
    <w:rPr>
      <w:rFonts w:ascii="仿宋_GB2312" w:hAnsi="Verdana" w:eastAsia="仿宋_GB2312" w:cs="仿宋_GB2312"/>
      <w:b/>
      <w:color w:val="000000"/>
      <w:kern w:val="0"/>
      <w:szCs w:val="28"/>
      <w:lang w:eastAsia="en-US"/>
    </w:rPr>
  </w:style>
  <w:style w:type="paragraph" w:customStyle="1" w:styleId="70">
    <w:name w:val="TOC Heading"/>
    <w:basedOn w:val="2"/>
    <w:next w:val="1"/>
    <w:qFormat/>
    <w:uiPriority w:val="39"/>
    <w:pPr>
      <w:widowControl/>
      <w:spacing w:before="480" w:after="0" w:line="276" w:lineRule="auto"/>
      <w:ind w:firstLine="0" w:firstLineChars="0"/>
      <w:jc w:val="left"/>
      <w:outlineLvl w:val="9"/>
    </w:pPr>
    <w:rPr>
      <w:rFonts w:ascii="Cambria" w:hAnsi="Cambria" w:cs="Times New Roman"/>
      <w:bCs w:val="0"/>
      <w:color w:val="365F91"/>
      <w:kern w:val="0"/>
      <w:sz w:val="28"/>
      <w:szCs w:val="28"/>
    </w:rPr>
  </w:style>
  <w:style w:type="paragraph" w:customStyle="1" w:styleId="71">
    <w:name w:val="列出段落1"/>
    <w:basedOn w:val="1"/>
    <w:qFormat/>
    <w:uiPriority w:val="0"/>
    <w:pPr>
      <w:widowControl/>
      <w:ind w:firstLine="420" w:firstLineChars="0"/>
      <w:jc w:val="center"/>
    </w:pPr>
    <w:rPr>
      <w:rFonts w:ascii="Calibri" w:hAnsi="Calibri" w:eastAsia="宋体" w:cs="黑体"/>
      <w:bCs/>
      <w:color w:val="000000"/>
      <w:kern w:val="0"/>
      <w:sz w:val="21"/>
      <w:szCs w:val="28"/>
    </w:rPr>
  </w:style>
  <w:style w:type="paragraph" w:customStyle="1" w:styleId="72">
    <w:name w:val="_Style 4"/>
    <w:basedOn w:val="4"/>
    <w:qFormat/>
    <w:uiPriority w:val="0"/>
    <w:pPr>
      <w:widowControl/>
      <w:spacing w:line="240" w:lineRule="atLeast"/>
      <w:ind w:left="200" w:leftChars="200" w:firstLine="0" w:firstLineChars="0"/>
      <w:jc w:val="left"/>
    </w:pPr>
    <w:rPr>
      <w:rFonts w:eastAsia="宋体" w:cs="Times New Roman"/>
      <w:color w:val="000000"/>
      <w:kern w:val="0"/>
      <w:sz w:val="24"/>
      <w:szCs w:val="21"/>
    </w:rPr>
  </w:style>
  <w:style w:type="paragraph" w:customStyle="1" w:styleId="73">
    <w:name w:val="标题 21"/>
    <w:basedOn w:val="1"/>
    <w:next w:val="1"/>
    <w:unhideWhenUsed/>
    <w:qFormat/>
    <w:uiPriority w:val="9"/>
    <w:pPr>
      <w:keepNext/>
      <w:keepLines/>
      <w:widowControl/>
      <w:spacing w:before="260" w:after="260" w:line="416" w:lineRule="auto"/>
      <w:ind w:firstLine="0" w:firstLineChars="0"/>
      <w:jc w:val="center"/>
      <w:outlineLvl w:val="1"/>
    </w:pPr>
    <w:rPr>
      <w:rFonts w:ascii="Calibri Light" w:hAnsi="Calibri Light" w:eastAsia="宋体" w:cs="Times New Roman"/>
      <w:b/>
      <w:color w:val="000000"/>
      <w:kern w:val="0"/>
      <w:sz w:val="32"/>
      <w:szCs w:val="32"/>
    </w:rPr>
  </w:style>
  <w:style w:type="character" w:customStyle="1" w:styleId="74">
    <w:name w:val="页脚 Char1"/>
    <w:semiHidden/>
    <w:qFormat/>
    <w:uiPriority w:val="99"/>
    <w:rPr>
      <w:rFonts w:ascii="仿宋_GB2312" w:eastAsia="仿宋_GB2312"/>
      <w:kern w:val="2"/>
      <w:sz w:val="18"/>
      <w:szCs w:val="18"/>
    </w:rPr>
  </w:style>
  <w:style w:type="character" w:customStyle="1" w:styleId="75">
    <w:name w:val="页眉 Char1"/>
    <w:semiHidden/>
    <w:qFormat/>
    <w:uiPriority w:val="99"/>
    <w:rPr>
      <w:rFonts w:ascii="仿宋_GB2312" w:eastAsia="仿宋_GB2312"/>
      <w:kern w:val="2"/>
      <w:sz w:val="18"/>
      <w:szCs w:val="18"/>
    </w:rPr>
  </w:style>
  <w:style w:type="character" w:customStyle="1" w:styleId="76">
    <w:name w:val="正文文本缩进 Char1"/>
    <w:semiHidden/>
    <w:qFormat/>
    <w:uiPriority w:val="99"/>
    <w:rPr>
      <w:rFonts w:ascii="仿宋_GB2312" w:hAnsi="Times New Roman" w:eastAsia="仿宋_GB2312" w:cs="Times New Roman"/>
      <w:sz w:val="32"/>
      <w:szCs w:val="24"/>
    </w:rPr>
  </w:style>
  <w:style w:type="character" w:customStyle="1" w:styleId="77">
    <w:name w:val="日期 Char1"/>
    <w:semiHidden/>
    <w:qFormat/>
    <w:uiPriority w:val="99"/>
    <w:rPr>
      <w:rFonts w:ascii="仿宋_GB2312" w:hAnsi="Times New Roman" w:eastAsia="仿宋_GB2312" w:cs="Times New Roman"/>
      <w:sz w:val="32"/>
      <w:szCs w:val="24"/>
    </w:rPr>
  </w:style>
  <w:style w:type="paragraph" w:customStyle="1" w:styleId="78">
    <w:name w:val="Char1"/>
    <w:basedOn w:val="4"/>
    <w:qFormat/>
    <w:uiPriority w:val="0"/>
    <w:pPr>
      <w:widowControl/>
      <w:spacing w:before="260" w:after="260" w:line="240" w:lineRule="atLeast"/>
      <w:ind w:firstLine="0" w:firstLineChars="0"/>
      <w:jc w:val="left"/>
    </w:pPr>
    <w:rPr>
      <w:rFonts w:eastAsia="宋体" w:cs="Times New Roman"/>
      <w:color w:val="000000"/>
      <w:kern w:val="0"/>
      <w:sz w:val="24"/>
      <w:szCs w:val="21"/>
    </w:rPr>
  </w:style>
  <w:style w:type="paragraph" w:customStyle="1" w:styleId="79">
    <w:name w:val="列出段落11"/>
    <w:basedOn w:val="1"/>
    <w:qFormat/>
    <w:uiPriority w:val="0"/>
    <w:pPr>
      <w:widowControl/>
      <w:ind w:firstLine="420" w:firstLineChars="0"/>
      <w:jc w:val="center"/>
    </w:pPr>
    <w:rPr>
      <w:rFonts w:ascii="Calibri" w:hAnsi="Calibri" w:eastAsia="宋体" w:cs="黑体"/>
      <w:bCs/>
      <w:color w:val="000000"/>
      <w:kern w:val="0"/>
      <w:sz w:val="21"/>
      <w:szCs w:val="28"/>
    </w:rPr>
  </w:style>
  <w:style w:type="table" w:customStyle="1" w:styleId="80">
    <w:name w:val="网格型1"/>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1">
    <w:name w:val="1"/>
    <w:basedOn w:val="1"/>
    <w:qFormat/>
    <w:uiPriority w:val="0"/>
    <w:pPr>
      <w:widowControl/>
      <w:adjustRightInd w:val="0"/>
      <w:spacing w:line="360" w:lineRule="atLeast"/>
      <w:ind w:firstLine="0" w:firstLineChars="0"/>
      <w:jc w:val="center"/>
    </w:pPr>
    <w:rPr>
      <w:rFonts w:ascii="Times New Roman" w:hAnsi="Times New Roman" w:eastAsia="宋体" w:cs="Times New Roman"/>
      <w:bCs/>
      <w:color w:val="000000"/>
      <w:kern w:val="0"/>
      <w:sz w:val="21"/>
      <w:szCs w:val="24"/>
    </w:rPr>
  </w:style>
  <w:style w:type="paragraph" w:customStyle="1" w:styleId="82">
    <w:name w:val="reader-word-layer"/>
    <w:basedOn w:val="1"/>
    <w:qFormat/>
    <w:uiPriority w:val="0"/>
    <w:pPr>
      <w:widowControl/>
      <w:spacing w:before="100" w:beforeAutospacing="1" w:after="100" w:afterAutospacing="1"/>
      <w:ind w:firstLine="0" w:firstLineChars="0"/>
      <w:jc w:val="left"/>
    </w:pPr>
    <w:rPr>
      <w:rFonts w:ascii="宋体" w:hAnsi="宋体" w:eastAsia="宋体" w:cs="宋体"/>
      <w:bCs/>
      <w:color w:val="000000"/>
      <w:kern w:val="0"/>
      <w:sz w:val="24"/>
      <w:szCs w:val="24"/>
    </w:rPr>
  </w:style>
  <w:style w:type="paragraph" w:customStyle="1" w:styleId="83">
    <w:name w:val="Revision"/>
    <w:qFormat/>
    <w:uiPriority w:val="71"/>
    <w:rPr>
      <w:rFonts w:ascii="Times New Roman" w:hAnsi="Times New Roman" w:eastAsia="宋体" w:cs="Times New Roman"/>
      <w:kern w:val="2"/>
      <w:sz w:val="21"/>
      <w:szCs w:val="24"/>
      <w:lang w:val="en-US" w:eastAsia="zh-CN" w:bidi="ar-SA"/>
    </w:rPr>
  </w:style>
  <w:style w:type="table" w:customStyle="1" w:styleId="84">
    <w:name w:val="网格型11"/>
    <w:basedOn w:val="30"/>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标题 2 Char1"/>
    <w:semiHidden/>
    <w:qFormat/>
    <w:uiPriority w:val="0"/>
    <w:rPr>
      <w:rFonts w:ascii="Cambria" w:hAnsi="Cambria" w:eastAsia="宋体" w:cs="Times New Roman"/>
      <w:b/>
      <w:bCs/>
      <w:kern w:val="2"/>
      <w:sz w:val="32"/>
      <w:szCs w:val="32"/>
    </w:rPr>
  </w:style>
  <w:style w:type="paragraph" w:customStyle="1" w:styleId="86">
    <w:name w:val="标准文件_数字编号列项（二级）"/>
    <w:qFormat/>
    <w:uiPriority w:val="0"/>
    <w:pPr>
      <w:numPr>
        <w:ilvl w:val="1"/>
        <w:numId w:val="1"/>
      </w:numPr>
      <w:tabs>
        <w:tab w:val="left" w:pos="1276"/>
      </w:tabs>
      <w:jc w:val="both"/>
    </w:pPr>
    <w:rPr>
      <w:rFonts w:ascii="宋体" w:hAnsi="Times New Roman" w:eastAsia="宋体" w:cs="Times New Roman"/>
      <w:sz w:val="21"/>
      <w:lang w:val="en-US" w:eastAsia="zh-CN" w:bidi="ar-SA"/>
    </w:rPr>
  </w:style>
  <w:style w:type="paragraph" w:customStyle="1" w:styleId="87">
    <w:name w:val="标准文件_编号列项（三级）"/>
    <w:qFormat/>
    <w:uiPriority w:val="0"/>
    <w:pPr>
      <w:numPr>
        <w:ilvl w:val="2"/>
        <w:numId w:val="1"/>
      </w:numPr>
    </w:pPr>
    <w:rPr>
      <w:rFonts w:ascii="宋体" w:hAnsi="Times New Roman" w:eastAsia="宋体" w:cs="Times New Roman"/>
      <w:sz w:val="21"/>
      <w:lang w:val="en-US" w:eastAsia="zh-CN" w:bidi="ar-SA"/>
    </w:rPr>
  </w:style>
  <w:style w:type="paragraph" w:customStyle="1" w:styleId="88">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9041</Words>
  <Characters>9447</Characters>
  <Lines>85</Lines>
  <Paragraphs>24</Paragraphs>
  <TotalTime>208</TotalTime>
  <ScaleCrop>false</ScaleCrop>
  <LinksUpToDate>false</LinksUpToDate>
  <CharactersWithSpaces>9618</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2025-03-19T17:03:00Z</dcterms:created>
  <dc:creator>dell</dc:creator>
  <cp:lastModifiedBy>thtf</cp:lastModifiedBy>
  <cp:lastPrinted>2025-02-24T14:57:00Z</cp:lastPrinted>
  <dcterms:modified xsi:type="dcterms:W3CDTF">2025-06-16T10:57:57Z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AA06B302128347F19B0342D0E3137ADC_13</vt:lpwstr>
  </property>
  <property fmtid="{D5CDD505-2E9C-101B-9397-08002B2CF9AE}" pid="4" name="KSOTemplateDocerSaveRecord">
    <vt:lpwstr>eyJoZGlkIjoiZTMxNTZiMjM3MGUyNDQ5YTEwZTFjMWJlYTdmYmQyYTciLCJ1c2VySWQiOiI3NDk2MzUwODEifQ==</vt:lpwstr>
  </property>
</Properties>
</file>