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60" w:lineRule="exact"/>
        <w:jc w:val="both"/>
        <w:textAlignment w:val="auto"/>
        <w:rPr>
          <w:rFonts w:hint="eastAsia" w:ascii="国标黑体" w:hAnsi="国标黑体" w:eastAsia="国标黑体" w:cs="国标黑体"/>
          <w:b w:val="0"/>
          <w:spacing w:val="-12"/>
          <w:sz w:val="32"/>
          <w:szCs w:val="32"/>
          <w:lang w:val="en-US" w:eastAsia="zh-CN"/>
        </w:rPr>
      </w:pPr>
      <w:bookmarkStart w:id="0" w:name="_Toc11916827"/>
      <w:r>
        <w:rPr>
          <w:rFonts w:hint="eastAsia" w:ascii="国标黑体" w:hAnsi="国标黑体" w:eastAsia="国标黑体" w:cs="国标黑体"/>
          <w:b w:val="0"/>
          <w:spacing w:val="-12"/>
          <w:sz w:val="32"/>
          <w:szCs w:val="32"/>
          <w:lang w:eastAsia="zh-CN"/>
        </w:rPr>
        <w:t>附件</w:t>
      </w:r>
      <w:r>
        <w:rPr>
          <w:rFonts w:hint="eastAsia" w:ascii="国标黑体" w:hAnsi="国标黑体" w:eastAsia="国标黑体" w:cs="国标黑体"/>
          <w:b w:val="0"/>
          <w:spacing w:val="-12"/>
          <w:sz w:val="32"/>
          <w:szCs w:val="32"/>
          <w:lang w:val="en-US" w:eastAsia="zh-CN"/>
        </w:rPr>
        <w:t>1</w:t>
      </w:r>
    </w:p>
    <w:p>
      <w:pPr>
        <w:rPr>
          <w:rFonts w:hint="default"/>
          <w:lang w:val="en-US" w:eastAsia="zh-CN"/>
        </w:rPr>
      </w:pPr>
      <w:bookmarkStart w:id="1" w:name="_GoBack"/>
      <w:bookmarkEnd w:id="1"/>
    </w:p>
    <w:p>
      <w:pPr>
        <w:pStyle w:val="2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eastAsia="方正小标宋简体"/>
          <w:b w:val="0"/>
          <w:spacing w:val="-12"/>
          <w:sz w:val="36"/>
          <w:szCs w:val="36"/>
          <w:lang w:eastAsia="zh-CN"/>
        </w:rPr>
      </w:pPr>
      <w:r>
        <w:rPr>
          <w:rFonts w:hint="eastAsia" w:ascii="方正小标宋简体" w:eastAsia="方正小标宋简体"/>
          <w:b w:val="0"/>
          <w:spacing w:val="-12"/>
          <w:sz w:val="36"/>
          <w:szCs w:val="36"/>
        </w:rPr>
        <w:t>上海市水务建设工程安全质量行政处罚裁量权</w:t>
      </w:r>
      <w:bookmarkEnd w:id="0"/>
      <w:r>
        <w:rPr>
          <w:rFonts w:hint="eastAsia" w:ascii="方正小标宋简体" w:eastAsia="方正小标宋简体"/>
          <w:b w:val="0"/>
          <w:spacing w:val="-12"/>
          <w:sz w:val="36"/>
          <w:szCs w:val="36"/>
          <w:lang w:eastAsia="zh-CN"/>
        </w:rPr>
        <w:t>行使规定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hAnsi="黑体" w:eastAsia="仿宋_GB2312" w:cs="黑体"/>
          <w:sz w:val="32"/>
          <w:szCs w:val="32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textAlignment w:val="auto"/>
        <w:rPr>
          <w:rFonts w:ascii="仿宋_GB2312" w:hAnsi="黑体" w:eastAsia="仿宋_GB2312" w:cs="黑体"/>
          <w:b/>
          <w:bCs/>
          <w:sz w:val="32"/>
          <w:szCs w:val="32"/>
        </w:rPr>
      </w:pPr>
      <w:r>
        <w:rPr>
          <w:rFonts w:hint="eastAsia" w:ascii="仿宋_GB2312" w:hAnsi="黑体" w:eastAsia="仿宋_GB2312" w:cs="黑体"/>
          <w:b/>
          <w:bCs/>
          <w:sz w:val="32"/>
          <w:szCs w:val="32"/>
        </w:rPr>
        <w:t>第一条（目的与依据）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黑体" w:eastAsia="仿宋_GB2312" w:cs="黑体"/>
          <w:sz w:val="32"/>
          <w:szCs w:val="32"/>
        </w:rPr>
      </w:pPr>
      <w:r>
        <w:rPr>
          <w:rFonts w:hint="eastAsia" w:ascii="仿宋_GB2312" w:hAnsi="黑体" w:eastAsia="仿宋_GB2312" w:cs="黑体"/>
          <w:sz w:val="32"/>
          <w:szCs w:val="32"/>
        </w:rPr>
        <w:t>为</w:t>
      </w:r>
      <w:r>
        <w:rPr>
          <w:rFonts w:hint="eastAsia" w:ascii="仿宋_GB2312" w:hAnsi="黑体" w:eastAsia="仿宋_GB2312" w:cs="黑体"/>
          <w:sz w:val="32"/>
          <w:szCs w:val="32"/>
          <w:lang w:val="en-US" w:eastAsia="zh-CN"/>
        </w:rPr>
        <w:t>进一步</w:t>
      </w:r>
      <w:r>
        <w:rPr>
          <w:rFonts w:hint="eastAsia" w:ascii="仿宋_GB2312" w:hAnsi="黑体" w:eastAsia="仿宋_GB2312" w:cs="黑体"/>
          <w:sz w:val="32"/>
          <w:szCs w:val="32"/>
        </w:rPr>
        <w:t>规范本市水务建设工程安全质量行政执法行为，进一步提高依法行政水平，保障公正和合理行使行政处罚裁量权，保护当事人的合法权益，根据《中华人民共和国安全生产法》《中华人民共和国行政处罚法》《建设工程质量管理条例》《建设工程</w:t>
      </w:r>
      <w:r>
        <w:rPr>
          <w:rFonts w:hint="eastAsia" w:ascii="仿宋_GB2312" w:hAnsi="黑体" w:eastAsia="仿宋_GB2312" w:cs="黑体"/>
          <w:sz w:val="32"/>
          <w:szCs w:val="32"/>
          <w:lang w:eastAsia="zh-CN"/>
        </w:rPr>
        <w:t>安全生产</w:t>
      </w:r>
      <w:r>
        <w:rPr>
          <w:rFonts w:hint="eastAsia" w:ascii="仿宋_GB2312" w:hAnsi="黑体" w:eastAsia="仿宋_GB2312" w:cs="黑体"/>
          <w:sz w:val="32"/>
          <w:szCs w:val="32"/>
        </w:rPr>
        <w:t>管理条例》《上海市建设工程质量和安全管理条例》等法律、法规和规章的有关规定，结合本市实际，制定本</w:t>
      </w:r>
      <w:r>
        <w:rPr>
          <w:rFonts w:hint="eastAsia" w:ascii="仿宋_GB2312" w:hAnsi="黑体" w:eastAsia="仿宋_GB2312" w:cs="黑体"/>
          <w:sz w:val="32"/>
          <w:szCs w:val="32"/>
          <w:lang w:val="en-US" w:eastAsia="zh-CN"/>
        </w:rPr>
        <w:t>规定</w:t>
      </w:r>
      <w:r>
        <w:rPr>
          <w:rFonts w:hint="eastAsia" w:ascii="仿宋_GB2312" w:hAnsi="黑体" w:eastAsia="仿宋_GB2312" w:cs="黑体"/>
          <w:sz w:val="32"/>
          <w:szCs w:val="32"/>
        </w:rPr>
        <w:t>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8"/>
        <w:textAlignment w:val="auto"/>
        <w:rPr>
          <w:rFonts w:ascii="仿宋_GB2312" w:hAnsi="黑体" w:eastAsia="仿宋_GB2312" w:cs="黑体"/>
          <w:b/>
          <w:bCs/>
          <w:sz w:val="32"/>
          <w:szCs w:val="32"/>
        </w:rPr>
      </w:pPr>
      <w:r>
        <w:rPr>
          <w:rFonts w:hint="eastAsia" w:ascii="仿宋_GB2312" w:hAnsi="黑体" w:eastAsia="仿宋_GB2312" w:cs="黑体"/>
          <w:b/>
          <w:bCs/>
          <w:sz w:val="32"/>
          <w:szCs w:val="32"/>
        </w:rPr>
        <w:t>第二条（适用范围）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8"/>
        <w:textAlignment w:val="auto"/>
        <w:rPr>
          <w:rFonts w:ascii="仿宋_GB2312" w:hAnsi="黑体" w:eastAsia="仿宋_GB2312" w:cs="黑体"/>
          <w:sz w:val="32"/>
          <w:szCs w:val="32"/>
        </w:rPr>
      </w:pPr>
      <w:r>
        <w:rPr>
          <w:rFonts w:hint="eastAsia" w:ascii="仿宋_GB2312" w:hAnsi="黑体" w:eastAsia="仿宋_GB2312" w:cs="黑体"/>
          <w:sz w:val="32"/>
          <w:szCs w:val="32"/>
          <w:lang w:eastAsia="zh-CN"/>
        </w:rPr>
        <w:t>本市水务部门对水务建设工程安全、质量违法行为</w:t>
      </w:r>
      <w:r>
        <w:rPr>
          <w:rFonts w:hint="eastAsia" w:ascii="仿宋_GB2312" w:hAnsi="黑体" w:eastAsia="仿宋_GB2312" w:cs="黑体"/>
          <w:sz w:val="32"/>
          <w:szCs w:val="32"/>
        </w:rPr>
        <w:t>行使行政处罚裁量权时，应当遵守本规定。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8"/>
        <w:textAlignment w:val="auto"/>
        <w:rPr>
          <w:rFonts w:ascii="仿宋_GB2312" w:hAnsi="黑体" w:eastAsia="仿宋_GB2312" w:cs="黑体"/>
          <w:b/>
          <w:bCs/>
          <w:sz w:val="32"/>
          <w:szCs w:val="32"/>
        </w:rPr>
      </w:pPr>
      <w:r>
        <w:rPr>
          <w:rFonts w:hint="eastAsia" w:ascii="仿宋_GB2312" w:hAnsi="黑体" w:eastAsia="仿宋_GB2312" w:cs="黑体"/>
          <w:b/>
          <w:bCs/>
          <w:sz w:val="32"/>
          <w:szCs w:val="32"/>
        </w:rPr>
        <w:t>第三条（基本原则）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黑体" w:eastAsia="仿宋_GB2312" w:cs="黑体"/>
          <w:sz w:val="32"/>
          <w:szCs w:val="32"/>
        </w:rPr>
      </w:pPr>
      <w:r>
        <w:rPr>
          <w:rFonts w:hint="eastAsia" w:ascii="仿宋_GB2312" w:hAnsi="黑体" w:eastAsia="仿宋_GB2312" w:cs="黑体"/>
          <w:sz w:val="32"/>
          <w:szCs w:val="32"/>
          <w:lang w:eastAsia="zh-CN"/>
        </w:rPr>
        <w:t>水务部门</w:t>
      </w:r>
      <w:r>
        <w:rPr>
          <w:rFonts w:hint="eastAsia" w:ascii="仿宋_GB2312" w:hAnsi="黑体" w:eastAsia="仿宋_GB2312" w:cs="黑体"/>
          <w:sz w:val="32"/>
          <w:szCs w:val="32"/>
        </w:rPr>
        <w:t>行使行政处罚裁量权</w:t>
      </w:r>
      <w:r>
        <w:rPr>
          <w:rFonts w:hint="eastAsia" w:ascii="仿宋_GB2312" w:hAnsi="CESI仿宋-GB2312" w:eastAsia="仿宋_GB2312" w:cs="CESI仿宋-GB2312"/>
          <w:color w:val="000000"/>
          <w:sz w:val="32"/>
          <w:szCs w:val="32"/>
          <w:highlight w:val="none"/>
        </w:rPr>
        <w:t>应</w:t>
      </w:r>
      <w:r>
        <w:rPr>
          <w:rFonts w:hint="eastAsia" w:ascii="仿宋_GB2312" w:hAnsi="黑体" w:eastAsia="仿宋_GB2312" w:cs="黑体"/>
          <w:sz w:val="32"/>
          <w:szCs w:val="32"/>
        </w:rPr>
        <w:t>当</w:t>
      </w:r>
      <w:r>
        <w:rPr>
          <w:rFonts w:hint="eastAsia" w:ascii="仿宋_GB2312" w:hAnsi="黑体" w:eastAsia="仿宋_GB2312" w:cs="黑体"/>
          <w:sz w:val="32"/>
          <w:szCs w:val="32"/>
          <w:lang w:val="en-US" w:eastAsia="zh-CN"/>
        </w:rPr>
        <w:t>坚持</w:t>
      </w:r>
      <w:r>
        <w:rPr>
          <w:rFonts w:hint="eastAsia" w:ascii="仿宋_GB2312" w:hAnsi="黑体" w:eastAsia="仿宋_GB2312" w:cs="黑体"/>
          <w:sz w:val="32"/>
          <w:szCs w:val="32"/>
        </w:rPr>
        <w:t>公平公正</w:t>
      </w:r>
      <w:r>
        <w:rPr>
          <w:rFonts w:hint="eastAsia" w:ascii="仿宋_GB2312" w:hAnsi="黑体" w:eastAsia="仿宋_GB2312" w:cs="黑体"/>
          <w:sz w:val="32"/>
          <w:szCs w:val="32"/>
          <w:lang w:val="en-US" w:eastAsia="zh-CN"/>
        </w:rPr>
        <w:t>原则</w:t>
      </w:r>
      <w:r>
        <w:rPr>
          <w:rFonts w:hint="eastAsia" w:ascii="仿宋_GB2312" w:hAnsi="黑体" w:eastAsia="仿宋_GB2312" w:cs="黑体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 w:cs="黑体"/>
          <w:sz w:val="32"/>
          <w:szCs w:val="32"/>
        </w:rPr>
        <w:t>过罚相当</w:t>
      </w:r>
      <w:r>
        <w:rPr>
          <w:rFonts w:hint="eastAsia" w:ascii="仿宋_GB2312" w:hAnsi="黑体" w:eastAsia="仿宋_GB2312" w:cs="黑体"/>
          <w:sz w:val="32"/>
          <w:szCs w:val="32"/>
          <w:lang w:val="en-US" w:eastAsia="zh-CN"/>
        </w:rPr>
        <w:t>原则、</w:t>
      </w:r>
      <w:r>
        <w:rPr>
          <w:rFonts w:hint="eastAsia" w:ascii="仿宋_GB2312" w:hAnsi="黑体" w:eastAsia="仿宋_GB2312" w:cs="黑体"/>
          <w:sz w:val="32"/>
          <w:szCs w:val="32"/>
        </w:rPr>
        <w:t>处罚与教育相结合</w:t>
      </w:r>
      <w:r>
        <w:rPr>
          <w:rFonts w:hint="eastAsia" w:ascii="仿宋_GB2312" w:hAnsi="黑体" w:eastAsia="仿宋_GB2312" w:cs="黑体"/>
          <w:sz w:val="32"/>
          <w:szCs w:val="32"/>
          <w:lang w:val="en-US" w:eastAsia="zh-CN"/>
        </w:rPr>
        <w:t>原则</w:t>
      </w:r>
      <w:r>
        <w:rPr>
          <w:rFonts w:hint="eastAsia" w:ascii="仿宋_GB2312" w:hAnsi="黑体" w:eastAsia="仿宋_GB2312" w:cs="黑体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 w:cs="黑体"/>
          <w:sz w:val="32"/>
          <w:szCs w:val="32"/>
        </w:rPr>
        <w:t>综合</w:t>
      </w:r>
      <w:r>
        <w:rPr>
          <w:rFonts w:hint="eastAsia" w:ascii="仿宋_GB2312" w:hAnsi="黑体" w:eastAsia="仿宋_GB2312" w:cs="黑体"/>
          <w:sz w:val="32"/>
          <w:szCs w:val="32"/>
          <w:lang w:val="en-US" w:eastAsia="zh-CN"/>
        </w:rPr>
        <w:t>裁量原则</w:t>
      </w:r>
      <w:r>
        <w:rPr>
          <w:rFonts w:hint="eastAsia" w:ascii="仿宋_GB2312" w:hAnsi="黑体" w:eastAsia="仿宋_GB2312" w:cs="黑体"/>
          <w:sz w:val="32"/>
          <w:szCs w:val="32"/>
        </w:rPr>
        <w:t>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textAlignment w:val="auto"/>
        <w:rPr>
          <w:rFonts w:ascii="仿宋_GB2312" w:hAnsi="黑体" w:eastAsia="仿宋_GB2312" w:cs="黑体"/>
          <w:b/>
          <w:bCs/>
          <w:sz w:val="32"/>
          <w:szCs w:val="32"/>
        </w:rPr>
      </w:pPr>
      <w:r>
        <w:rPr>
          <w:rFonts w:hint="eastAsia" w:ascii="仿宋_GB2312" w:hAnsi="黑体" w:eastAsia="仿宋_GB2312" w:cs="黑体"/>
          <w:b/>
          <w:bCs/>
          <w:sz w:val="32"/>
          <w:szCs w:val="32"/>
        </w:rPr>
        <w:t>第</w:t>
      </w:r>
      <w:r>
        <w:rPr>
          <w:rFonts w:hint="eastAsia" w:ascii="仿宋_GB2312" w:hAnsi="黑体" w:eastAsia="仿宋_GB2312" w:cs="黑体"/>
          <w:b/>
          <w:bCs/>
          <w:sz w:val="32"/>
          <w:szCs w:val="32"/>
          <w:lang w:val="en-US" w:eastAsia="zh-CN"/>
        </w:rPr>
        <w:t>四</w:t>
      </w:r>
      <w:r>
        <w:rPr>
          <w:rFonts w:hint="eastAsia" w:ascii="仿宋_GB2312" w:hAnsi="黑体" w:eastAsia="仿宋_GB2312" w:cs="黑体"/>
          <w:b/>
          <w:bCs/>
          <w:sz w:val="32"/>
          <w:szCs w:val="32"/>
        </w:rPr>
        <w:t>条（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行政处罚裁量权基准</w:t>
      </w:r>
      <w:r>
        <w:rPr>
          <w:rFonts w:hint="eastAsia" w:ascii="仿宋_GB2312" w:hAnsi="黑体" w:eastAsia="仿宋_GB2312" w:cs="黑体"/>
          <w:b/>
          <w:bCs/>
          <w:sz w:val="32"/>
          <w:szCs w:val="32"/>
        </w:rPr>
        <w:t>）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本规定所指行政处罚裁量权基准，是指</w:t>
      </w:r>
      <w:r>
        <w:rPr>
          <w:rFonts w:hint="eastAsia" w:ascii="仿宋_GB2312" w:hAnsi="黑体" w:eastAsia="仿宋_GB2312" w:cs="黑体"/>
          <w:sz w:val="32"/>
          <w:szCs w:val="32"/>
        </w:rPr>
        <w:t>水务部门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结合行政管理实际，按照裁量涉及的不同事实和情节，对法律、法规、规章中的原则性规定或具有一定弹性的执法权限、裁量幅度等内容，细化量化形成的具体执法尺度、标准。</w:t>
      </w:r>
    </w:p>
    <w:p>
      <w:pPr>
        <w:spacing w:line="560" w:lineRule="exact"/>
        <w:ind w:firstLine="638"/>
        <w:rPr>
          <w:rFonts w:ascii="仿宋_GB2312" w:hAnsi="黑体" w:eastAsia="仿宋_GB2312" w:cs="黑体"/>
          <w:b/>
          <w:bCs/>
          <w:color w:val="auto"/>
          <w:sz w:val="32"/>
          <w:szCs w:val="32"/>
        </w:rPr>
      </w:pPr>
      <w:r>
        <w:rPr>
          <w:rFonts w:hint="eastAsia" w:ascii="仿宋_GB2312" w:hAnsi="黑体" w:eastAsia="仿宋_GB2312" w:cs="黑体"/>
          <w:b/>
          <w:bCs/>
          <w:color w:val="auto"/>
          <w:sz w:val="32"/>
          <w:szCs w:val="32"/>
        </w:rPr>
        <w:t>第</w:t>
      </w:r>
      <w:r>
        <w:rPr>
          <w:rFonts w:hint="eastAsia" w:ascii="仿宋_GB2312" w:hAnsi="黑体" w:eastAsia="仿宋_GB2312" w:cs="黑体"/>
          <w:b/>
          <w:bCs/>
          <w:color w:val="auto"/>
          <w:sz w:val="32"/>
          <w:szCs w:val="32"/>
          <w:lang w:val="en-US" w:eastAsia="zh-CN"/>
        </w:rPr>
        <w:t>五</w:t>
      </w:r>
      <w:r>
        <w:rPr>
          <w:rFonts w:hint="eastAsia" w:ascii="仿宋_GB2312" w:hAnsi="黑体" w:eastAsia="仿宋_GB2312" w:cs="黑体"/>
          <w:b/>
          <w:bCs/>
          <w:color w:val="auto"/>
          <w:sz w:val="32"/>
          <w:szCs w:val="32"/>
        </w:rPr>
        <w:t>条（不予行政处罚）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违法行为符合《中华人民共和国行政处罚法》规定的应当不予行政处罚情形的，不予行政处罚。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违法行为轻微并及时改正，没有造成危害后果的，不予行政处罚。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初次违法且危害后果轻微并及时改正的，可以不予行政处罚。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当事人有证据足以证明没有主观过错的，不予行政处罚。法律、行政法规另有规定的，从其规定。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违法行为在二年内未被发现的，不再给予行政处罚；涉及公民生命健康安全、金融安全且有危害后果的，上述期限延长至五年。法律另有规定的除外。</w:t>
      </w:r>
    </w:p>
    <w:p>
      <w:pPr>
        <w:spacing w:line="560" w:lineRule="exact"/>
        <w:ind w:firstLine="638"/>
        <w:rPr>
          <w:rFonts w:ascii="仿宋_GB2312" w:hAnsi="黑体" w:eastAsia="仿宋_GB2312" w:cs="黑体"/>
          <w:color w:val="auto"/>
          <w:sz w:val="32"/>
          <w:szCs w:val="32"/>
        </w:rPr>
      </w:pPr>
      <w:r>
        <w:rPr>
          <w:rFonts w:hint="eastAsia" w:ascii="仿宋_GB2312" w:hAnsi="黑体" w:eastAsia="仿宋_GB2312" w:cs="黑体"/>
          <w:color w:val="auto"/>
          <w:sz w:val="32"/>
          <w:szCs w:val="32"/>
        </w:rPr>
        <w:t>对当事人的违法行为依法不予行政处罚的，</w:t>
      </w:r>
      <w:r>
        <w:rPr>
          <w:rFonts w:hint="eastAsia" w:ascii="仿宋_GB2312" w:hAnsi="黑体" w:eastAsia="仿宋_GB2312" w:cs="黑体"/>
          <w:sz w:val="32"/>
          <w:szCs w:val="32"/>
        </w:rPr>
        <w:t>水务部门</w:t>
      </w:r>
      <w:r>
        <w:rPr>
          <w:rFonts w:hint="eastAsia" w:ascii="仿宋_GB2312" w:hAnsi="黑体" w:eastAsia="仿宋_GB2312" w:cs="黑体"/>
          <w:color w:val="auto"/>
          <w:sz w:val="32"/>
          <w:szCs w:val="32"/>
        </w:rPr>
        <w:t>应当对当事人进行教育。</w:t>
      </w:r>
    </w:p>
    <w:p>
      <w:pPr>
        <w:spacing w:line="560" w:lineRule="exact"/>
        <w:ind w:firstLine="642" w:firstLineChars="200"/>
        <w:rPr>
          <w:rFonts w:ascii="仿宋_GB2312" w:hAnsi="黑体" w:eastAsia="仿宋_GB2312" w:cs="黑体"/>
          <w:b/>
          <w:bCs/>
          <w:color w:val="auto"/>
          <w:sz w:val="32"/>
          <w:szCs w:val="32"/>
        </w:rPr>
      </w:pPr>
      <w:r>
        <w:rPr>
          <w:rFonts w:hint="eastAsia" w:ascii="仿宋_GB2312" w:hAnsi="黑体" w:eastAsia="仿宋_GB2312" w:cs="黑体"/>
          <w:b/>
          <w:bCs/>
          <w:color w:val="auto"/>
          <w:sz w:val="32"/>
          <w:szCs w:val="32"/>
        </w:rPr>
        <w:t>第</w:t>
      </w:r>
      <w:r>
        <w:rPr>
          <w:rFonts w:hint="eastAsia" w:ascii="仿宋_GB2312" w:hAnsi="黑体" w:eastAsia="仿宋_GB2312" w:cs="黑体"/>
          <w:b/>
          <w:bCs/>
          <w:color w:val="auto"/>
          <w:sz w:val="32"/>
          <w:szCs w:val="32"/>
          <w:lang w:val="en-US" w:eastAsia="zh-CN"/>
        </w:rPr>
        <w:t>六</w:t>
      </w:r>
      <w:r>
        <w:rPr>
          <w:rFonts w:hint="eastAsia" w:ascii="仿宋_GB2312" w:hAnsi="黑体" w:eastAsia="仿宋_GB2312" w:cs="黑体"/>
          <w:b/>
          <w:bCs/>
          <w:color w:val="auto"/>
          <w:sz w:val="32"/>
          <w:szCs w:val="32"/>
        </w:rPr>
        <w:t>条（从轻</w:t>
      </w:r>
      <w:r>
        <w:rPr>
          <w:rFonts w:hint="eastAsia" w:ascii="仿宋_GB2312" w:hAnsi="黑体" w:eastAsia="仿宋_GB2312" w:cs="黑体"/>
          <w:b/>
          <w:bCs/>
          <w:color w:val="auto"/>
          <w:sz w:val="32"/>
          <w:szCs w:val="32"/>
          <w:lang w:eastAsia="zh-CN"/>
        </w:rPr>
        <w:t>或减轻</w:t>
      </w:r>
      <w:r>
        <w:rPr>
          <w:rFonts w:hint="eastAsia" w:ascii="仿宋_GB2312" w:hAnsi="黑体" w:eastAsia="仿宋_GB2312" w:cs="黑体"/>
          <w:b/>
          <w:bCs/>
          <w:color w:val="auto"/>
          <w:sz w:val="32"/>
          <w:szCs w:val="32"/>
          <w:lang w:val="en-US" w:eastAsia="zh-CN"/>
        </w:rPr>
        <w:t>行政</w:t>
      </w:r>
      <w:r>
        <w:rPr>
          <w:rFonts w:hint="eastAsia" w:ascii="仿宋_GB2312" w:hAnsi="黑体" w:eastAsia="仿宋_GB2312" w:cs="黑体"/>
          <w:b/>
          <w:bCs/>
          <w:color w:val="auto"/>
          <w:sz w:val="32"/>
          <w:szCs w:val="32"/>
        </w:rPr>
        <w:t>处罚）</w:t>
      </w:r>
    </w:p>
    <w:p>
      <w:pPr>
        <w:spacing w:line="560" w:lineRule="exact"/>
        <w:ind w:firstLine="640" w:firstLineChars="200"/>
        <w:rPr>
          <w:rFonts w:ascii="仿宋_GB2312" w:hAnsi="黑体" w:eastAsia="仿宋_GB2312" w:cs="黑体"/>
          <w:color w:val="auto"/>
          <w:sz w:val="32"/>
          <w:szCs w:val="32"/>
        </w:rPr>
      </w:pPr>
      <w:r>
        <w:rPr>
          <w:rFonts w:hint="eastAsia" w:ascii="仿宋_GB2312" w:hAnsi="黑体" w:eastAsia="仿宋_GB2312" w:cs="黑体"/>
          <w:color w:val="auto"/>
          <w:sz w:val="32"/>
          <w:szCs w:val="32"/>
        </w:rPr>
        <w:t xml:space="preserve">当事人有下列情形之一的，应当依法从轻或者减轻行政处罚：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CESI仿宋-GB2312" w:eastAsia="仿宋_GB2312" w:cs="CESI仿宋-GB2312"/>
          <w:color w:val="000000"/>
          <w:sz w:val="32"/>
          <w:szCs w:val="32"/>
          <w:highlight w:val="none"/>
        </w:rPr>
      </w:pPr>
      <w:r>
        <w:rPr>
          <w:rFonts w:hint="eastAsia" w:ascii="仿宋_GB2312" w:hAnsi="黑体" w:eastAsia="仿宋_GB2312" w:cs="黑体"/>
          <w:color w:val="auto"/>
          <w:sz w:val="32"/>
          <w:szCs w:val="32"/>
        </w:rPr>
        <w:t>（一）</w:t>
      </w:r>
      <w:r>
        <w:rPr>
          <w:rFonts w:hint="eastAsia" w:ascii="仿宋_GB2312" w:hAnsi="CESI仿宋-GB2312" w:eastAsia="仿宋_GB2312" w:cs="CESI仿宋-GB2312"/>
          <w:color w:val="000000"/>
          <w:sz w:val="32"/>
          <w:szCs w:val="32"/>
          <w:highlight w:val="none"/>
        </w:rPr>
        <w:t>主动消除或者减轻违法行为危害后果的；</w:t>
      </w:r>
    </w:p>
    <w:p>
      <w:pPr>
        <w:spacing w:line="560" w:lineRule="exact"/>
        <w:ind w:firstLine="640" w:firstLineChars="200"/>
        <w:rPr>
          <w:rFonts w:ascii="仿宋_GB2312" w:hAnsi="黑体" w:eastAsia="仿宋_GB2312" w:cs="黑体"/>
          <w:color w:val="auto"/>
          <w:sz w:val="32"/>
          <w:szCs w:val="32"/>
        </w:rPr>
      </w:pPr>
      <w:r>
        <w:rPr>
          <w:rFonts w:hint="eastAsia" w:ascii="仿宋_GB2312" w:hAnsi="黑体" w:eastAsia="仿宋_GB2312" w:cs="黑体"/>
          <w:color w:val="auto"/>
          <w:sz w:val="32"/>
          <w:szCs w:val="32"/>
        </w:rPr>
        <w:t>（</w:t>
      </w:r>
      <w:r>
        <w:rPr>
          <w:rFonts w:hint="eastAsia" w:ascii="仿宋_GB2312" w:hAnsi="黑体" w:eastAsia="仿宋_GB2312" w:cs="黑体"/>
          <w:color w:val="auto"/>
          <w:sz w:val="32"/>
          <w:szCs w:val="32"/>
          <w:lang w:eastAsia="zh-CN"/>
        </w:rPr>
        <w:t>二</w:t>
      </w:r>
      <w:r>
        <w:rPr>
          <w:rFonts w:hint="eastAsia" w:ascii="仿宋_GB2312" w:hAnsi="黑体" w:eastAsia="仿宋_GB2312" w:cs="黑体"/>
          <w:color w:val="auto"/>
          <w:sz w:val="32"/>
          <w:szCs w:val="32"/>
        </w:rPr>
        <w:t>）受他人胁迫</w:t>
      </w:r>
      <w:r>
        <w:rPr>
          <w:rFonts w:hint="eastAsia" w:ascii="仿宋_GB2312" w:hAnsi="黑体" w:eastAsia="仿宋_GB2312" w:cs="黑体"/>
          <w:color w:val="auto"/>
          <w:sz w:val="32"/>
          <w:szCs w:val="32"/>
          <w:lang w:eastAsia="zh-CN"/>
        </w:rPr>
        <w:t>或者诱骗</w:t>
      </w:r>
      <w:r>
        <w:rPr>
          <w:rFonts w:hint="eastAsia" w:ascii="仿宋_GB2312" w:hAnsi="黑体" w:eastAsia="仿宋_GB2312" w:cs="黑体"/>
          <w:color w:val="auto"/>
          <w:sz w:val="32"/>
          <w:szCs w:val="32"/>
        </w:rPr>
        <w:t>实施违法行为的；</w:t>
      </w:r>
    </w:p>
    <w:p>
      <w:pPr>
        <w:spacing w:line="560" w:lineRule="exact"/>
        <w:ind w:firstLine="640" w:firstLineChars="200"/>
        <w:rPr>
          <w:rFonts w:hint="eastAsia" w:ascii="仿宋_GB2312" w:hAnsi="黑体" w:eastAsia="仿宋_GB2312" w:cs="黑体"/>
          <w:color w:val="auto"/>
          <w:sz w:val="32"/>
          <w:szCs w:val="32"/>
          <w:lang w:eastAsia="zh-CN"/>
        </w:rPr>
      </w:pPr>
      <w:r>
        <w:rPr>
          <w:rFonts w:hint="eastAsia" w:ascii="仿宋_GB2312" w:hAnsi="黑体" w:eastAsia="仿宋_GB2312" w:cs="黑体"/>
          <w:color w:val="auto"/>
          <w:sz w:val="32"/>
          <w:szCs w:val="32"/>
          <w:lang w:eastAsia="zh-CN"/>
        </w:rPr>
        <w:t>（三）主动供述行政机关尚未掌握的违法行为的；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黑体" w:eastAsia="仿宋_GB2312" w:cs="黑体"/>
          <w:color w:val="auto"/>
          <w:sz w:val="32"/>
          <w:szCs w:val="32"/>
        </w:rPr>
      </w:pPr>
      <w:r>
        <w:rPr>
          <w:rFonts w:hint="eastAsia" w:ascii="仿宋_GB2312" w:hAnsi="黑体" w:eastAsia="仿宋_GB2312" w:cs="黑体"/>
          <w:color w:val="auto"/>
          <w:sz w:val="32"/>
          <w:szCs w:val="32"/>
        </w:rPr>
        <w:t>（四）配合行政机关查处违法行为有立功表现的；</w:t>
      </w:r>
    </w:p>
    <w:p>
      <w:pPr>
        <w:spacing w:line="560" w:lineRule="exact"/>
        <w:ind w:firstLine="640"/>
        <w:rPr>
          <w:rFonts w:hint="eastAsia" w:ascii="仿宋_GB2312" w:hAnsi="黑体" w:eastAsia="仿宋_GB2312" w:cs="黑体"/>
          <w:color w:val="auto"/>
          <w:sz w:val="32"/>
          <w:szCs w:val="32"/>
        </w:rPr>
      </w:pPr>
      <w:r>
        <w:rPr>
          <w:rFonts w:hint="eastAsia" w:ascii="仿宋_GB2312" w:hAnsi="黑体" w:eastAsia="仿宋_GB2312" w:cs="黑体"/>
          <w:color w:val="auto"/>
          <w:sz w:val="32"/>
          <w:szCs w:val="32"/>
        </w:rPr>
        <w:t>（五）</w:t>
      </w:r>
      <w:r>
        <w:rPr>
          <w:rFonts w:hint="eastAsia" w:ascii="仿宋_GB2312" w:hAnsi="黑体" w:eastAsia="仿宋_GB2312" w:cs="黑体"/>
          <w:sz w:val="32"/>
          <w:szCs w:val="32"/>
        </w:rPr>
        <w:t>法律、法规、规章规定其他</w:t>
      </w:r>
      <w:r>
        <w:rPr>
          <w:rFonts w:hint="eastAsia" w:ascii="仿宋_GB2312" w:hAnsi="黑体" w:eastAsia="仿宋_GB2312" w:cs="黑体"/>
          <w:color w:val="auto"/>
          <w:sz w:val="32"/>
          <w:szCs w:val="32"/>
        </w:rPr>
        <w:t>应当从轻或者减轻行政处罚的。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黑体" w:eastAsia="仿宋_GB2312" w:cs="黑体"/>
          <w:b/>
          <w:bCs/>
          <w:sz w:val="32"/>
          <w:szCs w:val="32"/>
        </w:rPr>
      </w:pPr>
      <w:r>
        <w:rPr>
          <w:rFonts w:hint="eastAsia" w:ascii="仿宋_GB2312" w:hAnsi="黑体" w:eastAsia="仿宋_GB2312" w:cs="黑体"/>
          <w:color w:val="auto"/>
          <w:sz w:val="32"/>
          <w:szCs w:val="32"/>
        </w:rPr>
        <w:t>前款第</w:t>
      </w:r>
      <w:r>
        <w:rPr>
          <w:rFonts w:hint="eastAsia" w:ascii="仿宋_GB2312" w:hAnsi="黑体" w:eastAsia="仿宋_GB2312" w:cs="黑体"/>
          <w:color w:val="auto"/>
          <w:sz w:val="32"/>
          <w:szCs w:val="32"/>
          <w:lang w:val="en-US" w:eastAsia="zh-CN"/>
        </w:rPr>
        <w:t>一</w:t>
      </w:r>
      <w:r>
        <w:rPr>
          <w:rFonts w:hint="eastAsia" w:ascii="仿宋_GB2312" w:hAnsi="黑体" w:eastAsia="仿宋_GB2312" w:cs="黑体"/>
          <w:color w:val="auto"/>
          <w:sz w:val="32"/>
          <w:szCs w:val="32"/>
        </w:rPr>
        <w:t>项包括但不限</w:t>
      </w:r>
      <w:r>
        <w:rPr>
          <w:rFonts w:hint="eastAsia" w:ascii="仿宋_GB2312" w:hAnsi="黑体" w:eastAsia="仿宋_GB2312" w:cs="黑体"/>
          <w:color w:val="auto"/>
          <w:sz w:val="32"/>
          <w:szCs w:val="32"/>
          <w:lang w:val="en-US" w:eastAsia="zh-CN"/>
        </w:rPr>
        <w:t>于当事人</w:t>
      </w:r>
      <w:r>
        <w:rPr>
          <w:rFonts w:hint="eastAsia" w:ascii="仿宋_GB2312" w:hAnsi="黑体" w:eastAsia="仿宋_GB2312" w:cs="黑体"/>
          <w:color w:val="auto"/>
          <w:sz w:val="32"/>
          <w:szCs w:val="32"/>
        </w:rPr>
        <w:t>在责令改正通知书发出前，主动消除工程质量缺陷或者安全事故隐患的</w:t>
      </w:r>
      <w:r>
        <w:rPr>
          <w:rFonts w:hint="eastAsia" w:ascii="仿宋_GB2312" w:hAnsi="黑体" w:eastAsia="仿宋_GB2312" w:cs="黑体"/>
          <w:color w:val="auto"/>
          <w:sz w:val="32"/>
          <w:szCs w:val="32"/>
          <w:lang w:eastAsia="zh-CN"/>
        </w:rPr>
        <w:t>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textAlignment w:val="auto"/>
        <w:rPr>
          <w:rFonts w:hint="eastAsia" w:ascii="仿宋_GB2312" w:hAnsi="黑体" w:eastAsia="仿宋_GB2312" w:cs="黑体"/>
          <w:b/>
          <w:bCs/>
          <w:sz w:val="32"/>
          <w:szCs w:val="32"/>
        </w:rPr>
      </w:pPr>
      <w:r>
        <w:rPr>
          <w:rFonts w:hint="eastAsia" w:ascii="仿宋_GB2312" w:hAnsi="黑体" w:eastAsia="仿宋_GB2312" w:cs="黑体"/>
          <w:b/>
          <w:bCs/>
          <w:sz w:val="32"/>
          <w:szCs w:val="32"/>
        </w:rPr>
        <w:t>第七条（从重行政处罚）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黑体" w:eastAsia="仿宋_GB2312" w:cs="黑体"/>
          <w:b w:val="0"/>
          <w:bCs w:val="0"/>
          <w:sz w:val="32"/>
          <w:szCs w:val="32"/>
        </w:rPr>
      </w:pPr>
      <w:r>
        <w:rPr>
          <w:rFonts w:hint="eastAsia" w:ascii="仿宋_GB2312" w:hAnsi="黑体" w:eastAsia="仿宋_GB2312" w:cs="黑体"/>
          <w:b w:val="0"/>
          <w:bCs w:val="0"/>
          <w:sz w:val="32"/>
          <w:szCs w:val="32"/>
        </w:rPr>
        <w:t xml:space="preserve">当事人有下列情形之一的，应当依法从重行政处罚： 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黑体" w:eastAsia="仿宋_GB2312" w:cs="黑体"/>
          <w:b w:val="0"/>
          <w:bCs w:val="0"/>
          <w:sz w:val="32"/>
          <w:szCs w:val="32"/>
        </w:rPr>
      </w:pPr>
      <w:r>
        <w:rPr>
          <w:rFonts w:hint="eastAsia" w:ascii="仿宋_GB2312" w:hAnsi="黑体" w:eastAsia="仿宋_GB2312" w:cs="黑体"/>
          <w:b w:val="0"/>
          <w:bCs w:val="0"/>
          <w:sz w:val="32"/>
          <w:szCs w:val="32"/>
        </w:rPr>
        <w:t>（一）违法情节恶劣，造成重大社会影响的；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黑体" w:eastAsia="仿宋_GB2312" w:cs="黑体"/>
          <w:b w:val="0"/>
          <w:bCs w:val="0"/>
          <w:sz w:val="32"/>
          <w:szCs w:val="32"/>
        </w:rPr>
      </w:pPr>
      <w:r>
        <w:rPr>
          <w:rFonts w:hint="eastAsia" w:ascii="仿宋_GB2312" w:hAnsi="黑体" w:eastAsia="仿宋_GB2312" w:cs="黑体"/>
          <w:b w:val="0"/>
          <w:bCs w:val="0"/>
          <w:sz w:val="32"/>
          <w:szCs w:val="32"/>
        </w:rPr>
        <w:t>（二）经执法单位责令改正后，继续实施违法行为的（罚则对拒不改正情形已作出处罚规定的除外）；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黑体" w:eastAsia="仿宋_GB2312" w:cs="黑体"/>
          <w:b w:val="0"/>
          <w:bCs w:val="0"/>
          <w:sz w:val="32"/>
          <w:szCs w:val="32"/>
        </w:rPr>
      </w:pPr>
      <w:r>
        <w:rPr>
          <w:rFonts w:hint="eastAsia" w:ascii="仿宋_GB2312" w:hAnsi="黑体" w:eastAsia="仿宋_GB2312" w:cs="黑体"/>
          <w:b w:val="0"/>
          <w:bCs w:val="0"/>
          <w:sz w:val="32"/>
          <w:szCs w:val="32"/>
        </w:rPr>
        <w:t>（三）伪造、隐匿、毁灭违法行为证据的；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黑体" w:eastAsia="仿宋_GB2312" w:cs="黑体"/>
          <w:b w:val="0"/>
          <w:bCs w:val="0"/>
          <w:sz w:val="32"/>
          <w:szCs w:val="32"/>
        </w:rPr>
      </w:pPr>
      <w:r>
        <w:rPr>
          <w:rFonts w:hint="eastAsia" w:ascii="仿宋_GB2312" w:hAnsi="黑体" w:eastAsia="仿宋_GB2312" w:cs="黑体"/>
          <w:b w:val="0"/>
          <w:bCs w:val="0"/>
          <w:sz w:val="32"/>
          <w:szCs w:val="32"/>
        </w:rPr>
        <w:t>（四）在三年内第二次</w:t>
      </w:r>
      <w:r>
        <w:rPr>
          <w:rFonts w:hint="eastAsia" w:ascii="仿宋_GB2312" w:hAnsi="黑体" w:eastAsia="仿宋_GB2312" w:cs="黑体"/>
          <w:b w:val="0"/>
          <w:bCs w:val="0"/>
          <w:sz w:val="32"/>
          <w:szCs w:val="32"/>
          <w:lang w:eastAsia="zh-CN"/>
        </w:rPr>
        <w:t>实施</w:t>
      </w:r>
      <w:r>
        <w:rPr>
          <w:rFonts w:hint="eastAsia" w:ascii="仿宋_GB2312" w:hAnsi="黑体" w:eastAsia="仿宋_GB2312" w:cs="黑体"/>
          <w:b w:val="0"/>
          <w:bCs w:val="0"/>
          <w:sz w:val="32"/>
          <w:szCs w:val="32"/>
        </w:rPr>
        <w:t>同一违法行为的；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黑体" w:eastAsia="仿宋_GB2312" w:cs="黑体"/>
          <w:b w:val="0"/>
          <w:bCs w:val="0"/>
          <w:sz w:val="32"/>
          <w:szCs w:val="32"/>
        </w:rPr>
      </w:pPr>
      <w:r>
        <w:rPr>
          <w:rFonts w:hint="eastAsia" w:ascii="仿宋_GB2312" w:hAnsi="黑体" w:eastAsia="仿宋_GB2312" w:cs="黑体"/>
          <w:b w:val="0"/>
          <w:bCs w:val="0"/>
          <w:sz w:val="32"/>
          <w:szCs w:val="32"/>
        </w:rPr>
        <w:t>（五）在同一水务建设工程项目施工期间，</w:t>
      </w:r>
      <w:r>
        <w:rPr>
          <w:rFonts w:hint="eastAsia" w:ascii="仿宋_GB2312" w:hAnsi="黑体" w:eastAsia="仿宋_GB2312" w:cs="黑体"/>
          <w:b w:val="0"/>
          <w:bCs w:val="0"/>
          <w:sz w:val="32"/>
          <w:szCs w:val="32"/>
          <w:lang w:eastAsia="zh-CN"/>
        </w:rPr>
        <w:t>实施</w:t>
      </w:r>
      <w:r>
        <w:rPr>
          <w:rFonts w:hint="eastAsia" w:ascii="仿宋_GB2312" w:hAnsi="黑体" w:eastAsia="仿宋_GB2312" w:cs="黑体"/>
          <w:b w:val="0"/>
          <w:bCs w:val="0"/>
          <w:sz w:val="32"/>
          <w:szCs w:val="32"/>
        </w:rPr>
        <w:t>两次及以上违法行为的；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黑体" w:eastAsia="仿宋_GB2312" w:cs="黑体"/>
          <w:b w:val="0"/>
          <w:bCs w:val="0"/>
          <w:sz w:val="32"/>
          <w:szCs w:val="32"/>
        </w:rPr>
      </w:pPr>
      <w:r>
        <w:rPr>
          <w:rFonts w:hint="eastAsia" w:ascii="仿宋_GB2312" w:hAnsi="黑体" w:eastAsia="仿宋_GB2312" w:cs="黑体"/>
          <w:b w:val="0"/>
          <w:bCs w:val="0"/>
          <w:sz w:val="32"/>
          <w:szCs w:val="32"/>
        </w:rPr>
        <w:t>（六）阻碍执法人员依法查处违法行为的；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黑体" w:eastAsia="仿宋_GB2312" w:cs="黑体"/>
          <w:b w:val="0"/>
          <w:bCs w:val="0"/>
          <w:sz w:val="32"/>
          <w:szCs w:val="32"/>
        </w:rPr>
      </w:pPr>
      <w:r>
        <w:rPr>
          <w:rFonts w:hint="eastAsia" w:ascii="仿宋_GB2312" w:hAnsi="黑体" w:eastAsia="仿宋_GB2312" w:cs="黑体"/>
          <w:b w:val="0"/>
          <w:bCs w:val="0"/>
          <w:sz w:val="32"/>
          <w:szCs w:val="32"/>
        </w:rPr>
        <w:t>（七）对举报人、证人或者执法人员打击报复的；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黑体" w:eastAsia="仿宋_GB2312" w:cs="黑体"/>
          <w:b w:val="0"/>
          <w:bCs w:val="0"/>
          <w:sz w:val="32"/>
          <w:szCs w:val="32"/>
        </w:rPr>
      </w:pPr>
      <w:r>
        <w:rPr>
          <w:rFonts w:hint="eastAsia" w:ascii="仿宋_GB2312" w:hAnsi="黑体" w:eastAsia="仿宋_GB2312" w:cs="黑体"/>
          <w:b w:val="0"/>
          <w:bCs w:val="0"/>
          <w:sz w:val="32"/>
          <w:szCs w:val="32"/>
        </w:rPr>
        <w:t xml:space="preserve">（八）法律、法规、规章规定其他应当从重行政处罚的。 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黑体" w:eastAsia="仿宋_GB2312" w:cs="黑体"/>
          <w:b w:val="0"/>
          <w:bCs w:val="0"/>
          <w:sz w:val="32"/>
          <w:szCs w:val="32"/>
        </w:rPr>
      </w:pPr>
      <w:r>
        <w:rPr>
          <w:rFonts w:hint="eastAsia" w:ascii="仿宋_GB2312" w:hAnsi="黑体" w:eastAsia="仿宋_GB2312" w:cs="黑体"/>
          <w:b w:val="0"/>
          <w:bCs w:val="0"/>
          <w:sz w:val="32"/>
          <w:szCs w:val="32"/>
        </w:rPr>
        <w:t>当事人存在从重行政处罚情形的，应当视情节轻重、造成的安全、质量事故等级及社会影响程度，在法定处罚幅度内选择较高限额确定处罚标准，但不得高于处罚幅度所设定的最高处罚标准。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textAlignment w:val="auto"/>
        <w:rPr>
          <w:rFonts w:hint="eastAsia" w:ascii="仿宋_GB2312" w:hAnsi="黑体" w:eastAsia="仿宋_GB2312" w:cs="黑体"/>
          <w:b/>
          <w:bCs/>
          <w:sz w:val="32"/>
          <w:szCs w:val="32"/>
        </w:rPr>
      </w:pPr>
      <w:r>
        <w:rPr>
          <w:rFonts w:hint="eastAsia" w:ascii="仿宋_GB2312" w:hAnsi="黑体" w:eastAsia="仿宋_GB2312" w:cs="黑体"/>
          <w:b/>
          <w:bCs/>
          <w:sz w:val="32"/>
          <w:szCs w:val="32"/>
        </w:rPr>
        <w:t>第八条（从轻、从重罚款数额）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黑体" w:eastAsia="仿宋_GB2312" w:cs="黑体"/>
          <w:b w:val="0"/>
          <w:bCs w:val="0"/>
          <w:sz w:val="32"/>
          <w:szCs w:val="32"/>
        </w:rPr>
      </w:pPr>
      <w:r>
        <w:rPr>
          <w:rFonts w:hint="eastAsia" w:ascii="仿宋_GB2312" w:hAnsi="黑体" w:eastAsia="仿宋_GB2312" w:cs="黑体"/>
          <w:sz w:val="32"/>
          <w:szCs w:val="32"/>
        </w:rPr>
        <w:t>水务部门</w:t>
      </w:r>
      <w:r>
        <w:rPr>
          <w:rFonts w:hint="eastAsia" w:ascii="仿宋_GB2312" w:hAnsi="黑体" w:eastAsia="仿宋_GB2312" w:cs="黑体"/>
          <w:b w:val="0"/>
          <w:bCs w:val="0"/>
          <w:sz w:val="32"/>
          <w:szCs w:val="32"/>
        </w:rPr>
        <w:t>应当在处罚标准数额的基础上，综合考量从轻或者从重行政处罚情形，按处罚标准幅度差的10%-50%进行调整，予以从轻或者从重行政处罚；最终确定的罚款数额不得突破法定罚款限额。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黑体" w:eastAsia="仿宋_GB2312" w:cs="黑体"/>
          <w:b w:val="0"/>
          <w:bCs w:val="0"/>
          <w:sz w:val="32"/>
          <w:szCs w:val="32"/>
        </w:rPr>
      </w:pPr>
      <w:r>
        <w:rPr>
          <w:rFonts w:hint="eastAsia" w:ascii="仿宋_GB2312" w:hAnsi="黑体" w:eastAsia="仿宋_GB2312" w:cs="黑体"/>
          <w:b w:val="0"/>
          <w:bCs w:val="0"/>
          <w:sz w:val="32"/>
          <w:szCs w:val="32"/>
        </w:rPr>
        <w:t>处罚标准数额，是指行政处罚裁量权基准确定的罚款幅度的中间值；处罚标准幅度差，是指本裁量阶次中规定的最高罚款与最低罚款额之差。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textAlignment w:val="auto"/>
        <w:rPr>
          <w:rFonts w:hint="eastAsia" w:ascii="仿宋_GB2312" w:hAnsi="黑体" w:eastAsia="仿宋_GB2312" w:cs="黑体"/>
          <w:b/>
          <w:bCs/>
          <w:sz w:val="32"/>
          <w:szCs w:val="32"/>
        </w:rPr>
      </w:pPr>
      <w:r>
        <w:rPr>
          <w:rFonts w:hint="eastAsia" w:ascii="仿宋_GB2312" w:hAnsi="黑体" w:eastAsia="仿宋_GB2312" w:cs="黑体"/>
          <w:b/>
          <w:bCs/>
          <w:sz w:val="32"/>
          <w:szCs w:val="32"/>
        </w:rPr>
        <w:t>第九条（从轻、从重计算规则）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黑体" w:eastAsia="仿宋_GB2312" w:cs="黑体"/>
          <w:b w:val="0"/>
          <w:bCs w:val="0"/>
          <w:sz w:val="32"/>
          <w:szCs w:val="32"/>
        </w:rPr>
      </w:pPr>
      <w:r>
        <w:rPr>
          <w:rFonts w:hint="eastAsia" w:ascii="仿宋_GB2312" w:hAnsi="黑体" w:eastAsia="仿宋_GB2312" w:cs="黑体"/>
          <w:b w:val="0"/>
          <w:bCs w:val="0"/>
          <w:sz w:val="32"/>
          <w:szCs w:val="32"/>
        </w:rPr>
        <w:t>对于从轻或者从重行政处罚的罚款幅度，应当遵守以下规定：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黑体" w:eastAsia="仿宋_GB2312" w:cs="黑体"/>
          <w:b w:val="0"/>
          <w:bCs w:val="0"/>
          <w:sz w:val="32"/>
          <w:szCs w:val="32"/>
        </w:rPr>
      </w:pPr>
      <w:r>
        <w:rPr>
          <w:rFonts w:hint="eastAsia" w:ascii="仿宋_GB2312" w:hAnsi="黑体" w:eastAsia="仿宋_GB2312" w:cs="黑体"/>
          <w:b w:val="0"/>
          <w:bCs w:val="0"/>
          <w:sz w:val="32"/>
          <w:szCs w:val="32"/>
        </w:rPr>
        <w:t>（一）违法行为存在设定情形之一的，按处罚标准幅度差的10%-25%计算数额（不含25%）；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黑体" w:eastAsia="仿宋_GB2312" w:cs="黑体"/>
          <w:b w:val="0"/>
          <w:bCs w:val="0"/>
          <w:sz w:val="32"/>
          <w:szCs w:val="32"/>
        </w:rPr>
      </w:pPr>
      <w:r>
        <w:rPr>
          <w:rFonts w:hint="eastAsia" w:ascii="仿宋_GB2312" w:hAnsi="黑体" w:eastAsia="仿宋_GB2312" w:cs="黑体"/>
          <w:b w:val="0"/>
          <w:bCs w:val="0"/>
          <w:sz w:val="32"/>
          <w:szCs w:val="32"/>
        </w:rPr>
        <w:t>（二）违法行为存在两种设定情形的，按处罚标准幅度差的25%-40%计算数额（不含40%）；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黑体" w:eastAsia="仿宋_GB2312" w:cs="黑体"/>
          <w:b w:val="0"/>
          <w:bCs w:val="0"/>
          <w:sz w:val="32"/>
          <w:szCs w:val="32"/>
        </w:rPr>
      </w:pPr>
      <w:r>
        <w:rPr>
          <w:rFonts w:hint="eastAsia" w:ascii="仿宋_GB2312" w:hAnsi="黑体" w:eastAsia="仿宋_GB2312" w:cs="黑体"/>
          <w:b w:val="0"/>
          <w:bCs w:val="0"/>
          <w:sz w:val="32"/>
          <w:szCs w:val="32"/>
        </w:rPr>
        <w:t>（三）违法行为存在两种以上设定情形的，按处罚标准幅度差的40%-50%计算数额。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黑体" w:eastAsia="仿宋_GB2312" w:cs="黑体"/>
          <w:b w:val="0"/>
          <w:bCs w:val="0"/>
          <w:sz w:val="32"/>
          <w:szCs w:val="32"/>
        </w:rPr>
      </w:pPr>
      <w:r>
        <w:rPr>
          <w:rFonts w:hint="eastAsia" w:ascii="仿宋_GB2312" w:hAnsi="黑体" w:eastAsia="仿宋_GB2312" w:cs="黑体"/>
          <w:b w:val="0"/>
          <w:bCs w:val="0"/>
          <w:sz w:val="32"/>
          <w:szCs w:val="32"/>
        </w:rPr>
        <w:t>按本条第一款规定计算罚款数额的，以5%为一个单位确定调整幅度。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黑体" w:eastAsia="仿宋_GB2312" w:cs="黑体"/>
          <w:b w:val="0"/>
          <w:bCs w:val="0"/>
          <w:sz w:val="32"/>
          <w:szCs w:val="32"/>
        </w:rPr>
      </w:pPr>
      <w:r>
        <w:rPr>
          <w:rFonts w:hint="eastAsia" w:ascii="仿宋_GB2312" w:hAnsi="黑体" w:eastAsia="仿宋_GB2312" w:cs="黑体"/>
          <w:b w:val="0"/>
          <w:bCs w:val="0"/>
          <w:sz w:val="32"/>
          <w:szCs w:val="32"/>
        </w:rPr>
        <w:t>当事人同时存在从轻、从重行政处罚情形的，应当分别依照本条第一款之规定计算罚款数额，并综合确定罚款数额。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firstLine="642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第十条（尚未设定裁量基准的违法行为裁量）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对尚未制定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行政处罚裁量权基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准的违法行为，适用本规定进行行政处罚裁量。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firstLine="642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第十一条（证据采集）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执法人员在案件调查过程中，应当根据本规定所列影响行政处罚裁量的情形，全面、及时、合法地收集相关证据。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firstLine="642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第十二条（说明理由）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执法人员在案件调查终结报告等文书中应当依照法律、法规、规章以及规范性文件有关裁量的要求提出行政处罚裁量建议，并对所建议的处罚幅度或者处理方式作出必要说明。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firstLine="642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Hans"/>
        </w:rPr>
        <w:t>第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十三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Hans"/>
        </w:rPr>
        <w:t>条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（集体讨论）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 w:cs="黑体"/>
          <w:sz w:val="32"/>
          <w:szCs w:val="32"/>
        </w:rPr>
        <w:t>水务部门</w:t>
      </w:r>
      <w:r>
        <w:rPr>
          <w:rFonts w:hint="eastAsia" w:ascii="仿宋_GB2312" w:hAnsi="黑体" w:eastAsia="仿宋_GB2312" w:cs="黑体"/>
          <w:sz w:val="32"/>
          <w:szCs w:val="32"/>
          <w:lang w:eastAsia="zh-CN"/>
        </w:rPr>
        <w:t>应当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Hans"/>
        </w:rPr>
        <w:t>建立和完善案件集体讨论制度，在进行案件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讨论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Hans"/>
        </w:rPr>
        <w:t>时应当对裁量理由进行讨论并提出意见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firstLine="642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第十四条（明确适用情况）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 w:cs="黑体"/>
          <w:sz w:val="32"/>
          <w:szCs w:val="32"/>
        </w:rPr>
        <w:t>水务部门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应当在行政执法文书中对行政处罚裁量权基准的适用情况予以明确。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firstLine="642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Hans"/>
        </w:rPr>
        <w:t>第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十五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Hans"/>
        </w:rPr>
        <w:t>条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（陈述申辩意见处理）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firstLine="640" w:firstLineChars="200"/>
        <w:jc w:val="both"/>
        <w:textAlignment w:val="auto"/>
        <w:rPr>
          <w:rFonts w:hint="eastAsia"/>
          <w:lang w:val="en-US" w:eastAsia="zh-Han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Hans"/>
        </w:rPr>
        <w:t>当事人有权进行陈述和申辩。</w:t>
      </w:r>
      <w:r>
        <w:rPr>
          <w:rFonts w:hint="eastAsia" w:ascii="仿宋_GB2312" w:hAnsi="黑体" w:eastAsia="仿宋_GB2312" w:cs="黑体"/>
          <w:sz w:val="32"/>
          <w:szCs w:val="32"/>
        </w:rPr>
        <w:t>水务部门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Hans"/>
        </w:rPr>
        <w:t>必须充分听取当事人的意见，对当事人提出的事实、理由和证据，应当进行复核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Hans"/>
        </w:rPr>
        <w:t>并根据当事人提出的事实、理由或者证据，说明采纳或不采纳的原因或相应的法律依据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Hans"/>
        </w:rPr>
        <w:t>不得因当事人陈述、申辩而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给予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Hans"/>
        </w:rPr>
        <w:t>更重的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行政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Hans"/>
        </w:rPr>
        <w:t>处罚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>
      <w:pPr>
        <w:spacing w:line="560" w:lineRule="exact"/>
        <w:ind w:firstLine="642" w:firstLineChars="200"/>
        <w:rPr>
          <w:rFonts w:ascii="仿宋_GB2312" w:hAnsi="黑体" w:eastAsia="仿宋_GB2312" w:cs="黑体"/>
          <w:b/>
          <w:bCs/>
          <w:sz w:val="32"/>
          <w:szCs w:val="32"/>
        </w:rPr>
      </w:pPr>
      <w:r>
        <w:rPr>
          <w:rFonts w:hint="eastAsia" w:ascii="仿宋_GB2312" w:hAnsi="黑体" w:eastAsia="仿宋_GB2312" w:cs="黑体"/>
          <w:b/>
          <w:bCs/>
          <w:sz w:val="32"/>
          <w:szCs w:val="32"/>
        </w:rPr>
        <w:t>第十</w:t>
      </w:r>
      <w:r>
        <w:rPr>
          <w:rFonts w:hint="eastAsia" w:ascii="仿宋_GB2312" w:hAnsi="黑体" w:eastAsia="仿宋_GB2312" w:cs="黑体"/>
          <w:b/>
          <w:bCs/>
          <w:sz w:val="32"/>
          <w:szCs w:val="32"/>
          <w:lang w:val="en-US" w:eastAsia="zh-CN"/>
        </w:rPr>
        <w:t>六</w:t>
      </w:r>
      <w:r>
        <w:rPr>
          <w:rFonts w:hint="eastAsia" w:ascii="仿宋_GB2312" w:hAnsi="黑体" w:eastAsia="仿宋_GB2312" w:cs="黑体"/>
          <w:b/>
          <w:bCs/>
          <w:sz w:val="32"/>
          <w:szCs w:val="32"/>
        </w:rPr>
        <w:t>条（实施</w:t>
      </w:r>
      <w:r>
        <w:rPr>
          <w:rFonts w:hint="eastAsia" w:ascii="仿宋_GB2312" w:hAnsi="黑体" w:eastAsia="仿宋_GB2312" w:cs="黑体"/>
          <w:b/>
          <w:bCs/>
          <w:sz w:val="32"/>
          <w:szCs w:val="32"/>
          <w:lang w:val="en-US" w:eastAsia="zh-CN"/>
        </w:rPr>
        <w:t>期限</w:t>
      </w:r>
      <w:r>
        <w:rPr>
          <w:rFonts w:hint="eastAsia" w:ascii="仿宋_GB2312" w:hAnsi="黑体" w:eastAsia="仿宋_GB2312" w:cs="黑体"/>
          <w:b/>
          <w:bCs/>
          <w:sz w:val="32"/>
          <w:szCs w:val="32"/>
        </w:rPr>
        <w:t>）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黑体" w:eastAsia="仿宋_GB2312" w:cs="黑体"/>
          <w:b/>
          <w:bCs/>
          <w:sz w:val="32"/>
          <w:szCs w:val="32"/>
        </w:rPr>
      </w:pPr>
      <w:r>
        <w:rPr>
          <w:rFonts w:hint="eastAsia" w:ascii="仿宋_GB2312" w:hAnsi="黑体" w:eastAsia="仿宋_GB2312" w:cs="黑体"/>
          <w:sz w:val="32"/>
          <w:szCs w:val="32"/>
        </w:rPr>
        <w:t>本</w:t>
      </w:r>
      <w:r>
        <w:rPr>
          <w:rFonts w:hint="eastAsia" w:ascii="仿宋_GB2312" w:hAnsi="黑体" w:eastAsia="仿宋_GB2312" w:cs="黑体"/>
          <w:sz w:val="32"/>
          <w:szCs w:val="32"/>
          <w:lang w:val="en-US" w:eastAsia="zh-CN"/>
        </w:rPr>
        <w:t>规定</w:t>
      </w:r>
      <w:r>
        <w:rPr>
          <w:rFonts w:hint="eastAsia" w:ascii="仿宋_GB2312" w:hAnsi="黑体" w:eastAsia="仿宋_GB2312" w:cs="黑体"/>
          <w:sz w:val="32"/>
          <w:szCs w:val="32"/>
        </w:rPr>
        <w:t>自202</w:t>
      </w:r>
      <w:r>
        <w:rPr>
          <w:rFonts w:hint="eastAsia" w:ascii="仿宋_GB2312" w:hAnsi="黑体" w:eastAsia="仿宋_GB2312" w:cs="黑体"/>
          <w:sz w:val="32"/>
          <w:szCs w:val="32"/>
          <w:lang w:val="en-US" w:eastAsia="zh-CN"/>
        </w:rPr>
        <w:t>5</w:t>
      </w:r>
      <w:r>
        <w:rPr>
          <w:rFonts w:hint="eastAsia" w:ascii="仿宋_GB2312" w:hAnsi="黑体" w:eastAsia="仿宋_GB2312" w:cs="黑体"/>
          <w:sz w:val="32"/>
          <w:szCs w:val="32"/>
        </w:rPr>
        <w:t>年</w:t>
      </w:r>
      <w:r>
        <w:rPr>
          <w:rFonts w:hint="eastAsia" w:ascii="仿宋_GB2312" w:hAnsi="黑体" w:eastAsia="仿宋_GB2312" w:cs="黑体"/>
          <w:sz w:val="32"/>
          <w:szCs w:val="32"/>
          <w:lang w:val="en-US" w:eastAsia="zh-CN"/>
        </w:rPr>
        <w:t>4</w:t>
      </w:r>
      <w:r>
        <w:rPr>
          <w:rFonts w:hint="eastAsia" w:ascii="仿宋_GB2312" w:hAnsi="黑体" w:eastAsia="仿宋_GB2312" w:cs="黑体"/>
          <w:sz w:val="32"/>
          <w:szCs w:val="32"/>
        </w:rPr>
        <w:t>月</w:t>
      </w:r>
      <w:r>
        <w:rPr>
          <w:rFonts w:hint="eastAsia" w:ascii="仿宋_GB2312" w:hAnsi="黑体" w:eastAsia="仿宋_GB2312" w:cs="黑体"/>
          <w:sz w:val="32"/>
          <w:szCs w:val="32"/>
          <w:lang w:val="en-US" w:eastAsia="zh-CN"/>
        </w:rPr>
        <w:t>1</w:t>
      </w:r>
      <w:r>
        <w:rPr>
          <w:rFonts w:hint="eastAsia" w:ascii="仿宋_GB2312" w:hAnsi="黑体" w:eastAsia="仿宋_GB2312" w:cs="黑体"/>
          <w:sz w:val="32"/>
          <w:szCs w:val="32"/>
        </w:rPr>
        <w:t>日起</w:t>
      </w:r>
      <w:r>
        <w:rPr>
          <w:rFonts w:hint="eastAsia" w:ascii="仿宋_GB2312" w:hAnsi="黑体" w:eastAsia="仿宋_GB2312" w:cs="黑体"/>
          <w:sz w:val="32"/>
          <w:szCs w:val="32"/>
          <w:lang w:eastAsia="zh-CN"/>
        </w:rPr>
        <w:t>施行</w:t>
      </w:r>
      <w:r>
        <w:rPr>
          <w:rFonts w:hint="eastAsia" w:ascii="仿宋_GB2312" w:hAnsi="黑体" w:eastAsia="仿宋_GB2312" w:cs="黑体"/>
          <w:sz w:val="32"/>
          <w:szCs w:val="32"/>
        </w:rPr>
        <w:t>，有效期</w:t>
      </w:r>
      <w:r>
        <w:rPr>
          <w:rFonts w:hint="eastAsia" w:ascii="仿宋_GB2312" w:hAnsi="黑体" w:eastAsia="仿宋_GB2312" w:cs="黑体"/>
          <w:sz w:val="32"/>
          <w:szCs w:val="32"/>
          <w:lang w:val="en-US" w:eastAsia="zh-CN"/>
        </w:rPr>
        <w:t>5</w:t>
      </w:r>
      <w:r>
        <w:rPr>
          <w:rFonts w:hint="eastAsia" w:ascii="仿宋_GB2312" w:hAnsi="黑体" w:eastAsia="仿宋_GB2312" w:cs="黑体"/>
          <w:sz w:val="32"/>
          <w:szCs w:val="32"/>
        </w:rPr>
        <w:t>年。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textAlignment w:val="auto"/>
        <w:rPr>
          <w:rFonts w:hint="eastAsia" w:ascii="仿宋_GB2312" w:hAnsi="黑体" w:eastAsia="仿宋_GB2312" w:cs="黑体"/>
          <w:b/>
          <w:bCs/>
          <w:sz w:val="32"/>
          <w:szCs w:val="32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textAlignment w:val="auto"/>
      </w:pPr>
    </w:p>
    <w:sectPr>
      <w:footerReference r:id="rId3" w:type="default"/>
      <w:pgSz w:w="11906" w:h="16838"/>
      <w:pgMar w:top="1800" w:right="1800" w:bottom="1818" w:left="1800" w:header="851" w:footer="992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国标黑体">
    <w:panose1 w:val="020005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4</w:t>
    </w:r>
    <w:r>
      <w:rPr>
        <w:lang w:val="zh-CN"/>
      </w:rPr>
      <w:fldChar w:fldCharType="end"/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A9EA6FA"/>
    <w:multiLevelType w:val="multilevel"/>
    <w:tmpl w:val="EA9EA6FA"/>
    <w:lvl w:ilvl="0" w:tentative="0">
      <w:start w:val="1"/>
      <w:numFmt w:val="chineseCounting"/>
      <w:pStyle w:val="2"/>
      <w:suff w:val="nothing"/>
      <w:lvlText w:val="%1、"/>
      <w:lvlJc w:val="left"/>
      <w:pPr>
        <w:ind w:left="0" w:firstLine="0"/>
      </w:pPr>
      <w:rPr>
        <w:rFonts w:hint="eastAsia"/>
      </w:rPr>
    </w:lvl>
    <w:lvl w:ilvl="1" w:tentative="0">
      <w:start w:val="1"/>
      <w:numFmt w:val="chineseCounting"/>
      <w:suff w:val="nothing"/>
      <w:lvlText w:val="（%2）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suff w:val="nothing"/>
      <w:lvlText w:val="%3．"/>
      <w:lvlJc w:val="left"/>
      <w:pPr>
        <w:ind w:left="0" w:firstLine="400"/>
      </w:pPr>
      <w:rPr>
        <w:rFonts w:hint="eastAsia"/>
      </w:rPr>
    </w:lvl>
    <w:lvl w:ilvl="3" w:tentative="0">
      <w:start w:val="1"/>
      <w:numFmt w:val="decimal"/>
      <w:suff w:val="nothing"/>
      <w:lvlText w:val="（%4）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EnclosedCircleChinese"/>
      <w:suff w:val="nothing"/>
      <w:lvlText w:val="%5"/>
      <w:lvlJc w:val="left"/>
      <w:pPr>
        <w:ind w:left="0" w:firstLine="402"/>
      </w:pPr>
      <w:rPr>
        <w:rFonts w:hint="eastAsia"/>
      </w:rPr>
    </w:lvl>
    <w:lvl w:ilvl="5" w:tentative="0">
      <w:start w:val="1"/>
      <w:numFmt w:val="decimal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suff w:val="nothing"/>
      <w:lvlText w:val="%9 "/>
      <w:lvlJc w:val="left"/>
      <w:pPr>
        <w:ind w:left="0" w:firstLine="402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true"/>
  <w:bordersDoNotSurroundFooter w:val="true"/>
  <w:doNotTrackMoves/>
  <w:revisionView w:markup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VmYjgzZGQwMWY0MGRiMTFjNmFkYWJiODhjZTRiYmMifQ=="/>
  </w:docVars>
  <w:rsids>
    <w:rsidRoot w:val="00344C40"/>
    <w:rsid w:val="000A1791"/>
    <w:rsid w:val="00125B80"/>
    <w:rsid w:val="00131D59"/>
    <w:rsid w:val="00167C9A"/>
    <w:rsid w:val="00177708"/>
    <w:rsid w:val="002107EB"/>
    <w:rsid w:val="00246C0A"/>
    <w:rsid w:val="00254C8D"/>
    <w:rsid w:val="002B3B74"/>
    <w:rsid w:val="002F05F1"/>
    <w:rsid w:val="00343405"/>
    <w:rsid w:val="00344C40"/>
    <w:rsid w:val="00360580"/>
    <w:rsid w:val="003677CF"/>
    <w:rsid w:val="00384376"/>
    <w:rsid w:val="003F1C2E"/>
    <w:rsid w:val="00457225"/>
    <w:rsid w:val="00482417"/>
    <w:rsid w:val="004F7AE3"/>
    <w:rsid w:val="005273B9"/>
    <w:rsid w:val="005443FA"/>
    <w:rsid w:val="00590209"/>
    <w:rsid w:val="005D4608"/>
    <w:rsid w:val="00705C30"/>
    <w:rsid w:val="0075781B"/>
    <w:rsid w:val="00761713"/>
    <w:rsid w:val="00902048"/>
    <w:rsid w:val="00923673"/>
    <w:rsid w:val="00992581"/>
    <w:rsid w:val="00996219"/>
    <w:rsid w:val="009D4BB4"/>
    <w:rsid w:val="009D7F7F"/>
    <w:rsid w:val="009E3AC6"/>
    <w:rsid w:val="00A105E8"/>
    <w:rsid w:val="00A218F2"/>
    <w:rsid w:val="00A35821"/>
    <w:rsid w:val="00AA4709"/>
    <w:rsid w:val="00BA43A3"/>
    <w:rsid w:val="00C0178C"/>
    <w:rsid w:val="00C33186"/>
    <w:rsid w:val="00C3345D"/>
    <w:rsid w:val="00C75064"/>
    <w:rsid w:val="00C86025"/>
    <w:rsid w:val="00DA0F4E"/>
    <w:rsid w:val="00E1210A"/>
    <w:rsid w:val="00E3575E"/>
    <w:rsid w:val="00EF3B7A"/>
    <w:rsid w:val="00F10DCF"/>
    <w:rsid w:val="00F131BC"/>
    <w:rsid w:val="00F34E8C"/>
    <w:rsid w:val="00F46B46"/>
    <w:rsid w:val="00F72C63"/>
    <w:rsid w:val="00F95FDD"/>
    <w:rsid w:val="18567BEB"/>
    <w:rsid w:val="1BA55399"/>
    <w:rsid w:val="1BB042E5"/>
    <w:rsid w:val="1EDA396A"/>
    <w:rsid w:val="25A55B49"/>
    <w:rsid w:val="2AD442CA"/>
    <w:rsid w:val="2B9E88B3"/>
    <w:rsid w:val="32FEFBE2"/>
    <w:rsid w:val="3BE67B55"/>
    <w:rsid w:val="554F0450"/>
    <w:rsid w:val="573856B3"/>
    <w:rsid w:val="591E1541"/>
    <w:rsid w:val="5A2673E7"/>
    <w:rsid w:val="651817F3"/>
    <w:rsid w:val="69AF6D05"/>
    <w:rsid w:val="6A241BCA"/>
    <w:rsid w:val="79971AFB"/>
    <w:rsid w:val="7D6FA009"/>
    <w:rsid w:val="7EDD8D6E"/>
    <w:rsid w:val="7FFFB76F"/>
    <w:rsid w:val="BBBD3A75"/>
    <w:rsid w:val="BEBFB1C8"/>
    <w:rsid w:val="DBB61697"/>
    <w:rsid w:val="DFE74C93"/>
    <w:rsid w:val="E9D9D719"/>
    <w:rsid w:val="EF979BEA"/>
    <w:rsid w:val="EFEB5317"/>
    <w:rsid w:val="F6E1C1FB"/>
    <w:rsid w:val="F7FF6D45"/>
    <w:rsid w:val="FB9F4B05"/>
    <w:rsid w:val="FEF74F02"/>
    <w:rsid w:val="FFDB3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qFormat="1" w:uiPriority="99" w:semiHidden="0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numPr>
        <w:ilvl w:val="0"/>
        <w:numId w:val="1"/>
      </w:numPr>
      <w:spacing w:line="360" w:lineRule="auto"/>
      <w:outlineLvl w:val="0"/>
    </w:pPr>
    <w:rPr>
      <w:rFonts w:eastAsia="黑体"/>
      <w:b/>
      <w:kern w:val="44"/>
      <w:sz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99"/>
    <w:pPr>
      <w:spacing w:after="120"/>
      <w:ind w:left="420" w:leftChars="200"/>
    </w:pPr>
    <w:rPr>
      <w:lang w:val="zh-CN" w:eastAsia="zh-CN"/>
    </w:rPr>
  </w:style>
  <w:style w:type="paragraph" w:styleId="4">
    <w:name w:val="Date"/>
    <w:basedOn w:val="1"/>
    <w:next w:val="1"/>
    <w:link w:val="13"/>
    <w:qFormat/>
    <w:uiPriority w:val="0"/>
    <w:pPr>
      <w:ind w:left="100" w:leftChars="2500"/>
    </w:pPr>
    <w:rPr>
      <w:rFonts w:ascii="仿宋_GB2312" w:eastAsia="仿宋_GB2312"/>
      <w:sz w:val="30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6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paragraph" w:styleId="7">
    <w:name w:val="Body Text 2"/>
    <w:basedOn w:val="1"/>
    <w:next w:val="8"/>
    <w:qFormat/>
    <w:uiPriority w:val="0"/>
    <w:pPr>
      <w:spacing w:after="120" w:line="480" w:lineRule="auto"/>
    </w:pPr>
    <w:rPr>
      <w:rFonts w:ascii="Times New Roman" w:hAnsi="Times New Roman" w:eastAsia="宋体" w:cs="Times New Roman"/>
      <w:sz w:val="18"/>
      <w:szCs w:val="18"/>
    </w:rPr>
  </w:style>
  <w:style w:type="paragraph" w:styleId="8">
    <w:name w:val="Body Text First Indent 2"/>
    <w:basedOn w:val="3"/>
    <w:next w:val="1"/>
    <w:unhideWhenUsed/>
    <w:qFormat/>
    <w:uiPriority w:val="99"/>
    <w:pPr>
      <w:spacing w:after="0"/>
      <w:ind w:left="0" w:leftChars="0" w:firstLine="420" w:firstLineChars="200"/>
    </w:pPr>
    <w:rPr>
      <w:rFonts w:ascii="仿宋_GB2312" w:hAnsi="仿宋_GB2312" w:cs="仿宋_GB2312"/>
    </w:rPr>
  </w:style>
  <w:style w:type="character" w:customStyle="1" w:styleId="11">
    <w:name w:val="页眉 Char"/>
    <w:basedOn w:val="10"/>
    <w:link w:val="6"/>
    <w:semiHidden/>
    <w:qFormat/>
    <w:uiPriority w:val="99"/>
    <w:rPr>
      <w:sz w:val="18"/>
      <w:szCs w:val="18"/>
    </w:rPr>
  </w:style>
  <w:style w:type="character" w:customStyle="1" w:styleId="12">
    <w:name w:val="页脚 Char"/>
    <w:basedOn w:val="10"/>
    <w:link w:val="5"/>
    <w:qFormat/>
    <w:uiPriority w:val="99"/>
    <w:rPr>
      <w:sz w:val="18"/>
      <w:szCs w:val="18"/>
    </w:rPr>
  </w:style>
  <w:style w:type="character" w:customStyle="1" w:styleId="13">
    <w:name w:val="日期 Char"/>
    <w:basedOn w:val="10"/>
    <w:link w:val="4"/>
    <w:qFormat/>
    <w:uiPriority w:val="0"/>
    <w:rPr>
      <w:rFonts w:ascii="仿宋_GB2312" w:hAnsi="Times New Roman" w:eastAsia="仿宋_GB2312" w:cs="Times New Roman"/>
      <w:sz w:val="30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224</Words>
  <Characters>1278</Characters>
  <Lines>10</Lines>
  <Paragraphs>2</Paragraphs>
  <TotalTime>6</TotalTime>
  <ScaleCrop>false</ScaleCrop>
  <LinksUpToDate>false</LinksUpToDate>
  <CharactersWithSpaces>1500</CharactersWithSpaces>
  <Application>WPS Office_11.8.2.9831_F1E327BC-269C-435d-A152-05C5408002CA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2020-02-20T17:49:00Z</dcterms:created>
  <dc:creator>swj</dc:creator>
  <cp:lastModifiedBy>文印室</cp:lastModifiedBy>
  <cp:lastPrinted>2025-03-19T08:31:00Z</cp:lastPrinted>
  <dcterms:modified xsi:type="dcterms:W3CDTF">2025-03-24T09:14:43Z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2052-11.8.2.9831</vt:lpwstr>
  </property>
  <property fmtid="{D5CDD505-2E9C-101B-9397-08002B2CF9AE}" pid="3" name="ICV">
    <vt:lpwstr>886CF7001CBD46AC8D0CD04B53BE91C5_12</vt:lpwstr>
  </property>
</Properties>
</file>