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0"/>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14:paraId="51D1F42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14:paraId="48F3F384">
            <w:pPr>
              <w:pStyle w:val="53"/>
              <w:framePr w:w="0" w:hRule="auto" w:wrap="auto" w:vAnchor="margin" w:hAnchor="text" w:xAlign="left" w:yAlign="inline"/>
              <w:rPr>
                <w:rFonts w:hint="eastAsia" w:ascii="宋体" w:hAnsi="宋体"/>
                <w:sz w:val="28"/>
                <w:szCs w:val="28"/>
              </w:rPr>
            </w:pPr>
            <w:bookmarkStart w:id="0"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rFonts w:hint="eastAsia"/>
              </w:rPr>
              <w:t>31</w:t>
            </w:r>
          </w:p>
        </w:tc>
      </w:tr>
    </w:tbl>
    <w:p w14:paraId="7E9171C2">
      <w:pPr>
        <w:pStyle w:val="54"/>
        <w:framePr w:w="9639" w:h="624" w:hRule="exact" w:hSpace="181" w:vSpace="181" w:wrap="around" w:hAnchor="page" w:x="1305" w:y="2269"/>
        <w:rPr>
          <w:rFonts w:hint="eastAsia"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1"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上海市</w:t>
      </w:r>
      <w:r>
        <w:rPr>
          <w:rFonts w:ascii="黑体" w:eastAsia="黑体"/>
          <w:b w:val="0"/>
          <w:w w:val="100"/>
          <w:sz w:val="48"/>
        </w:rPr>
        <w:fldChar w:fldCharType="end"/>
      </w:r>
      <w:bookmarkEnd w:id="1"/>
      <w:r>
        <w:rPr>
          <w:rFonts w:hint="eastAsia" w:ascii="黑体" w:hAnsi="黑体" w:eastAsia="黑体"/>
          <w:b w:val="0"/>
          <w:bCs w:val="0"/>
          <w:w w:val="100"/>
          <w:sz w:val="48"/>
          <w:szCs w:val="48"/>
        </w:rPr>
        <w:t>地方标准化指导性技术文件</w:t>
      </w:r>
    </w:p>
    <w:bookmarkEnd w:id="0"/>
    <w:p w14:paraId="2CC612A5">
      <w:pPr>
        <w:pStyle w:val="199"/>
        <w:framePr w:wrap="around"/>
        <w:rPr>
          <w:lang w:val="fr-FR"/>
        </w:rPr>
      </w:pPr>
      <w:r>
        <w:rPr>
          <w:lang w:val="fr-FR"/>
        </w:rPr>
        <w:t>DB</w:t>
      </w:r>
      <w:r>
        <w:fldChar w:fldCharType="begin">
          <w:ffData>
            <w:name w:val="文字1"/>
            <w:enabled/>
            <w:calcOnExit w:val="0"/>
            <w:textInput>
              <w:default w:val="31 SW/Z"/>
            </w:textInput>
          </w:ffData>
        </w:fldChar>
      </w:r>
      <w:bookmarkStart w:id="2" w:name="文字1"/>
      <w:r>
        <w:instrText xml:space="preserve"> FORMTEXT </w:instrText>
      </w:r>
      <w:r>
        <w:fldChar w:fldCharType="separate"/>
      </w:r>
      <w:r>
        <w:t>31 SW/Z</w:t>
      </w:r>
      <w:r>
        <w:fldChar w:fldCharType="end"/>
      </w:r>
      <w:bookmarkEnd w:id="2"/>
      <w:r>
        <w:rPr>
          <w:lang w:val="fr-FR"/>
        </w:rPr>
        <w:t xml:space="preserve"> </w:t>
      </w:r>
      <w:r>
        <w:fldChar w:fldCharType="begin">
          <w:ffData>
            <w:name w:val="NSTD_CODE_F"/>
            <w:enabled/>
            <w:calcOnExit w:val="0"/>
            <w:textInput>
              <w:default w:val="XXXX"/>
            </w:textInput>
          </w:ffData>
        </w:fldChar>
      </w:r>
      <w:bookmarkStart w:id="3" w:name="NSTD_CODE_F"/>
      <w:r>
        <w:rPr>
          <w:lang w:val="fr-FR"/>
        </w:rPr>
        <w:instrText xml:space="preserve"> FORMTEXT </w:instrText>
      </w:r>
      <w:r>
        <w:fldChar w:fldCharType="separate"/>
      </w:r>
      <w:r>
        <w:rPr>
          <w:lang w:val="fr-FR"/>
        </w:rPr>
        <w:t>XXXX</w:t>
      </w:r>
      <w:r>
        <w:fldChar w:fldCharType="end"/>
      </w:r>
      <w:bookmarkEnd w:id="3"/>
      <w:r>
        <w:rPr>
          <w:rFonts w:hAnsi="黑体"/>
          <w:lang w:val="fr-FR"/>
        </w:rPr>
        <w:t>—</w:t>
      </w:r>
      <w:r>
        <w:fldChar w:fldCharType="begin">
          <w:ffData>
            <w:name w:val="NSTD_CODE_B"/>
            <w:enabled/>
            <w:calcOnExit w:val="0"/>
            <w:textInput>
              <w:default w:val="XXXX"/>
            </w:textInput>
          </w:ffData>
        </w:fldChar>
      </w:r>
      <w:bookmarkStart w:id="4" w:name="NSTD_CODE_B"/>
      <w:r>
        <w:rPr>
          <w:lang w:val="fr-FR"/>
        </w:rPr>
        <w:instrText xml:space="preserve"> FORMTEXT </w:instrText>
      </w:r>
      <w:r>
        <w:fldChar w:fldCharType="separate"/>
      </w:r>
      <w:r>
        <w:rPr>
          <w:lang w:val="fr-FR"/>
        </w:rPr>
        <w:t>XXXX</w:t>
      </w:r>
      <w:r>
        <w:fldChar w:fldCharType="end"/>
      </w:r>
      <w:bookmarkEnd w:id="4"/>
    </w:p>
    <w:p w14:paraId="45C5FE76">
      <w:pPr>
        <w:pStyle w:val="200"/>
        <w:framePr w:wrap="around"/>
        <w:rPr>
          <w:rFonts w:hint="eastAsia" w:hAnsi="黑体"/>
        </w:rPr>
      </w:pPr>
      <w:r>
        <w:rPr>
          <w:rFonts w:hAnsi="黑体"/>
        </w:rPr>
        <w:fldChar w:fldCharType="begin">
          <w:ffData>
            <w:name w:val="OSTD_CODE"/>
            <w:enabled/>
            <w:calcOnExit w:val="0"/>
            <w:textInput/>
          </w:ffData>
        </w:fldChar>
      </w:r>
      <w:bookmarkStart w:id="5"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5"/>
    </w:p>
    <w:p w14:paraId="57BFC963">
      <w:pPr>
        <w:spacing w:line="240" w:lineRule="auto"/>
        <w:rPr>
          <w:rFonts w:hint="eastAsia"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739DB09B">
      <w:pPr>
        <w:pStyle w:val="54"/>
        <w:framePr w:w="9639" w:h="6976" w:hRule="exact" w:hSpace="0" w:vSpace="0" w:wrap="around" w:hAnchor="page" w:y="6408"/>
        <w:jc w:val="center"/>
        <w:rPr>
          <w:rFonts w:hint="eastAsia" w:ascii="黑体" w:hAnsi="黑体" w:eastAsia="黑体"/>
          <w:b w:val="0"/>
          <w:bCs w:val="0"/>
          <w:w w:val="100"/>
        </w:rPr>
      </w:pPr>
    </w:p>
    <w:p w14:paraId="038D1BC1">
      <w:pPr>
        <w:pStyle w:val="201"/>
        <w:framePr w:h="6974" w:hRule="exact" w:wrap="around" w:x="1419" w:anchorLock="1"/>
        <w:rPr>
          <w:rFonts w:hint="eastAsia"/>
        </w:rPr>
      </w:pPr>
      <w:r>
        <w:fldChar w:fldCharType="begin">
          <w:ffData>
            <w:name w:val="CSTD_NAME"/>
            <w:enabled/>
            <w:calcOnExit w:val="0"/>
            <w:textInput>
              <w:default w:val="点击此处添加标准名称"/>
            </w:textInput>
          </w:ffData>
        </w:fldChar>
      </w:r>
      <w:bookmarkStart w:id="6" w:name="CSTD_NAME"/>
      <w:r>
        <w:instrText xml:space="preserve"> FORMTEXT </w:instrText>
      </w:r>
      <w:r>
        <w:fldChar w:fldCharType="separate"/>
      </w:r>
      <w:r>
        <w:rPr>
          <w:rFonts w:hint="eastAsia"/>
        </w:rPr>
        <w:t>取水计量在线监测设施运行维护规程</w:t>
      </w:r>
      <w:r>
        <w:fldChar w:fldCharType="end"/>
      </w:r>
      <w:bookmarkEnd w:id="6"/>
    </w:p>
    <w:p w14:paraId="576E6EE3">
      <w:pPr>
        <w:framePr w:w="9639" w:h="6974" w:hRule="exact" w:wrap="around" w:vAnchor="page" w:hAnchor="page" w:x="1419" w:y="6408" w:anchorLock="1"/>
        <w:ind w:left="-1418"/>
      </w:pPr>
    </w:p>
    <w:p w14:paraId="42A0E803">
      <w:pPr>
        <w:pStyle w:val="129"/>
        <w:framePr w:w="9639" w:h="6974" w:hRule="exact" w:wrap="around" w:vAnchor="page" w:hAnchor="page" w:x="1419" w:y="6408" w:anchorLock="1"/>
        <w:textAlignment w:val="bottom"/>
        <w:rPr>
          <w:rFonts w:hint="eastAsia" w:ascii="黑体" w:hAnsi="黑体" w:eastAsia="黑体"/>
          <w:szCs w:val="28"/>
        </w:rPr>
      </w:pPr>
      <w:r>
        <w:rPr>
          <w:rFonts w:hint="eastAsia" w:ascii="黑体" w:hAnsi="黑体" w:eastAsia="黑体"/>
          <w:szCs w:val="28"/>
        </w:rPr>
        <w:fldChar w:fldCharType="begin">
          <w:ffData>
            <w:name w:val="ESTD_NAME"/>
            <w:enabled/>
            <w:calcOnExit w:val="0"/>
            <w:textInput>
              <w:default w:val="The Code for Operation and Maintenance of Water Metering and Online Monitoring Facility "/>
            </w:textInput>
          </w:ffData>
        </w:fldChar>
      </w:r>
      <w:bookmarkStart w:id="7" w:name="ESTD_NAME"/>
      <w:r>
        <w:rPr>
          <w:rFonts w:hint="eastAsia" w:ascii="黑体" w:hAnsi="黑体" w:eastAsia="黑体"/>
          <w:szCs w:val="28"/>
        </w:rPr>
        <w:instrText xml:space="preserve"> FORMTEXT </w:instrText>
      </w:r>
      <w:r>
        <w:rPr>
          <w:rFonts w:hint="eastAsia" w:ascii="黑体" w:hAnsi="黑体" w:eastAsia="黑体"/>
          <w:szCs w:val="28"/>
        </w:rPr>
        <w:fldChar w:fldCharType="separate"/>
      </w:r>
      <w:r>
        <w:rPr>
          <w:rFonts w:hint="eastAsia" w:ascii="黑体" w:hAnsi="黑体" w:eastAsia="黑体"/>
          <w:szCs w:val="28"/>
        </w:rPr>
        <w:t xml:space="preserve">The Code for Operation and Maintenance of Water Metering and Online Monitoring Facility </w:t>
      </w:r>
      <w:r>
        <w:rPr>
          <w:rFonts w:hint="eastAsia" w:ascii="黑体" w:hAnsi="黑体" w:eastAsia="黑体"/>
          <w:szCs w:val="28"/>
        </w:rPr>
        <w:fldChar w:fldCharType="end"/>
      </w:r>
      <w:bookmarkEnd w:id="7"/>
    </w:p>
    <w:p w14:paraId="31F183FF">
      <w:pPr>
        <w:framePr w:w="9639" w:h="6974" w:hRule="exact" w:wrap="around" w:vAnchor="page" w:hAnchor="page" w:x="1419" w:y="6408" w:anchorLock="1"/>
        <w:spacing w:line="760" w:lineRule="exact"/>
        <w:ind w:left="-1418"/>
      </w:pPr>
    </w:p>
    <w:p w14:paraId="50DEB673">
      <w:pPr>
        <w:pStyle w:val="129"/>
        <w:framePr w:w="9639" w:h="6974" w:hRule="exact" w:wrap="around" w:vAnchor="page" w:hAnchor="page" w:x="1419" w:y="6408" w:anchorLock="1"/>
        <w:spacing w:before="44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listEntry w:val="（草案）"/>
            </w:ddList>
          </w:ffData>
        </w:fldChar>
      </w:r>
      <w:bookmarkStart w:id="8" w:name="下拉1"/>
      <w:r>
        <w:rPr>
          <w:sz w:val="24"/>
          <w:szCs w:val="28"/>
        </w:rPr>
        <w:instrText xml:space="preserve"> FORMDROPDOWN </w:instrText>
      </w:r>
      <w:r>
        <w:rPr>
          <w:sz w:val="24"/>
          <w:szCs w:val="28"/>
        </w:rPr>
        <w:fldChar w:fldCharType="separate"/>
      </w:r>
      <w:r>
        <w:rPr>
          <w:sz w:val="24"/>
          <w:szCs w:val="28"/>
        </w:rPr>
        <w:fldChar w:fldCharType="end"/>
      </w:r>
      <w:bookmarkEnd w:id="8"/>
    </w:p>
    <w:p w14:paraId="0B0A466D">
      <w:pPr>
        <w:pStyle w:val="129"/>
        <w:framePr w:w="9639" w:h="6974" w:hRule="exact" w:wrap="around" w:vAnchor="page" w:hAnchor="page" w:x="1419" w:y="6408" w:anchorLock="1"/>
        <w:spacing w:before="180" w:line="240" w:lineRule="atLeast"/>
        <w:textAlignment w:val="bottom"/>
        <w:rPr>
          <w:sz w:val="21"/>
          <w:szCs w:val="28"/>
        </w:rPr>
      </w:pPr>
    </w:p>
    <w:p w14:paraId="243C859D">
      <w:pPr>
        <w:pStyle w:val="129"/>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9" w:name="下拉2"/>
      <w:r>
        <w:rPr>
          <w:b/>
          <w:sz w:val="21"/>
          <w:szCs w:val="28"/>
        </w:rPr>
        <w:instrText xml:space="preserve"> FORMDROPDOWN </w:instrText>
      </w:r>
      <w:r>
        <w:rPr>
          <w:b/>
          <w:sz w:val="21"/>
          <w:szCs w:val="28"/>
        </w:rPr>
        <w:fldChar w:fldCharType="separate"/>
      </w:r>
      <w:r>
        <w:rPr>
          <w:b/>
          <w:sz w:val="21"/>
          <w:szCs w:val="28"/>
        </w:rPr>
        <w:fldChar w:fldCharType="end"/>
      </w:r>
      <w:bookmarkEnd w:id="9"/>
    </w:p>
    <w:p w14:paraId="40DE8C7C">
      <w:pPr>
        <w:pStyle w:val="197"/>
        <w:framePr w:wrap="around" w:y="14176"/>
      </w:pPr>
      <w:r>
        <w:rPr>
          <w:rFonts w:ascii="黑体"/>
        </w:rPr>
        <w:fldChar w:fldCharType="begin">
          <w:ffData>
            <w:name w:val="PLSH_DATE_Y"/>
            <w:enabled/>
            <w:calcOnExit w:val="0"/>
            <w:textInput>
              <w:default w:val="XXXX"/>
              <w:maxLength w:val="4"/>
            </w:textInput>
          </w:ffData>
        </w:fldChar>
      </w:r>
      <w:bookmarkStart w:id="10"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0"/>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1"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1"/>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2"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2"/>
      <w:r>
        <w:rPr>
          <w:rFonts w:hint="eastAsia"/>
        </w:rPr>
        <w:t>发布</w:t>
      </w:r>
    </w:p>
    <w:p w14:paraId="34C05095">
      <w:pPr>
        <w:pStyle w:val="198"/>
        <w:framePr w:wrap="around" w:y="14176"/>
      </w:pPr>
      <w:r>
        <w:rPr>
          <w:rFonts w:ascii="黑体"/>
        </w:rPr>
        <w:fldChar w:fldCharType="begin">
          <w:ffData>
            <w:name w:val="CROT_DATE_Y"/>
            <w:enabled/>
            <w:calcOnExit w:val="0"/>
            <w:textInput>
              <w:default w:val="XXXX"/>
              <w:maxLength w:val="4"/>
            </w:textInput>
          </w:ffData>
        </w:fldChar>
      </w:r>
      <w:bookmarkStart w:id="13"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3"/>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4"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4"/>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5"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rPr>
          <w:rFonts w:hint="eastAsia"/>
        </w:rPr>
        <w:t>实施</w:t>
      </w:r>
    </w:p>
    <w:p w14:paraId="50E02E4F">
      <w:pPr>
        <w:pStyle w:val="155"/>
        <w:framePr w:h="584" w:hRule="exact" w:hSpace="181" w:vSpace="181" w:wrap="around" w:y="15027"/>
        <w:rPr>
          <w:rFonts w:hint="eastAsia" w:hAnsi="黑体"/>
        </w:rPr>
      </w:pPr>
      <w:r>
        <w:rPr>
          <w:rFonts w:hAnsi="黑体"/>
          <w:w w:val="100"/>
          <w:sz w:val="28"/>
        </w:rPr>
        <w:fldChar w:fldCharType="begin">
          <w:ffData>
            <w:name w:val="fm"/>
            <w:enabled/>
            <w:calcOnExit w:val="0"/>
            <w:textInput/>
          </w:ffData>
        </w:fldChar>
      </w:r>
      <w:bookmarkStart w:id="16" w:name="fm"/>
      <w:r>
        <w:rPr>
          <w:rFonts w:hAnsi="黑体"/>
          <w:w w:val="100"/>
          <w:sz w:val="28"/>
        </w:rPr>
        <w:instrText xml:space="preserve"> FORMTEXT </w:instrText>
      </w:r>
      <w:r>
        <w:rPr>
          <w:rFonts w:hAnsi="黑体"/>
          <w:w w:val="100"/>
          <w:sz w:val="28"/>
        </w:rPr>
        <w:fldChar w:fldCharType="separate"/>
      </w:r>
      <w:r>
        <w:rPr>
          <w:rFonts w:hint="eastAsia" w:hAnsi="黑体"/>
          <w:w w:val="100"/>
          <w:sz w:val="28"/>
        </w:rPr>
        <w:t>上海市水务局</w:t>
      </w:r>
      <w:r>
        <w:rPr>
          <w:rFonts w:hAnsi="黑体"/>
          <w:w w:val="100"/>
          <w:sz w:val="28"/>
        </w:rPr>
        <w:fldChar w:fldCharType="end"/>
      </w:r>
      <w:bookmarkEnd w:id="16"/>
      <w:r>
        <w:rPr>
          <w:rFonts w:ascii="Times New Roman"/>
          <w:w w:val="100"/>
          <w:sz w:val="28"/>
        </w:rPr>
        <w:t>  </w:t>
      </w:r>
      <w:r>
        <w:rPr>
          <w:rStyle w:val="233"/>
          <w:rFonts w:hint="eastAsia" w:hAnsi="黑体"/>
          <w:position w:val="0"/>
        </w:rPr>
        <w:t>发</w:t>
      </w:r>
      <w:r>
        <w:rPr>
          <w:rStyle w:val="233"/>
          <w:rFonts w:hint="eastAsia" w:hAnsi="黑体"/>
          <w:spacing w:val="0"/>
          <w:position w:val="0"/>
        </w:rPr>
        <w:t>布</w:t>
      </w:r>
    </w:p>
    <w:p w14:paraId="435D5FCB">
      <w:pPr>
        <w:rPr>
          <w:rFonts w:hint="eastAsia"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7030D971">
      <w:pPr>
        <w:pStyle w:val="95"/>
        <w:spacing w:before="0" w:after="468"/>
      </w:pPr>
      <w:bookmarkStart w:id="17" w:name="BookMark1"/>
      <w:r>
        <w:rPr>
          <w:rFonts w:hint="eastAsia"/>
          <w:spacing w:val="320"/>
        </w:rPr>
        <w:t>目</w:t>
      </w:r>
      <w:r>
        <w:rPr>
          <w:rFonts w:hint="eastAsia"/>
        </w:rPr>
        <w:t>次</w:t>
      </w:r>
    </w:p>
    <w:p w14:paraId="17D7D37A">
      <w:pPr>
        <w:pStyle w:val="20"/>
        <w:tabs>
          <w:tab w:val="right" w:leader="dot" w:pos="9344"/>
        </w:tabs>
        <w:spacing w:after="0"/>
        <w:rPr>
          <w:rFonts w:hint="eastAsia" w:asciiTheme="minorHAnsi" w:hAnsiTheme="minorHAnsi" w:eastAsiaTheme="minorEastAsia" w:cstheme="minorBidi"/>
          <w:sz w:val="22"/>
          <w:szCs w:val="24"/>
          <w14:ligatures w14:val="standardContextual"/>
        </w:rPr>
      </w:pPr>
      <w:r>
        <w:rPr>
          <w:rFonts w:hAnsi="宋体"/>
        </w:rPr>
        <w:fldChar w:fldCharType="begin"/>
      </w:r>
      <w:r>
        <w:rPr>
          <w:rFonts w:hAnsi="宋体"/>
        </w:rPr>
        <w:instrText xml:space="preserve"> TOC \o "1-1" \h \t "标准文件_一级条标题,2,标准文件_附录一级条标题,2," </w:instrText>
      </w:r>
      <w:r>
        <w:rPr>
          <w:rFonts w:hAnsi="宋体"/>
        </w:rPr>
        <w:fldChar w:fldCharType="separate"/>
      </w:r>
      <w:r>
        <w:fldChar w:fldCharType="begin"/>
      </w:r>
      <w:r>
        <w:instrText xml:space="preserve"> HYPERLINK \l "_Toc240896210" </w:instrText>
      </w:r>
      <w:r>
        <w:fldChar w:fldCharType="separate"/>
      </w:r>
      <w:r>
        <w:rPr>
          <w:rStyle w:val="35"/>
          <w:spacing w:val="320"/>
        </w:rPr>
        <w:t>前</w:t>
      </w:r>
      <w:r>
        <w:rPr>
          <w:rStyle w:val="35"/>
        </w:rPr>
        <w:t>言</w:t>
      </w:r>
      <w:r>
        <w:rPr>
          <w:rFonts w:hint="eastAsia"/>
        </w:rPr>
        <w:tab/>
      </w:r>
      <w:r>
        <w:rPr>
          <w:rFonts w:hint="eastAsia"/>
        </w:rPr>
        <w:fldChar w:fldCharType="begin"/>
      </w:r>
      <w:r>
        <w:rPr>
          <w:rFonts w:hint="eastAsia"/>
        </w:rPr>
        <w:instrText xml:space="preserve"> </w:instrText>
      </w:r>
      <w:r>
        <w:instrText xml:space="preserve">PAGEREF _Toc240896210 \h</w:instrText>
      </w:r>
      <w:r>
        <w:rPr>
          <w:rFonts w:hint="eastAsia"/>
        </w:rPr>
        <w:instrText xml:space="preserve"> </w:instrText>
      </w:r>
      <w:r>
        <w:rPr>
          <w:rFonts w:hint="eastAsia"/>
        </w:rPr>
        <w:fldChar w:fldCharType="separate"/>
      </w:r>
      <w:r>
        <w:t>II</w:t>
      </w:r>
      <w:r>
        <w:rPr>
          <w:rFonts w:hint="eastAsia"/>
        </w:rPr>
        <w:fldChar w:fldCharType="end"/>
      </w:r>
      <w:r>
        <w:rPr>
          <w:rFonts w:hint="eastAsia"/>
        </w:rPr>
        <w:fldChar w:fldCharType="end"/>
      </w:r>
    </w:p>
    <w:p w14:paraId="4DD8BB86">
      <w:pPr>
        <w:pStyle w:val="20"/>
        <w:tabs>
          <w:tab w:val="right" w:leader="dot" w:pos="9344"/>
        </w:tabs>
        <w:spacing w:after="0"/>
        <w:rPr>
          <w:rFonts w:hint="eastAsia" w:asciiTheme="minorHAnsi" w:hAnsiTheme="minorHAnsi" w:eastAsiaTheme="minorEastAsia" w:cstheme="minorBidi"/>
          <w:sz w:val="22"/>
          <w:szCs w:val="24"/>
          <w14:ligatures w14:val="standardContextual"/>
        </w:rPr>
      </w:pPr>
      <w:r>
        <w:fldChar w:fldCharType="begin"/>
      </w:r>
      <w:r>
        <w:instrText xml:space="preserve"> HYPERLINK \l "_Toc240896211" </w:instrText>
      </w:r>
      <w:r>
        <w:fldChar w:fldCharType="separate"/>
      </w:r>
      <w:r>
        <w:rPr>
          <w:rStyle w:val="35"/>
          <w:spacing w:val="320"/>
        </w:rPr>
        <w:t>引</w:t>
      </w:r>
      <w:r>
        <w:rPr>
          <w:rStyle w:val="35"/>
        </w:rPr>
        <w:t>言</w:t>
      </w:r>
      <w:r>
        <w:rPr>
          <w:rFonts w:hint="eastAsia"/>
        </w:rPr>
        <w:tab/>
      </w:r>
      <w:r>
        <w:rPr>
          <w:rFonts w:hint="eastAsia"/>
        </w:rPr>
        <w:fldChar w:fldCharType="begin"/>
      </w:r>
      <w:r>
        <w:rPr>
          <w:rFonts w:hint="eastAsia"/>
        </w:rPr>
        <w:instrText xml:space="preserve"> </w:instrText>
      </w:r>
      <w:r>
        <w:instrText xml:space="preserve">PAGEREF _Toc240896211 \h</w:instrText>
      </w:r>
      <w:r>
        <w:rPr>
          <w:rFonts w:hint="eastAsia"/>
        </w:rPr>
        <w:instrText xml:space="preserve"> </w:instrText>
      </w:r>
      <w:r>
        <w:rPr>
          <w:rFonts w:hint="eastAsia"/>
        </w:rPr>
        <w:fldChar w:fldCharType="separate"/>
      </w:r>
      <w:r>
        <w:t>III</w:t>
      </w:r>
      <w:r>
        <w:rPr>
          <w:rFonts w:hint="eastAsia"/>
        </w:rPr>
        <w:fldChar w:fldCharType="end"/>
      </w:r>
      <w:r>
        <w:rPr>
          <w:rFonts w:hint="eastAsia"/>
        </w:rPr>
        <w:fldChar w:fldCharType="end"/>
      </w:r>
    </w:p>
    <w:p w14:paraId="0E9ED31B">
      <w:pPr>
        <w:pStyle w:val="20"/>
        <w:tabs>
          <w:tab w:val="right" w:leader="dot" w:pos="9344"/>
        </w:tabs>
        <w:spacing w:after="0"/>
        <w:rPr>
          <w:rFonts w:hint="eastAsia" w:asciiTheme="minorHAnsi" w:hAnsiTheme="minorHAnsi" w:eastAsiaTheme="minorEastAsia" w:cstheme="minorBidi"/>
          <w:sz w:val="22"/>
          <w:szCs w:val="24"/>
          <w14:ligatures w14:val="standardContextual"/>
        </w:rPr>
      </w:pPr>
      <w:r>
        <w:fldChar w:fldCharType="begin"/>
      </w:r>
      <w:r>
        <w:instrText xml:space="preserve"> HYPERLINK \l "_Toc240896212" </w:instrText>
      </w:r>
      <w:r>
        <w:fldChar w:fldCharType="separate"/>
      </w:r>
      <w:r>
        <w:rPr>
          <w:rStyle w:val="35"/>
        </w:rPr>
        <w:t>1 范围</w:t>
      </w:r>
      <w:r>
        <w:rPr>
          <w:rFonts w:hint="eastAsia"/>
        </w:rPr>
        <w:tab/>
      </w:r>
      <w:r>
        <w:rPr>
          <w:rFonts w:hint="eastAsia"/>
        </w:rPr>
        <w:fldChar w:fldCharType="begin"/>
      </w:r>
      <w:r>
        <w:rPr>
          <w:rFonts w:hint="eastAsia"/>
        </w:rPr>
        <w:instrText xml:space="preserve"> </w:instrText>
      </w:r>
      <w:r>
        <w:instrText xml:space="preserve">PAGEREF _Toc240896212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7E157AF6">
      <w:pPr>
        <w:pStyle w:val="20"/>
        <w:tabs>
          <w:tab w:val="right" w:leader="dot" w:pos="9344"/>
        </w:tabs>
        <w:spacing w:after="0"/>
        <w:rPr>
          <w:rFonts w:hint="eastAsia" w:asciiTheme="minorHAnsi" w:hAnsiTheme="minorHAnsi" w:eastAsiaTheme="minorEastAsia" w:cstheme="minorBidi"/>
          <w:sz w:val="22"/>
          <w:szCs w:val="24"/>
          <w14:ligatures w14:val="standardContextual"/>
        </w:rPr>
      </w:pPr>
      <w:r>
        <w:fldChar w:fldCharType="begin"/>
      </w:r>
      <w:r>
        <w:instrText xml:space="preserve"> HYPERLINK \l "_Toc240896213" </w:instrText>
      </w:r>
      <w:r>
        <w:fldChar w:fldCharType="separate"/>
      </w:r>
      <w:r>
        <w:rPr>
          <w:rStyle w:val="35"/>
        </w:rPr>
        <w:t>2 规范性引用文件</w:t>
      </w:r>
      <w:r>
        <w:rPr>
          <w:rFonts w:hint="eastAsia"/>
        </w:rPr>
        <w:tab/>
      </w:r>
      <w:r>
        <w:rPr>
          <w:rFonts w:hint="eastAsia"/>
        </w:rPr>
        <w:fldChar w:fldCharType="begin"/>
      </w:r>
      <w:r>
        <w:rPr>
          <w:rFonts w:hint="eastAsia"/>
        </w:rPr>
        <w:instrText xml:space="preserve"> </w:instrText>
      </w:r>
      <w:r>
        <w:instrText xml:space="preserve">PAGEREF _Toc240896213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191B2C80">
      <w:pPr>
        <w:pStyle w:val="20"/>
        <w:tabs>
          <w:tab w:val="right" w:leader="dot" w:pos="9344"/>
        </w:tabs>
        <w:spacing w:after="0"/>
        <w:rPr>
          <w:rFonts w:hint="eastAsia" w:asciiTheme="minorHAnsi" w:hAnsiTheme="minorHAnsi" w:eastAsiaTheme="minorEastAsia" w:cstheme="minorBidi"/>
          <w:sz w:val="22"/>
          <w:szCs w:val="24"/>
          <w14:ligatures w14:val="standardContextual"/>
        </w:rPr>
      </w:pPr>
      <w:r>
        <w:fldChar w:fldCharType="begin"/>
      </w:r>
      <w:r>
        <w:instrText xml:space="preserve"> HYPERLINK \l "_Toc240896214" </w:instrText>
      </w:r>
      <w:r>
        <w:fldChar w:fldCharType="separate"/>
      </w:r>
      <w:r>
        <w:rPr>
          <w:rStyle w:val="35"/>
        </w:rPr>
        <w:t>3 术语和定义</w:t>
      </w:r>
      <w:r>
        <w:rPr>
          <w:rFonts w:hint="eastAsia"/>
        </w:rPr>
        <w:tab/>
      </w:r>
      <w:r>
        <w:rPr>
          <w:rFonts w:hint="eastAsia"/>
        </w:rPr>
        <w:fldChar w:fldCharType="begin"/>
      </w:r>
      <w:r>
        <w:rPr>
          <w:rFonts w:hint="eastAsia"/>
        </w:rPr>
        <w:instrText xml:space="preserve"> </w:instrText>
      </w:r>
      <w:r>
        <w:instrText xml:space="preserve">PAGEREF _Toc240896214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4286EB2A">
      <w:pPr>
        <w:pStyle w:val="20"/>
        <w:tabs>
          <w:tab w:val="right" w:leader="dot" w:pos="9344"/>
        </w:tabs>
        <w:spacing w:after="0"/>
        <w:rPr>
          <w:rFonts w:hint="eastAsia" w:asciiTheme="minorHAnsi" w:hAnsiTheme="minorHAnsi" w:eastAsiaTheme="minorEastAsia" w:cstheme="minorBidi"/>
          <w:sz w:val="22"/>
          <w:szCs w:val="24"/>
          <w14:ligatures w14:val="standardContextual"/>
        </w:rPr>
      </w:pPr>
      <w:r>
        <w:fldChar w:fldCharType="begin"/>
      </w:r>
      <w:r>
        <w:instrText xml:space="preserve"> HYPERLINK \l "_Toc240896215" </w:instrText>
      </w:r>
      <w:r>
        <w:fldChar w:fldCharType="separate"/>
      </w:r>
      <w:r>
        <w:rPr>
          <w:rStyle w:val="35"/>
        </w:rPr>
        <w:t>4 总体要求</w:t>
      </w:r>
      <w:r>
        <w:rPr>
          <w:rFonts w:hint="eastAsia"/>
        </w:rPr>
        <w:tab/>
      </w:r>
      <w:r>
        <w:rPr>
          <w:rFonts w:hint="eastAsia"/>
        </w:rPr>
        <w:fldChar w:fldCharType="begin"/>
      </w:r>
      <w:r>
        <w:rPr>
          <w:rFonts w:hint="eastAsia"/>
        </w:rPr>
        <w:instrText xml:space="preserve"> </w:instrText>
      </w:r>
      <w:r>
        <w:instrText xml:space="preserve">PAGEREF _Toc240896215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4CF87ABB">
      <w:pPr>
        <w:pStyle w:val="20"/>
        <w:tabs>
          <w:tab w:val="right" w:leader="dot" w:pos="9344"/>
        </w:tabs>
        <w:spacing w:after="0"/>
        <w:rPr>
          <w:rFonts w:hint="eastAsia" w:asciiTheme="minorHAnsi" w:hAnsiTheme="minorHAnsi" w:eastAsiaTheme="minorEastAsia" w:cstheme="minorBidi"/>
          <w:sz w:val="22"/>
          <w:szCs w:val="24"/>
          <w14:ligatures w14:val="standardContextual"/>
        </w:rPr>
      </w:pPr>
      <w:r>
        <w:fldChar w:fldCharType="begin"/>
      </w:r>
      <w:r>
        <w:instrText xml:space="preserve"> HYPERLINK \l "_Toc240896216" </w:instrText>
      </w:r>
      <w:r>
        <w:fldChar w:fldCharType="separate"/>
      </w:r>
      <w:r>
        <w:rPr>
          <w:rStyle w:val="35"/>
        </w:rPr>
        <w:t>5 取水计量监测站点运行维护</w:t>
      </w:r>
      <w:r>
        <w:rPr>
          <w:rFonts w:hint="eastAsia"/>
        </w:rPr>
        <w:tab/>
      </w:r>
      <w:r>
        <w:rPr>
          <w:rFonts w:hint="eastAsia"/>
        </w:rPr>
        <w:fldChar w:fldCharType="begin"/>
      </w:r>
      <w:r>
        <w:rPr>
          <w:rFonts w:hint="eastAsia"/>
        </w:rPr>
        <w:instrText xml:space="preserve"> </w:instrText>
      </w:r>
      <w:r>
        <w:instrText xml:space="preserve">PAGEREF _Toc240896216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738934EB">
      <w:pPr>
        <w:pStyle w:val="20"/>
        <w:tabs>
          <w:tab w:val="right" w:leader="dot" w:pos="9344"/>
        </w:tabs>
        <w:spacing w:after="0"/>
        <w:rPr>
          <w:rFonts w:hint="eastAsia" w:asciiTheme="minorHAnsi" w:hAnsiTheme="minorHAnsi" w:eastAsiaTheme="minorEastAsia" w:cstheme="minorBidi"/>
          <w:sz w:val="22"/>
          <w:szCs w:val="24"/>
          <w:highlight w:val="none"/>
          <w14:ligatures w14:val="standardContextual"/>
        </w:rPr>
      </w:pPr>
      <w:r>
        <w:rPr>
          <w:highlight w:val="none"/>
        </w:rPr>
        <w:fldChar w:fldCharType="begin"/>
      </w:r>
      <w:r>
        <w:rPr>
          <w:highlight w:val="none"/>
        </w:rPr>
        <w:instrText xml:space="preserve"> HYPERLINK \l "_Toc240896217" </w:instrText>
      </w:r>
      <w:r>
        <w:rPr>
          <w:highlight w:val="none"/>
        </w:rPr>
        <w:fldChar w:fldCharType="separate"/>
      </w:r>
      <w:r>
        <w:rPr>
          <w:rStyle w:val="35"/>
          <w:rFonts w:hAnsi="黑体" w:cs="黑体"/>
          <w:highlight w:val="none"/>
        </w:rPr>
        <w:t>6 系统平台运行维护</w:t>
      </w:r>
      <w:r>
        <w:rPr>
          <w:rFonts w:hint="eastAsia"/>
          <w:highlight w:val="none"/>
        </w:rPr>
        <w:tab/>
      </w:r>
      <w:r>
        <w:rPr>
          <w:rFonts w:hint="eastAsia"/>
          <w:highlight w:val="none"/>
        </w:rPr>
        <w:fldChar w:fldCharType="begin"/>
      </w:r>
      <w:r>
        <w:rPr>
          <w:rFonts w:hint="eastAsia"/>
          <w:highlight w:val="none"/>
        </w:rPr>
        <w:instrText xml:space="preserve"> </w:instrText>
      </w:r>
      <w:r>
        <w:rPr>
          <w:highlight w:val="none"/>
        </w:rPr>
        <w:instrText xml:space="preserve">PAGEREF _Toc240896217 \h</w:instrText>
      </w:r>
      <w:r>
        <w:rPr>
          <w:rFonts w:hint="eastAsia"/>
          <w:highlight w:val="none"/>
        </w:rPr>
        <w:instrText xml:space="preserve"> </w:instrText>
      </w:r>
      <w:r>
        <w:rPr>
          <w:rFonts w:hint="eastAsia"/>
          <w:highlight w:val="none"/>
        </w:rPr>
        <w:fldChar w:fldCharType="separate"/>
      </w:r>
      <w:r>
        <w:rPr>
          <w:highlight w:val="none"/>
        </w:rPr>
        <w:t>2</w:t>
      </w:r>
      <w:r>
        <w:rPr>
          <w:rFonts w:hint="eastAsia"/>
          <w:highlight w:val="none"/>
        </w:rPr>
        <w:fldChar w:fldCharType="end"/>
      </w:r>
      <w:r>
        <w:rPr>
          <w:rFonts w:hint="eastAsia"/>
          <w:highlight w:val="none"/>
        </w:rPr>
        <w:fldChar w:fldCharType="end"/>
      </w:r>
    </w:p>
    <w:p w14:paraId="71C0052B">
      <w:pPr>
        <w:pStyle w:val="20"/>
        <w:tabs>
          <w:tab w:val="right" w:leader="dot" w:pos="9344"/>
        </w:tabs>
        <w:spacing w:after="0"/>
        <w:rPr>
          <w:rFonts w:hint="eastAsia" w:asciiTheme="minorHAnsi" w:hAnsiTheme="minorHAnsi" w:eastAsiaTheme="minorEastAsia" w:cstheme="minorBidi"/>
          <w:sz w:val="22"/>
          <w:szCs w:val="24"/>
          <w14:ligatures w14:val="standardContextual"/>
        </w:rPr>
      </w:pPr>
      <w:r>
        <w:rPr>
          <w:highlight w:val="none"/>
        </w:rPr>
        <w:fldChar w:fldCharType="begin"/>
      </w:r>
      <w:r>
        <w:rPr>
          <w:highlight w:val="none"/>
        </w:rPr>
        <w:instrText xml:space="preserve"> HYPERLINK \l "_Toc240896218" </w:instrText>
      </w:r>
      <w:r>
        <w:rPr>
          <w:highlight w:val="none"/>
        </w:rPr>
        <w:fldChar w:fldCharType="separate"/>
      </w:r>
      <w:r>
        <w:rPr>
          <w:rStyle w:val="35"/>
          <w:highlight w:val="none"/>
        </w:rPr>
        <w:t>7 数据管理</w:t>
      </w:r>
      <w:r>
        <w:rPr>
          <w:rFonts w:hint="eastAsia"/>
          <w:highlight w:val="none"/>
        </w:rPr>
        <w:tab/>
      </w:r>
      <w:r>
        <w:rPr>
          <w:rFonts w:hint="eastAsia"/>
          <w:highlight w:val="none"/>
        </w:rPr>
        <w:fldChar w:fldCharType="begin"/>
      </w:r>
      <w:r>
        <w:rPr>
          <w:rFonts w:hint="eastAsia"/>
          <w:highlight w:val="none"/>
        </w:rPr>
        <w:instrText xml:space="preserve"> </w:instrText>
      </w:r>
      <w:r>
        <w:rPr>
          <w:highlight w:val="none"/>
        </w:rPr>
        <w:instrText xml:space="preserve">PAGEREF _Toc240896218 \h</w:instrText>
      </w:r>
      <w:r>
        <w:rPr>
          <w:rFonts w:hint="eastAsia"/>
          <w:highlight w:val="none"/>
        </w:rPr>
        <w:instrText xml:space="preserve"> </w:instrText>
      </w:r>
      <w:r>
        <w:rPr>
          <w:rFonts w:hint="eastAsia"/>
          <w:highlight w:val="none"/>
        </w:rPr>
        <w:fldChar w:fldCharType="separate"/>
      </w:r>
      <w:r>
        <w:rPr>
          <w:highlight w:val="none"/>
        </w:rPr>
        <w:t>3</w:t>
      </w:r>
      <w:r>
        <w:rPr>
          <w:rFonts w:hint="eastAsia"/>
          <w:highlight w:val="none"/>
        </w:rPr>
        <w:fldChar w:fldCharType="end"/>
      </w:r>
      <w:r>
        <w:rPr>
          <w:rFonts w:hint="eastAsia"/>
          <w:highlight w:val="none"/>
        </w:rPr>
        <w:fldChar w:fldCharType="end"/>
      </w:r>
    </w:p>
    <w:p w14:paraId="6E932EBD">
      <w:pPr>
        <w:pStyle w:val="20"/>
        <w:tabs>
          <w:tab w:val="right" w:leader="dot" w:pos="9344"/>
        </w:tabs>
        <w:spacing w:after="0"/>
        <w:rPr>
          <w:rFonts w:hint="eastAsia" w:asciiTheme="minorHAnsi" w:hAnsiTheme="minorHAnsi" w:eastAsiaTheme="minorEastAsia" w:cstheme="minorBidi"/>
          <w:sz w:val="22"/>
          <w:szCs w:val="24"/>
          <w14:ligatures w14:val="standardContextual"/>
        </w:rPr>
      </w:pPr>
      <w:r>
        <w:fldChar w:fldCharType="begin"/>
      </w:r>
      <w:r>
        <w:instrText xml:space="preserve"> HYPERLINK \l "_Toc240896219" </w:instrText>
      </w:r>
      <w:r>
        <w:fldChar w:fldCharType="separate"/>
      </w:r>
      <w:r>
        <w:rPr>
          <w:rStyle w:val="35"/>
        </w:rPr>
        <w:t>8 故障处置与应急响应</w:t>
      </w:r>
      <w:r>
        <w:rPr>
          <w:rFonts w:hint="eastAsia"/>
        </w:rPr>
        <w:tab/>
      </w:r>
      <w:r>
        <w:rPr>
          <w:rFonts w:hint="eastAsia"/>
        </w:rPr>
        <w:fldChar w:fldCharType="begin"/>
      </w:r>
      <w:r>
        <w:rPr>
          <w:rFonts w:hint="eastAsia"/>
        </w:rPr>
        <w:instrText xml:space="preserve"> </w:instrText>
      </w:r>
      <w:r>
        <w:instrText xml:space="preserve">PAGEREF _Toc240896219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1F750D10">
      <w:pPr>
        <w:pStyle w:val="20"/>
        <w:tabs>
          <w:tab w:val="right" w:leader="dot" w:pos="9344"/>
        </w:tabs>
        <w:spacing w:after="0"/>
        <w:rPr>
          <w:rFonts w:hint="eastAsia" w:asciiTheme="minorHAnsi" w:hAnsiTheme="minorHAnsi" w:eastAsiaTheme="minorEastAsia" w:cstheme="minorBidi"/>
          <w:sz w:val="22"/>
          <w:szCs w:val="24"/>
          <w14:ligatures w14:val="standardContextual"/>
        </w:rPr>
      </w:pPr>
      <w:r>
        <w:fldChar w:fldCharType="begin"/>
      </w:r>
      <w:r>
        <w:instrText xml:space="preserve"> HYPERLINK \l "_Toc240896220" </w:instrText>
      </w:r>
      <w:r>
        <w:fldChar w:fldCharType="separate"/>
      </w:r>
      <w:r>
        <w:rPr>
          <w:rStyle w:val="35"/>
        </w:rPr>
        <w:t>9 档案管理</w:t>
      </w:r>
      <w:r>
        <w:rPr>
          <w:rFonts w:hint="eastAsia"/>
        </w:rPr>
        <w:tab/>
      </w:r>
      <w:r>
        <w:rPr>
          <w:rFonts w:hint="eastAsia"/>
        </w:rPr>
        <w:fldChar w:fldCharType="begin"/>
      </w:r>
      <w:r>
        <w:rPr>
          <w:rFonts w:hint="eastAsia"/>
        </w:rPr>
        <w:instrText xml:space="preserve"> </w:instrText>
      </w:r>
      <w:r>
        <w:instrText xml:space="preserve">PAGEREF _Toc240896220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6882D0CA">
      <w:pPr>
        <w:pStyle w:val="20"/>
        <w:tabs>
          <w:tab w:val="right" w:leader="dot" w:pos="9344"/>
        </w:tabs>
        <w:spacing w:after="0"/>
        <w:rPr>
          <w:rFonts w:hint="eastAsia" w:asciiTheme="minorHAnsi" w:hAnsiTheme="minorHAnsi" w:eastAsiaTheme="minorEastAsia" w:cstheme="minorBidi"/>
          <w:sz w:val="22"/>
          <w:szCs w:val="24"/>
          <w14:ligatures w14:val="standardContextual"/>
        </w:rPr>
      </w:pPr>
      <w:r>
        <w:fldChar w:fldCharType="begin"/>
      </w:r>
      <w:r>
        <w:instrText xml:space="preserve"> HYPERLINK \l "_Toc240896221" </w:instrText>
      </w:r>
      <w:r>
        <w:fldChar w:fldCharType="separate"/>
      </w:r>
      <w:r>
        <w:rPr>
          <w:rStyle w:val="35"/>
          <w:spacing w:val="100"/>
        </w:rPr>
        <w:t>附录A</w:t>
      </w:r>
      <w:r>
        <w:rPr>
          <w:rStyle w:val="35"/>
        </w:rPr>
        <w:t xml:space="preserve"> （资料性） 取水计量监测站点基本信息表样式</w:t>
      </w:r>
      <w:r>
        <w:rPr>
          <w:rFonts w:hint="eastAsia"/>
        </w:rPr>
        <w:tab/>
      </w:r>
      <w:r>
        <w:rPr>
          <w:rFonts w:hint="eastAsia"/>
        </w:rPr>
        <w:fldChar w:fldCharType="begin"/>
      </w:r>
      <w:r>
        <w:rPr>
          <w:rFonts w:hint="eastAsia"/>
        </w:rPr>
        <w:instrText xml:space="preserve"> </w:instrText>
      </w:r>
      <w:r>
        <w:instrText xml:space="preserve">PAGEREF _Toc240896221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7D90B523">
      <w:pPr>
        <w:pStyle w:val="20"/>
        <w:tabs>
          <w:tab w:val="right" w:leader="dot" w:pos="9344"/>
        </w:tabs>
        <w:spacing w:after="0"/>
        <w:rPr>
          <w:rFonts w:hint="eastAsia" w:asciiTheme="minorHAnsi" w:hAnsiTheme="minorHAnsi" w:eastAsiaTheme="minorEastAsia" w:cstheme="minorBidi"/>
          <w:sz w:val="22"/>
          <w:szCs w:val="24"/>
          <w14:ligatures w14:val="standardContextual"/>
        </w:rPr>
      </w:pPr>
      <w:r>
        <w:fldChar w:fldCharType="begin"/>
      </w:r>
      <w:r>
        <w:instrText xml:space="preserve"> HYPERLINK \l "_Toc240896222" </w:instrText>
      </w:r>
      <w:r>
        <w:fldChar w:fldCharType="separate"/>
      </w:r>
      <w:r>
        <w:rPr>
          <w:rStyle w:val="35"/>
          <w:spacing w:val="100"/>
        </w:rPr>
        <w:t>附录B</w:t>
      </w:r>
      <w:r>
        <w:rPr>
          <w:rStyle w:val="35"/>
        </w:rPr>
        <w:t xml:space="preserve"> （资料性） 取水计量监测站点巡检维护记录表样式</w:t>
      </w:r>
      <w:r>
        <w:rPr>
          <w:rFonts w:hint="eastAsia"/>
        </w:rPr>
        <w:tab/>
      </w:r>
      <w:r>
        <w:rPr>
          <w:rFonts w:hint="eastAsia"/>
        </w:rPr>
        <w:fldChar w:fldCharType="begin"/>
      </w:r>
      <w:r>
        <w:rPr>
          <w:rFonts w:hint="eastAsia"/>
        </w:rPr>
        <w:instrText xml:space="preserve"> </w:instrText>
      </w:r>
      <w:r>
        <w:instrText xml:space="preserve">PAGEREF _Toc240896222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14:paraId="3382052A">
      <w:pPr>
        <w:pStyle w:val="20"/>
        <w:tabs>
          <w:tab w:val="right" w:leader="dot" w:pos="9344"/>
        </w:tabs>
        <w:spacing w:after="0"/>
        <w:rPr>
          <w:rFonts w:hint="eastAsia" w:asciiTheme="minorHAnsi" w:hAnsiTheme="minorHAnsi" w:eastAsiaTheme="minorEastAsia" w:cstheme="minorBidi"/>
          <w:sz w:val="22"/>
          <w:szCs w:val="24"/>
          <w14:ligatures w14:val="standardContextual"/>
        </w:rPr>
      </w:pPr>
      <w:r>
        <w:fldChar w:fldCharType="begin"/>
      </w:r>
      <w:r>
        <w:instrText xml:space="preserve"> HYPERLINK \l "_Toc240896223" </w:instrText>
      </w:r>
      <w:r>
        <w:fldChar w:fldCharType="separate"/>
      </w:r>
      <w:r>
        <w:rPr>
          <w:rStyle w:val="35"/>
          <w:spacing w:val="100"/>
        </w:rPr>
        <w:t>附录C</w:t>
      </w:r>
      <w:r>
        <w:rPr>
          <w:rStyle w:val="35"/>
        </w:rPr>
        <w:t xml:space="preserve"> （资料性） 系统平台巡检维护记录表样式</w:t>
      </w:r>
      <w:r>
        <w:rPr>
          <w:rFonts w:hint="eastAsia"/>
        </w:rPr>
        <w:tab/>
      </w:r>
      <w:r>
        <w:rPr>
          <w:rFonts w:hint="eastAsia"/>
        </w:rPr>
        <w:fldChar w:fldCharType="begin"/>
      </w:r>
      <w:r>
        <w:rPr>
          <w:rFonts w:hint="eastAsia"/>
        </w:rPr>
        <w:instrText xml:space="preserve"> </w:instrText>
      </w:r>
      <w:r>
        <w:instrText xml:space="preserve">PAGEREF _Toc240896223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14:paraId="1E0CE311">
      <w:pPr>
        <w:pStyle w:val="20"/>
        <w:tabs>
          <w:tab w:val="right" w:leader="dot" w:pos="9344"/>
        </w:tabs>
        <w:spacing w:after="0"/>
        <w:rPr>
          <w:rFonts w:hint="eastAsia" w:asciiTheme="minorHAnsi" w:hAnsiTheme="minorHAnsi" w:eastAsiaTheme="minorEastAsia" w:cstheme="minorBidi"/>
          <w:sz w:val="22"/>
          <w:szCs w:val="24"/>
          <w14:ligatures w14:val="standardContextual"/>
        </w:rPr>
      </w:pPr>
      <w:r>
        <w:fldChar w:fldCharType="begin"/>
      </w:r>
      <w:r>
        <w:instrText xml:space="preserve"> HYPERLINK \l "_Toc240896224" </w:instrText>
      </w:r>
      <w:r>
        <w:fldChar w:fldCharType="separate"/>
      </w:r>
      <w:r>
        <w:rPr>
          <w:rStyle w:val="35"/>
          <w:spacing w:val="100"/>
        </w:rPr>
        <w:t>附录D</w:t>
      </w:r>
      <w:r>
        <w:rPr>
          <w:rStyle w:val="35"/>
        </w:rPr>
        <w:t xml:space="preserve"> （资料性） 取水计量监测站点故障处置记录表样式</w:t>
      </w:r>
      <w:r>
        <w:rPr>
          <w:rFonts w:hint="eastAsia"/>
        </w:rPr>
        <w:tab/>
      </w:r>
      <w:r>
        <w:rPr>
          <w:rFonts w:hint="eastAsia"/>
        </w:rPr>
        <w:fldChar w:fldCharType="begin"/>
      </w:r>
      <w:r>
        <w:rPr>
          <w:rFonts w:hint="eastAsia"/>
        </w:rPr>
        <w:instrText xml:space="preserve"> </w:instrText>
      </w:r>
      <w:r>
        <w:instrText xml:space="preserve">PAGEREF _Toc240896224 \h</w:instrText>
      </w:r>
      <w:r>
        <w:rPr>
          <w:rFonts w:hint="eastAsia"/>
        </w:rPr>
        <w:instrText xml:space="preserve"> </w:instrText>
      </w:r>
      <w:r>
        <w:rPr>
          <w:rFonts w:hint="eastAsia"/>
        </w:rPr>
        <w:fldChar w:fldCharType="separate"/>
      </w:r>
      <w:r>
        <w:t>10</w:t>
      </w:r>
      <w:r>
        <w:rPr>
          <w:rFonts w:hint="eastAsia"/>
        </w:rPr>
        <w:fldChar w:fldCharType="end"/>
      </w:r>
      <w:r>
        <w:rPr>
          <w:rFonts w:hint="eastAsia"/>
        </w:rPr>
        <w:fldChar w:fldCharType="end"/>
      </w:r>
    </w:p>
    <w:p w14:paraId="6F6FCF9A">
      <w:pPr>
        <w:pStyle w:val="20"/>
        <w:tabs>
          <w:tab w:val="right" w:leader="dot" w:pos="9344"/>
        </w:tabs>
        <w:spacing w:after="0"/>
        <w:rPr>
          <w:rFonts w:hint="eastAsia" w:asciiTheme="minorHAnsi" w:hAnsiTheme="minorHAnsi" w:eastAsiaTheme="minorEastAsia" w:cstheme="minorBidi"/>
          <w:sz w:val="22"/>
          <w:szCs w:val="24"/>
          <w14:ligatures w14:val="standardContextual"/>
        </w:rPr>
      </w:pPr>
      <w:r>
        <w:fldChar w:fldCharType="begin"/>
      </w:r>
      <w:r>
        <w:instrText xml:space="preserve"> HYPERLINK \l "_Toc240896225" </w:instrText>
      </w:r>
      <w:r>
        <w:fldChar w:fldCharType="separate"/>
      </w:r>
      <w:r>
        <w:rPr>
          <w:rStyle w:val="35"/>
          <w:spacing w:val="100"/>
        </w:rPr>
        <w:t>附录E</w:t>
      </w:r>
      <w:r>
        <w:rPr>
          <w:rStyle w:val="35"/>
        </w:rPr>
        <w:t xml:space="preserve"> （资料性） 系统平台故障处置记录表样式</w:t>
      </w:r>
      <w:r>
        <w:rPr>
          <w:rFonts w:hint="eastAsia"/>
        </w:rPr>
        <w:tab/>
      </w:r>
      <w:r>
        <w:rPr>
          <w:rFonts w:hint="eastAsia"/>
        </w:rPr>
        <w:fldChar w:fldCharType="begin"/>
      </w:r>
      <w:r>
        <w:rPr>
          <w:rFonts w:hint="eastAsia"/>
        </w:rPr>
        <w:instrText xml:space="preserve"> </w:instrText>
      </w:r>
      <w:r>
        <w:instrText xml:space="preserve">PAGEREF _Toc240896225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14:paraId="784E6DC3">
      <w:pPr>
        <w:pStyle w:val="60"/>
        <w:spacing w:after="0" w:line="400" w:lineRule="exact"/>
        <w:ind w:firstLine="0" w:firstLineChars="0"/>
      </w:pPr>
      <w:r>
        <w:rPr>
          <w:rFonts w:hAnsi="宋体"/>
        </w:rPr>
        <w:fldChar w:fldCharType="end"/>
      </w:r>
    </w:p>
    <w:p w14:paraId="159D0964">
      <w:pPr>
        <w:jc w:val="right"/>
        <w:rPr>
          <w:rFonts w:ascii="宋体" w:hAnsi="Times New Roman"/>
          <w:kern w:val="0"/>
          <w:szCs w:val="20"/>
        </w:rPr>
      </w:pPr>
    </w:p>
    <w:p w14:paraId="5E4F3A45">
      <w:pPr>
        <w:rPr>
          <w:rFonts w:ascii="宋体" w:hAnsi="Times New Roman"/>
          <w:kern w:val="0"/>
          <w:szCs w:val="20"/>
        </w:rPr>
      </w:pPr>
    </w:p>
    <w:p w14:paraId="0F0EEF2A">
      <w:pPr>
        <w:sectPr>
          <w:headerReference r:id="rId11" w:type="default"/>
          <w:footerReference r:id="rId13" w:type="default"/>
          <w:headerReference r:id="rId12" w:type="even"/>
          <w:pgSz w:w="11906" w:h="16838"/>
          <w:pgMar w:top="2410" w:right="1134" w:bottom="1134" w:left="1134" w:header="1418" w:footer="1134" w:gutter="284"/>
          <w:pgNumType w:fmt="upperRoman" w:start="1"/>
          <w:cols w:space="425" w:num="1"/>
          <w:formProt w:val="0"/>
          <w:docGrid w:type="lines" w:linePitch="312" w:charSpace="0"/>
        </w:sectPr>
      </w:pPr>
    </w:p>
    <w:bookmarkEnd w:id="17"/>
    <w:p w14:paraId="4AF9C811">
      <w:pPr>
        <w:pStyle w:val="93"/>
        <w:numPr>
          <w:ilvl w:val="0"/>
          <w:numId w:val="0"/>
        </w:numPr>
        <w:spacing w:before="0" w:after="468" w:line="240" w:lineRule="auto"/>
        <w:ind w:left="425"/>
      </w:pPr>
      <w:bookmarkStart w:id="18" w:name="_Toc240896210"/>
      <w:bookmarkStart w:id="19" w:name="BookMark2"/>
      <w:r>
        <w:rPr>
          <w:spacing w:val="320"/>
        </w:rPr>
        <w:t>前</w:t>
      </w:r>
      <w:r>
        <w:t>言</w:t>
      </w:r>
      <w:bookmarkEnd w:id="18"/>
    </w:p>
    <w:p w14:paraId="378D9DD4">
      <w:pPr>
        <w:pStyle w:val="60"/>
        <w:spacing w:after="0" w:line="240" w:lineRule="auto"/>
        <w:ind w:firstLine="420"/>
      </w:pPr>
      <w:r>
        <w:rPr>
          <w:rFonts w:hint="eastAsia"/>
        </w:rPr>
        <w:t>本文件按照GB/T 1.1—2020《标准化工作导则  第1部分：标准化文件的结构和起草规则》的规定起草。</w:t>
      </w:r>
    </w:p>
    <w:p w14:paraId="68CF2ECA">
      <w:pPr>
        <w:pStyle w:val="60"/>
        <w:spacing w:after="0" w:line="240" w:lineRule="auto"/>
        <w:ind w:firstLine="420"/>
      </w:pPr>
      <w:r>
        <w:rPr>
          <w:rFonts w:hint="eastAsia"/>
        </w:rPr>
        <w:t>请注意本文件的某些内容可能涉及专利。本文件的发布机构不承担识别专利的责任。</w:t>
      </w:r>
    </w:p>
    <w:p w14:paraId="4EEC8D2E">
      <w:pPr>
        <w:pStyle w:val="60"/>
        <w:spacing w:after="0" w:line="240" w:lineRule="auto"/>
        <w:ind w:firstLine="420"/>
      </w:pPr>
      <w:r>
        <w:rPr>
          <w:rFonts w:hint="eastAsia"/>
        </w:rPr>
        <w:t>本文件由上海市水务局负责归口管理，由上海市供水管理事务中心负责具体技术内容的解释。执行过程中，如有意见和建议，请寄送反馈给上海市供水管理事务中心（地址：静安区沪太路230号金融街融悦中心C栋5楼，邮编：200070）。</w:t>
      </w:r>
    </w:p>
    <w:p w14:paraId="63F0FC45">
      <w:pPr>
        <w:pStyle w:val="60"/>
        <w:spacing w:after="0" w:line="240" w:lineRule="auto"/>
        <w:ind w:firstLine="420"/>
      </w:pPr>
      <w:r>
        <w:rPr>
          <w:rFonts w:hint="eastAsia"/>
        </w:rPr>
        <w:t>本文件主编单位：</w:t>
      </w:r>
    </w:p>
    <w:p w14:paraId="2F0AC5C0">
      <w:pPr>
        <w:pStyle w:val="60"/>
        <w:spacing w:after="0" w:line="240" w:lineRule="auto"/>
        <w:ind w:firstLine="420"/>
      </w:pPr>
      <w:r>
        <w:rPr>
          <w:rFonts w:hint="eastAsia"/>
        </w:rPr>
        <w:t>本文件参编单位：</w:t>
      </w:r>
    </w:p>
    <w:p w14:paraId="4B5112B1">
      <w:pPr>
        <w:pStyle w:val="60"/>
        <w:spacing w:after="0" w:line="240" w:lineRule="auto"/>
        <w:ind w:firstLine="420"/>
      </w:pPr>
      <w:r>
        <w:rPr>
          <w:rFonts w:hint="eastAsia"/>
        </w:rPr>
        <w:t>本文件主要起草人：</w:t>
      </w:r>
    </w:p>
    <w:p w14:paraId="0046F622">
      <w:pPr>
        <w:pStyle w:val="60"/>
        <w:spacing w:after="0" w:line="240" w:lineRule="auto"/>
        <w:ind w:firstLine="420"/>
      </w:pPr>
      <w:r>
        <w:rPr>
          <w:rFonts w:hint="eastAsia"/>
        </w:rPr>
        <w:t>本文件主要审查人员：</w:t>
      </w:r>
    </w:p>
    <w:p w14:paraId="40C5FF56">
      <w:pPr>
        <w:pStyle w:val="60"/>
        <w:spacing w:after="0" w:line="240" w:lineRule="auto"/>
        <w:ind w:firstLine="420"/>
      </w:pPr>
      <w:r>
        <w:rPr>
          <w:rFonts w:hint="eastAsia" w:hAnsi="宋体"/>
          <w:kern w:val="2"/>
          <w:szCs w:val="21"/>
        </w:rPr>
        <w:t>本文件为首次发布。</w:t>
      </w:r>
    </w:p>
    <w:p w14:paraId="06E14BEE">
      <w:pPr>
        <w:pStyle w:val="60"/>
        <w:spacing w:after="0" w:line="240" w:lineRule="auto"/>
        <w:ind w:firstLine="420"/>
      </w:pPr>
    </w:p>
    <w:p w14:paraId="378B2128">
      <w:pPr>
        <w:pStyle w:val="60"/>
        <w:spacing w:after="0" w:line="240" w:lineRule="auto"/>
        <w:ind w:firstLine="420"/>
      </w:pPr>
    </w:p>
    <w:p w14:paraId="0AE97946">
      <w:pPr>
        <w:pStyle w:val="60"/>
        <w:spacing w:after="0" w:line="240" w:lineRule="auto"/>
        <w:ind w:firstLine="420"/>
        <w:sectPr>
          <w:pgSz w:w="11906" w:h="16838"/>
          <w:pgMar w:top="2410" w:right="1134" w:bottom="1134" w:left="1134" w:header="1418" w:footer="1134" w:gutter="284"/>
          <w:pgNumType w:fmt="upperRoman"/>
          <w:cols w:space="425" w:num="1"/>
          <w:formProt w:val="0"/>
          <w:docGrid w:type="lines" w:linePitch="312" w:charSpace="0"/>
        </w:sectPr>
      </w:pPr>
    </w:p>
    <w:bookmarkEnd w:id="19"/>
    <w:p w14:paraId="39DE2F6C">
      <w:pPr>
        <w:pStyle w:val="93"/>
        <w:numPr>
          <w:ilvl w:val="0"/>
          <w:numId w:val="0"/>
        </w:numPr>
        <w:spacing w:before="0" w:after="468" w:line="240" w:lineRule="auto"/>
        <w:ind w:left="425"/>
      </w:pPr>
      <w:bookmarkStart w:id="20" w:name="_Toc240896211"/>
      <w:bookmarkStart w:id="21" w:name="_Toc236061707"/>
      <w:bookmarkStart w:id="22" w:name="BookMark3"/>
      <w:r>
        <w:rPr>
          <w:spacing w:val="320"/>
        </w:rPr>
        <w:t>引</w:t>
      </w:r>
      <w:r>
        <w:t>言</w:t>
      </w:r>
      <w:bookmarkEnd w:id="20"/>
      <w:bookmarkEnd w:id="21"/>
    </w:p>
    <w:p w14:paraId="788240FE">
      <w:pPr>
        <w:spacing w:after="0" w:line="240" w:lineRule="auto"/>
        <w:ind w:firstLine="420" w:firstLineChars="200"/>
        <w:rPr>
          <w:rFonts w:hint="eastAsia" w:ascii="宋体" w:hAnsi="宋体"/>
        </w:rPr>
      </w:pPr>
      <w:r>
        <w:rPr>
          <w:rFonts w:hint="eastAsia" w:ascii="宋体" w:hAnsi="宋体"/>
        </w:rPr>
        <w:t>为指导本市取水计量在线监测设施的运行维护工作，确保取水计量在线监测数据的准确性，由上海市供水管理事务中心、上海纺织建筑设计研究院有限公司会同相关单位，组成编制组，经调查研究，认真总结实践经验，参考有关现行国家和地方标准，依据《中华人民共和国水法》（国家主席令第74号）、《取水许可和水资源费征收管理条例》（国务院令第460号）等有关规定，在广泛征求意见的基础上，制定本规程。</w:t>
      </w:r>
    </w:p>
    <w:p w14:paraId="7ABC70F7">
      <w:pPr>
        <w:pStyle w:val="60"/>
        <w:ind w:firstLine="420"/>
      </w:pPr>
    </w:p>
    <w:p w14:paraId="2A469DE8">
      <w:pPr>
        <w:pStyle w:val="60"/>
        <w:ind w:firstLine="420"/>
        <w:sectPr>
          <w:pgSz w:w="11906" w:h="16838"/>
          <w:pgMar w:top="2410" w:right="1134" w:bottom="1134" w:left="1134" w:header="1418" w:footer="1134" w:gutter="284"/>
          <w:pgNumType w:fmt="upperRoman"/>
          <w:cols w:space="425" w:num="1"/>
          <w:formProt w:val="0"/>
          <w:docGrid w:type="lines" w:linePitch="312" w:charSpace="0"/>
        </w:sectPr>
      </w:pPr>
    </w:p>
    <w:bookmarkEnd w:id="22"/>
    <w:p w14:paraId="72248F97">
      <w:pPr>
        <w:spacing w:line="20" w:lineRule="exact"/>
        <w:jc w:val="center"/>
        <w:rPr>
          <w:rFonts w:hint="eastAsia" w:ascii="黑体" w:hAnsi="黑体" w:eastAsia="黑体"/>
          <w:sz w:val="32"/>
          <w:szCs w:val="32"/>
        </w:rPr>
      </w:pPr>
      <w:bookmarkStart w:id="23" w:name="BookMark4"/>
    </w:p>
    <w:p w14:paraId="7FA58A8A">
      <w:pPr>
        <w:spacing w:line="20" w:lineRule="exact"/>
        <w:jc w:val="center"/>
        <w:rPr>
          <w:rFonts w:hint="eastAsia" w:ascii="黑体" w:hAnsi="黑体" w:eastAsia="黑体"/>
          <w:sz w:val="32"/>
          <w:szCs w:val="32"/>
        </w:rPr>
      </w:pPr>
    </w:p>
    <w:sdt>
      <w:sdtPr>
        <w:tag w:val="NEW_STAND_NAME"/>
        <w:id w:val="595910757"/>
        <w:lock w:val="sdtLocked"/>
        <w:placeholder>
          <w:docPart w:val="086EBC1C8E7E435497651B7D3C5EE4AB"/>
        </w:placeholder>
      </w:sdtPr>
      <w:sdtContent>
        <w:p w14:paraId="0CC0C58D">
          <w:pPr>
            <w:pStyle w:val="181"/>
            <w:spacing w:before="3" w:beforeLines="1" w:after="686" w:afterLines="220"/>
            <w:rPr>
              <w:rFonts w:hint="eastAsia"/>
            </w:rPr>
          </w:pPr>
          <w:bookmarkStart w:id="24" w:name="NEW_STAND_NAME"/>
          <w:r>
            <w:rPr>
              <w:rFonts w:hint="eastAsia"/>
            </w:rPr>
            <w:t>取水计量在线监测设施运行维护规程</w:t>
          </w:r>
        </w:p>
      </w:sdtContent>
    </w:sdt>
    <w:bookmarkEnd w:id="24"/>
    <w:p w14:paraId="5A67579C">
      <w:pPr>
        <w:pStyle w:val="108"/>
        <w:spacing w:before="312" w:after="312" w:line="240" w:lineRule="auto"/>
        <w:rPr>
          <w:szCs w:val="21"/>
        </w:rPr>
      </w:pPr>
      <w:bookmarkStart w:id="25" w:name="_Toc26986771"/>
      <w:bookmarkStart w:id="26" w:name="_Toc26718930"/>
      <w:bookmarkStart w:id="27" w:name="_Toc26648465"/>
      <w:bookmarkStart w:id="28" w:name="_Toc24884218"/>
      <w:bookmarkStart w:id="29" w:name="_Toc97191423"/>
      <w:bookmarkStart w:id="30" w:name="_Toc17233325"/>
      <w:bookmarkStart w:id="31" w:name="_Toc24884211"/>
      <w:bookmarkStart w:id="32" w:name="_Toc26986530"/>
      <w:bookmarkStart w:id="33" w:name="_Toc17233333"/>
      <w:bookmarkStart w:id="34" w:name="_Toc240896212"/>
      <w:r>
        <w:rPr>
          <w:rFonts w:hint="eastAsia"/>
          <w:szCs w:val="21"/>
        </w:rPr>
        <w:t>范围</w:t>
      </w:r>
      <w:bookmarkEnd w:id="25"/>
      <w:bookmarkEnd w:id="26"/>
      <w:bookmarkEnd w:id="27"/>
      <w:bookmarkEnd w:id="28"/>
      <w:bookmarkEnd w:id="29"/>
      <w:bookmarkEnd w:id="30"/>
      <w:bookmarkEnd w:id="31"/>
      <w:bookmarkEnd w:id="32"/>
      <w:bookmarkEnd w:id="33"/>
      <w:bookmarkEnd w:id="34"/>
    </w:p>
    <w:p w14:paraId="4998EE03">
      <w:pPr>
        <w:pStyle w:val="60"/>
        <w:spacing w:after="0" w:line="240" w:lineRule="auto"/>
        <w:ind w:firstLine="420"/>
      </w:pPr>
      <w:bookmarkStart w:id="35" w:name="OLE_LINK41"/>
      <w:bookmarkStart w:id="36" w:name="_Toc17233326"/>
      <w:bookmarkStart w:id="37" w:name="_Toc26648466"/>
      <w:bookmarkStart w:id="38" w:name="_Toc17233334"/>
      <w:bookmarkStart w:id="39" w:name="_Toc24884212"/>
      <w:bookmarkStart w:id="40" w:name="_Toc24884219"/>
      <w:r>
        <w:rPr>
          <w:rFonts w:hint="eastAsia"/>
        </w:rPr>
        <w:t>本文件规定了取水计量在线监测设施运行维护、数据管理、故障处置与应急响应、档案管理的要求。</w:t>
      </w:r>
    </w:p>
    <w:p w14:paraId="0AEFC9FA">
      <w:pPr>
        <w:pStyle w:val="60"/>
        <w:spacing w:after="0" w:line="240" w:lineRule="auto"/>
        <w:ind w:firstLine="420"/>
      </w:pPr>
      <w:r>
        <w:rPr>
          <w:rFonts w:hint="eastAsia"/>
        </w:rPr>
        <w:t>本文件适用于上海市非农取水计量在线监测设施的运行维护和监督管理。</w:t>
      </w:r>
    </w:p>
    <w:bookmarkEnd w:id="35"/>
    <w:p w14:paraId="2C2429FA">
      <w:pPr>
        <w:pStyle w:val="108"/>
        <w:spacing w:before="312" w:after="312" w:line="240" w:lineRule="auto"/>
        <w:rPr>
          <w:szCs w:val="21"/>
        </w:rPr>
      </w:pPr>
      <w:bookmarkStart w:id="41" w:name="_Toc240896213"/>
      <w:bookmarkStart w:id="42" w:name="_Toc26986531"/>
      <w:bookmarkStart w:id="43" w:name="_Toc26718931"/>
      <w:bookmarkStart w:id="44" w:name="_Toc26986772"/>
      <w:bookmarkStart w:id="45" w:name="_Toc97191424"/>
      <w:r>
        <w:rPr>
          <w:rFonts w:hint="eastAsia"/>
          <w:szCs w:val="21"/>
        </w:rPr>
        <w:t>规范性引用文件</w:t>
      </w:r>
      <w:bookmarkEnd w:id="36"/>
      <w:bookmarkEnd w:id="37"/>
      <w:bookmarkEnd w:id="38"/>
      <w:bookmarkEnd w:id="39"/>
      <w:bookmarkEnd w:id="40"/>
      <w:bookmarkEnd w:id="41"/>
      <w:bookmarkEnd w:id="42"/>
      <w:bookmarkEnd w:id="43"/>
      <w:bookmarkEnd w:id="44"/>
      <w:bookmarkEnd w:id="45"/>
    </w:p>
    <w:sdt>
      <w:sdtPr>
        <w:rPr>
          <w:rFonts w:hint="eastAsia"/>
        </w:rPr>
        <w:id w:val="715848253"/>
        <w:placeholder>
          <w:docPart w:val="96880BD152624050B5B36B184EA38AB7"/>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14:paraId="026B3178">
          <w:pPr>
            <w:pStyle w:val="60"/>
            <w:spacing w:after="0" w:line="240" w:lineRule="auto"/>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194F49B1">
      <w:pPr>
        <w:pStyle w:val="60"/>
        <w:spacing w:after="0" w:line="240" w:lineRule="auto"/>
        <w:ind w:firstLine="420"/>
      </w:pPr>
      <w:r>
        <w:rPr>
          <w:rFonts w:hint="eastAsia"/>
        </w:rPr>
        <w:t>GB/T 28714  取水计量技术导则</w:t>
      </w:r>
    </w:p>
    <w:p w14:paraId="006B113C">
      <w:pPr>
        <w:pStyle w:val="60"/>
        <w:spacing w:after="0" w:line="240" w:lineRule="auto"/>
        <w:ind w:firstLine="420"/>
      </w:pPr>
      <w:r>
        <w:t>JJF 221</w:t>
      </w:r>
      <w:r>
        <w:rPr>
          <w:rFonts w:hint="eastAsia"/>
        </w:rPr>
        <w:t>0</w:t>
      </w:r>
      <w:r>
        <w:t xml:space="preserve"> </w:t>
      </w:r>
      <w:r>
        <w:rPr>
          <w:rFonts w:hint="eastAsia"/>
        </w:rPr>
        <w:t xml:space="preserve"> 取水计量数据质量控制技术规范</w:t>
      </w:r>
    </w:p>
    <w:p w14:paraId="3A7142DE">
      <w:pPr>
        <w:pStyle w:val="60"/>
        <w:spacing w:after="0" w:line="240" w:lineRule="auto"/>
        <w:ind w:firstLine="420"/>
      </w:pPr>
      <w:r>
        <w:t>JJF 22</w:t>
      </w:r>
      <w:r>
        <w:rPr>
          <w:rFonts w:hint="eastAsia"/>
        </w:rPr>
        <w:t>45</w:t>
      </w:r>
      <w:r>
        <w:t xml:space="preserve"> </w:t>
      </w:r>
      <w:r>
        <w:rPr>
          <w:rFonts w:hint="eastAsia"/>
        </w:rPr>
        <w:t xml:space="preserve"> 取用水计量和传输设施运行维护规范</w:t>
      </w:r>
    </w:p>
    <w:p w14:paraId="1E057CEE">
      <w:pPr>
        <w:pStyle w:val="60"/>
        <w:spacing w:after="0" w:line="240" w:lineRule="auto"/>
        <w:ind w:firstLine="420"/>
      </w:pPr>
      <w:r>
        <w:t>SL</w:t>
      </w:r>
      <w:r>
        <w:rPr>
          <w:rFonts w:hint="eastAsia"/>
        </w:rPr>
        <w:t>/T</w:t>
      </w:r>
      <w:r>
        <w:t xml:space="preserve"> 715 </w:t>
      </w:r>
      <w:r>
        <w:rPr>
          <w:rFonts w:hint="eastAsia"/>
        </w:rPr>
        <w:t xml:space="preserve"> </w:t>
      </w:r>
      <w:r>
        <w:t>水利信息系统运行维护规范</w:t>
      </w:r>
    </w:p>
    <w:p w14:paraId="2EBCB4F2">
      <w:pPr>
        <w:pStyle w:val="108"/>
        <w:spacing w:before="312" w:after="312" w:line="240" w:lineRule="auto"/>
        <w:rPr>
          <w:szCs w:val="21"/>
        </w:rPr>
      </w:pPr>
      <w:bookmarkStart w:id="46" w:name="_Toc97191425"/>
      <w:bookmarkStart w:id="47" w:name="_Toc240896214"/>
      <w:r>
        <w:rPr>
          <w:rFonts w:hint="eastAsia"/>
          <w:szCs w:val="21"/>
        </w:rPr>
        <w:t>术语和定义</w:t>
      </w:r>
      <w:bookmarkEnd w:id="46"/>
      <w:bookmarkEnd w:id="47"/>
    </w:p>
    <w:p w14:paraId="4B16C612">
      <w:pPr>
        <w:pStyle w:val="60"/>
        <w:spacing w:after="0" w:line="240" w:lineRule="auto"/>
        <w:ind w:firstLine="420"/>
        <w:rPr>
          <w:highlight w:val="none"/>
        </w:rPr>
      </w:pPr>
      <w:bookmarkStart w:id="48" w:name="_Toc26986532"/>
      <w:bookmarkEnd w:id="48"/>
      <w:bookmarkStart w:id="49" w:name="OLE_LINK4"/>
      <w:sdt>
        <w:sdtPr>
          <w:rPr>
            <w:rFonts w:hint="eastAsia"/>
            <w:highlight w:val="yellow"/>
          </w:rPr>
          <w:id w:val="-1909835108"/>
          <w:placeholder>
            <w:docPart w:val="4853198DA108483AA16B119431E9988D"/>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rFonts w:hint="eastAsia"/>
            <w:highlight w:val="none"/>
          </w:rPr>
        </w:sdtEndPr>
        <w:sdtContent>
          <w:bookmarkEnd w:id="49"/>
          <w:r>
            <w:rPr>
              <w:rFonts w:hint="eastAsia"/>
              <w:highlight w:val="none"/>
            </w:rPr>
            <w:t>本文件没有需要界定的术语和定义。</w:t>
          </w:r>
        </w:sdtContent>
      </w:sdt>
    </w:p>
    <w:p w14:paraId="168B2D77">
      <w:pPr>
        <w:pStyle w:val="108"/>
        <w:spacing w:before="312" w:after="312" w:line="240" w:lineRule="auto"/>
        <w:rPr>
          <w:szCs w:val="21"/>
          <w:highlight w:val="none"/>
        </w:rPr>
      </w:pPr>
      <w:bookmarkStart w:id="50" w:name="_Toc236061712"/>
      <w:bookmarkEnd w:id="50"/>
      <w:bookmarkStart w:id="51" w:name="_Toc236061711"/>
      <w:bookmarkEnd w:id="51"/>
      <w:bookmarkStart w:id="52" w:name="_Toc236061713"/>
      <w:bookmarkEnd w:id="52"/>
      <w:bookmarkStart w:id="53" w:name="_Toc240896215"/>
      <w:r>
        <w:rPr>
          <w:rFonts w:hint="eastAsia"/>
          <w:szCs w:val="21"/>
          <w:highlight w:val="none"/>
        </w:rPr>
        <w:t>总体要求</w:t>
      </w:r>
      <w:bookmarkEnd w:id="53"/>
    </w:p>
    <w:p w14:paraId="4C85D154">
      <w:pPr>
        <w:pStyle w:val="166"/>
        <w:spacing w:line="240" w:lineRule="auto"/>
        <w:ind w:left="0"/>
        <w:rPr>
          <w:highlight w:val="none"/>
        </w:rPr>
      </w:pPr>
      <w:r>
        <w:rPr>
          <w:rFonts w:hint="eastAsia"/>
          <w:highlight w:val="none"/>
        </w:rPr>
        <w:t>取水计量在线监测设施应包括</w:t>
      </w:r>
      <w:r>
        <w:rPr>
          <w:highlight w:val="none"/>
        </w:rPr>
        <w:t>取水计量监测站点</w:t>
      </w:r>
      <w:r>
        <w:rPr>
          <w:rFonts w:hint="eastAsia"/>
          <w:highlight w:val="none"/>
        </w:rPr>
        <w:t>和系统平台。</w:t>
      </w:r>
      <w:r>
        <w:rPr>
          <w:highlight w:val="none"/>
        </w:rPr>
        <w:t>取水计量在线监测站点</w:t>
      </w:r>
      <w:r>
        <w:rPr>
          <w:rFonts w:hint="eastAsia"/>
          <w:highlight w:val="none"/>
        </w:rPr>
        <w:t>包括</w:t>
      </w:r>
      <w:r>
        <w:rPr>
          <w:highlight w:val="none"/>
        </w:rPr>
        <w:t>取水计量设施（器具）</w:t>
      </w:r>
      <w:r>
        <w:rPr>
          <w:rFonts w:hint="eastAsia"/>
          <w:highlight w:val="none"/>
        </w:rPr>
        <w:t>、遥测终端设备等在线传输设施及其配套装置（供电设施、防护设施）。</w:t>
      </w:r>
      <w:r>
        <w:rPr>
          <w:highlight w:val="none"/>
        </w:rPr>
        <w:t>系统平台</w:t>
      </w:r>
      <w:r>
        <w:rPr>
          <w:rFonts w:hint="eastAsia"/>
          <w:highlight w:val="none"/>
        </w:rPr>
        <w:t>是指用于管</w:t>
      </w:r>
      <w:r>
        <w:rPr>
          <w:highlight w:val="none"/>
        </w:rPr>
        <w:t>理取水计量数据的</w:t>
      </w:r>
      <w:r>
        <w:rPr>
          <w:rFonts w:hint="eastAsia"/>
          <w:highlight w:val="none"/>
        </w:rPr>
        <w:t>系统。</w:t>
      </w:r>
    </w:p>
    <w:p w14:paraId="2A8A46F9">
      <w:pPr>
        <w:pStyle w:val="166"/>
        <w:spacing w:line="240" w:lineRule="auto"/>
        <w:ind w:left="0"/>
      </w:pPr>
      <w:r>
        <w:rPr>
          <w:rFonts w:hint="eastAsia"/>
        </w:rPr>
        <w:t>运行维护工作包括对取水计量在线监测设施的运行维护、数据管理与应用、故障处置与应急响应、档案管理等方面。</w:t>
      </w:r>
    </w:p>
    <w:p w14:paraId="5FE2A4DC">
      <w:pPr>
        <w:pStyle w:val="166"/>
        <w:spacing w:line="240" w:lineRule="auto"/>
        <w:ind w:left="0"/>
        <w:rPr>
          <w:rFonts w:hint="eastAsia" w:ascii="黑体" w:hAnsi="黑体" w:eastAsia="黑体" w:cs="黑体"/>
          <w:highlight w:val="none"/>
        </w:rPr>
      </w:pPr>
      <w:r>
        <w:rPr>
          <w:rFonts w:hint="eastAsia"/>
          <w:highlight w:val="none"/>
        </w:rPr>
        <w:t>运行维护内容包括取水计量监测站点运行状态、通讯状态、供电状态和防护情况，以及系统平台的软件功能。</w:t>
      </w:r>
    </w:p>
    <w:p w14:paraId="3F3E413C">
      <w:pPr>
        <w:pStyle w:val="166"/>
        <w:spacing w:line="240" w:lineRule="auto"/>
        <w:ind w:left="0"/>
        <w:rPr>
          <w:rFonts w:hint="eastAsia" w:ascii="黑体" w:hAnsi="黑体" w:eastAsia="黑体" w:cs="黑体"/>
          <w:highlight w:val="none"/>
        </w:rPr>
      </w:pPr>
      <w:r>
        <w:rPr>
          <w:rFonts w:hint="eastAsia"/>
          <w:highlight w:val="none"/>
        </w:rPr>
        <w:t>运行维护工作应建立相应的管理制度，包括运行维护，数据管理与应用，故障处置与应急响应，档案管理等，排查存在的问题，及时消除故障和安全隐患，确保取水计量在线监测设施正常运行和取水计量监测数据准确、可靠、完整。应建立取水计量在线监测设施运维安全制度，取水计量监测站点运行维护工作应明确高空、临水、电气接线等的操作要求，确保运行维护工作的安全。</w:t>
      </w:r>
    </w:p>
    <w:p w14:paraId="57B13375">
      <w:pPr>
        <w:pStyle w:val="166"/>
        <w:spacing w:line="240" w:lineRule="auto"/>
        <w:ind w:left="0"/>
        <w:rPr>
          <w:rFonts w:hint="eastAsia" w:ascii="黑体" w:hAnsi="黑体" w:eastAsia="黑体" w:cs="黑体"/>
          <w:highlight w:val="none"/>
        </w:rPr>
      </w:pPr>
      <w:r>
        <w:rPr>
          <w:rFonts w:hint="eastAsia"/>
          <w:highlight w:val="none"/>
        </w:rPr>
        <w:t>运行维护工作应配备相应的工作人员对取水计量在线监测设施进行运行维护；配置办公场所及相关的设备和仪器，专门用于开展运维管理工作。配置安全防护用品以及应急器材，并定期检验检查，确保完好无损。</w:t>
      </w:r>
    </w:p>
    <w:p w14:paraId="6CF4F40A">
      <w:pPr>
        <w:pStyle w:val="166"/>
        <w:ind w:left="0"/>
        <w:rPr>
          <w:highlight w:val="none"/>
        </w:rPr>
      </w:pPr>
      <w:r>
        <w:rPr>
          <w:rFonts w:hint="eastAsia"/>
          <w:highlight w:val="none"/>
        </w:rPr>
        <w:t>运行维护工作应制定工作方案，并建立取水计量在线监测站点管理台账，记录取水计量监测站点基本信息，格式见附录A。</w:t>
      </w:r>
      <w:r>
        <w:rPr>
          <w:highlight w:val="none"/>
        </w:rPr>
        <w:t>取用水监测站</w:t>
      </w:r>
      <w:r>
        <w:rPr>
          <w:rFonts w:hint="eastAsia"/>
          <w:highlight w:val="none"/>
        </w:rPr>
        <w:t>点</w:t>
      </w:r>
      <w:r>
        <w:rPr>
          <w:highlight w:val="none"/>
        </w:rPr>
        <w:t>信息发生变化或计量设施更换后，应及时更新。</w:t>
      </w:r>
    </w:p>
    <w:p w14:paraId="19A56C55">
      <w:pPr>
        <w:pStyle w:val="108"/>
        <w:spacing w:before="312" w:after="312" w:line="240" w:lineRule="auto"/>
        <w:rPr>
          <w:szCs w:val="21"/>
        </w:rPr>
      </w:pPr>
      <w:bookmarkStart w:id="54" w:name="_Toc240896216"/>
      <w:bookmarkStart w:id="55" w:name="_Toc114220552"/>
      <w:r>
        <w:rPr>
          <w:rFonts w:hint="eastAsia"/>
          <w:szCs w:val="21"/>
        </w:rPr>
        <w:t>取水计量监测站点运行维护</w:t>
      </w:r>
      <w:bookmarkEnd w:id="54"/>
    </w:p>
    <w:bookmarkEnd w:id="23"/>
    <w:bookmarkEnd w:id="55"/>
    <w:p w14:paraId="09F469F4">
      <w:pPr>
        <w:pStyle w:val="166"/>
        <w:spacing w:line="240" w:lineRule="auto"/>
        <w:ind w:left="0"/>
        <w:rPr>
          <w:highlight w:val="none"/>
        </w:rPr>
      </w:pPr>
      <w:bookmarkStart w:id="56" w:name="OLE_LINK16"/>
      <w:r>
        <w:rPr>
          <w:rFonts w:hint="eastAsia"/>
          <w:highlight w:val="none"/>
        </w:rPr>
        <w:t>每个取水计量监测站点应至少每季度开展一次现场巡检维护</w:t>
      </w:r>
      <w:bookmarkEnd w:id="56"/>
      <w:r>
        <w:rPr>
          <w:rFonts w:hint="eastAsia"/>
          <w:highlight w:val="none"/>
        </w:rPr>
        <w:t>，间隔时间应结合取用水实际和取水计量监测站点情况确定。遭遇台风、超标准暴雨等极端天气后，应及时巡检维护。</w:t>
      </w:r>
    </w:p>
    <w:p w14:paraId="00915F61">
      <w:pPr>
        <w:pStyle w:val="166"/>
        <w:spacing w:line="240" w:lineRule="auto"/>
        <w:ind w:left="0"/>
        <w:rPr>
          <w:highlight w:val="none"/>
        </w:rPr>
      </w:pPr>
      <w:r>
        <w:rPr>
          <w:rFonts w:hint="eastAsia"/>
          <w:highlight w:val="none"/>
        </w:rPr>
        <w:t>现场巡检时单次单点应至少配备两名巡检人员。</w:t>
      </w:r>
    </w:p>
    <w:p w14:paraId="6404C661">
      <w:pPr>
        <w:pStyle w:val="166"/>
        <w:spacing w:line="240" w:lineRule="auto"/>
        <w:ind w:left="0"/>
        <w:rPr>
          <w:highlight w:val="none"/>
        </w:rPr>
      </w:pPr>
      <w:r>
        <w:rPr>
          <w:rFonts w:hint="eastAsia"/>
          <w:highlight w:val="none"/>
        </w:rPr>
        <w:t>现场巡检应全面检查</w:t>
      </w:r>
      <w:r>
        <w:rPr>
          <w:highlight w:val="none"/>
        </w:rPr>
        <w:t>取水计量监测站点</w:t>
      </w:r>
      <w:r>
        <w:rPr>
          <w:rFonts w:hint="eastAsia"/>
          <w:highlight w:val="none"/>
        </w:rPr>
        <w:t>的运行状态和工作环境，排查存在的问题，及时消除故障和安全隐患，确保其安全稳定运行，并填写《取水计量监测站点巡检维护记录表》（附录B）。</w:t>
      </w:r>
    </w:p>
    <w:p w14:paraId="263B75A5">
      <w:pPr>
        <w:pStyle w:val="166"/>
        <w:spacing w:line="240" w:lineRule="auto"/>
        <w:ind w:left="0"/>
        <w:rPr>
          <w:highlight w:val="none"/>
        </w:rPr>
      </w:pPr>
      <w:r>
        <w:rPr>
          <w:rFonts w:hint="eastAsia"/>
          <w:highlight w:val="none"/>
        </w:rPr>
        <w:t>对巡检发现的问题应尽快处理恢复，属于故障时，按照“故障处置与应急响应”，及时进行故障处置。</w:t>
      </w:r>
    </w:p>
    <w:p w14:paraId="3CB0DE16">
      <w:pPr>
        <w:pStyle w:val="166"/>
        <w:spacing w:line="240" w:lineRule="auto"/>
        <w:ind w:left="0"/>
        <w:rPr>
          <w:highlight w:val="none"/>
        </w:rPr>
      </w:pPr>
      <w:r>
        <w:rPr>
          <w:rFonts w:hint="eastAsia"/>
          <w:highlight w:val="none"/>
        </w:rPr>
        <w:t>检查</w:t>
      </w:r>
      <w:r>
        <w:rPr>
          <w:highlight w:val="none"/>
        </w:rPr>
        <w:t>取水计量设施（器具）</w:t>
      </w:r>
      <w:r>
        <w:rPr>
          <w:rFonts w:hint="eastAsia"/>
          <w:highlight w:val="none"/>
        </w:rPr>
        <w:t>运行状态，主要内容包括：</w:t>
      </w:r>
    </w:p>
    <w:p w14:paraId="6D911063">
      <w:pPr>
        <w:pStyle w:val="169"/>
        <w:numPr>
          <w:ilvl w:val="0"/>
          <w:numId w:val="32"/>
        </w:numPr>
        <w:spacing w:line="240" w:lineRule="auto"/>
        <w:ind w:left="420"/>
        <w:rPr>
          <w:highlight w:val="none"/>
        </w:rPr>
      </w:pPr>
      <w:r>
        <w:rPr>
          <w:rFonts w:hint="eastAsia"/>
          <w:highlight w:val="none"/>
        </w:rPr>
        <w:t>显示屏应正常显示，无跳数、卡死、归零、负值等异常；</w:t>
      </w:r>
    </w:p>
    <w:p w14:paraId="18F46B9B">
      <w:pPr>
        <w:pStyle w:val="169"/>
        <w:numPr>
          <w:ilvl w:val="0"/>
          <w:numId w:val="32"/>
        </w:numPr>
        <w:spacing w:line="240" w:lineRule="auto"/>
        <w:ind w:left="420"/>
        <w:rPr>
          <w:highlight w:val="none"/>
        </w:rPr>
      </w:pPr>
      <w:r>
        <w:rPr>
          <w:rFonts w:hint="eastAsia"/>
          <w:highlight w:val="none"/>
        </w:rPr>
        <w:t>安装应稳定牢固，无漏水；</w:t>
      </w:r>
    </w:p>
    <w:p w14:paraId="1BD051A8">
      <w:pPr>
        <w:pStyle w:val="169"/>
        <w:numPr>
          <w:ilvl w:val="0"/>
          <w:numId w:val="32"/>
        </w:numPr>
        <w:spacing w:line="240" w:lineRule="auto"/>
        <w:ind w:left="420"/>
        <w:rPr>
          <w:highlight w:val="none"/>
        </w:rPr>
      </w:pPr>
      <w:r>
        <w:rPr>
          <w:rFonts w:hint="eastAsia"/>
          <w:highlight w:val="none"/>
        </w:rPr>
        <w:t>外观应无破损、变形、脏污；</w:t>
      </w:r>
    </w:p>
    <w:p w14:paraId="21D96C14">
      <w:pPr>
        <w:pStyle w:val="169"/>
        <w:numPr>
          <w:ilvl w:val="0"/>
          <w:numId w:val="32"/>
        </w:numPr>
        <w:spacing w:line="240" w:lineRule="auto"/>
        <w:ind w:left="420"/>
        <w:rPr>
          <w:highlight w:val="none"/>
        </w:rPr>
      </w:pPr>
      <w:r>
        <w:rPr>
          <w:rFonts w:hint="eastAsia"/>
          <w:highlight w:val="none"/>
        </w:rPr>
        <w:t>标识应完整、清晰；</w:t>
      </w:r>
    </w:p>
    <w:p w14:paraId="2D141123">
      <w:pPr>
        <w:pStyle w:val="169"/>
        <w:numPr>
          <w:ilvl w:val="0"/>
          <w:numId w:val="32"/>
        </w:numPr>
        <w:spacing w:line="240" w:lineRule="auto"/>
        <w:ind w:left="420"/>
        <w:rPr>
          <w:highlight w:val="none"/>
        </w:rPr>
      </w:pPr>
      <w:r>
        <w:rPr>
          <w:rFonts w:hint="eastAsia"/>
          <w:highlight w:val="none"/>
        </w:rPr>
        <w:t>检定/校准应在有效期内，检定/校准周期应满足</w:t>
      </w:r>
      <w:r>
        <w:rPr>
          <w:highlight w:val="none"/>
        </w:rPr>
        <w:t>GB/T 28714</w:t>
      </w:r>
      <w:r>
        <w:rPr>
          <w:rFonts w:hint="eastAsia"/>
          <w:highlight w:val="none"/>
        </w:rPr>
        <w:t>的规定；</w:t>
      </w:r>
    </w:p>
    <w:p w14:paraId="20A9F34A">
      <w:pPr>
        <w:pStyle w:val="169"/>
        <w:numPr>
          <w:ilvl w:val="0"/>
          <w:numId w:val="32"/>
        </w:numPr>
        <w:spacing w:line="240" w:lineRule="auto"/>
        <w:ind w:left="420"/>
        <w:rPr>
          <w:highlight w:val="none"/>
        </w:rPr>
      </w:pPr>
      <w:bookmarkStart w:id="57" w:name="OLE_LINK31"/>
      <w:r>
        <w:rPr>
          <w:rFonts w:hint="eastAsia"/>
          <w:highlight w:val="none"/>
        </w:rPr>
        <w:t>外夹式</w:t>
      </w:r>
      <w:r>
        <w:rPr>
          <w:highlight w:val="none"/>
        </w:rPr>
        <w:t>超声波流量计</w:t>
      </w:r>
      <w:r>
        <w:rPr>
          <w:rFonts w:hint="eastAsia"/>
          <w:highlight w:val="none"/>
        </w:rPr>
        <w:t>探头与管壁应充分</w:t>
      </w:r>
      <w:r>
        <w:rPr>
          <w:highlight w:val="none"/>
        </w:rPr>
        <w:t>耦合</w:t>
      </w:r>
      <w:r>
        <w:rPr>
          <w:rFonts w:hint="eastAsia"/>
          <w:highlight w:val="none"/>
        </w:rPr>
        <w:t>，无</w:t>
      </w:r>
      <w:r>
        <w:rPr>
          <w:highlight w:val="none"/>
        </w:rPr>
        <w:t>缺失、干裂、脱落</w:t>
      </w:r>
      <w:bookmarkEnd w:id="57"/>
      <w:r>
        <w:rPr>
          <w:rFonts w:hint="eastAsia"/>
          <w:highlight w:val="none"/>
        </w:rPr>
        <w:t>等。</w:t>
      </w:r>
    </w:p>
    <w:p w14:paraId="28CA4BFF">
      <w:pPr>
        <w:pStyle w:val="166"/>
        <w:spacing w:line="240" w:lineRule="auto"/>
        <w:ind w:left="0"/>
        <w:rPr>
          <w:highlight w:val="none"/>
        </w:rPr>
      </w:pPr>
      <w:r>
        <w:rPr>
          <w:rFonts w:hint="eastAsia"/>
          <w:highlight w:val="none"/>
        </w:rPr>
        <w:t>检查</w:t>
      </w:r>
      <w:bookmarkStart w:id="58" w:name="OLE_LINK7"/>
      <w:r>
        <w:rPr>
          <w:rFonts w:hint="eastAsia"/>
          <w:highlight w:val="none"/>
        </w:rPr>
        <w:t>遥测终端</w:t>
      </w:r>
      <w:bookmarkEnd w:id="58"/>
      <w:r>
        <w:rPr>
          <w:rFonts w:hint="eastAsia"/>
          <w:highlight w:val="none"/>
        </w:rPr>
        <w:t>设备通讯状态，主要内容包括：</w:t>
      </w:r>
    </w:p>
    <w:p w14:paraId="1D09FE97">
      <w:pPr>
        <w:pStyle w:val="169"/>
        <w:numPr>
          <w:ilvl w:val="0"/>
          <w:numId w:val="33"/>
        </w:numPr>
        <w:spacing w:line="240" w:lineRule="auto"/>
        <w:ind w:left="420"/>
        <w:rPr>
          <w:highlight w:val="none"/>
        </w:rPr>
      </w:pPr>
      <w:r>
        <w:rPr>
          <w:rFonts w:hint="eastAsia"/>
          <w:highlight w:val="none"/>
        </w:rPr>
        <w:t>遥测终端数据应与取水计量设施（器具）数据、系统平台数据一致；</w:t>
      </w:r>
    </w:p>
    <w:p w14:paraId="73D246EE">
      <w:pPr>
        <w:pStyle w:val="169"/>
        <w:numPr>
          <w:ilvl w:val="0"/>
          <w:numId w:val="33"/>
        </w:numPr>
        <w:spacing w:line="240" w:lineRule="auto"/>
        <w:ind w:left="420"/>
        <w:rPr>
          <w:highlight w:val="none"/>
        </w:rPr>
      </w:pPr>
      <w:r>
        <w:rPr>
          <w:rFonts w:hint="eastAsia"/>
          <w:highlight w:val="none"/>
        </w:rPr>
        <w:t>遥测终端各类通信接口应正确可靠连接；</w:t>
      </w:r>
    </w:p>
    <w:p w14:paraId="1D4CDE21">
      <w:pPr>
        <w:pStyle w:val="169"/>
        <w:numPr>
          <w:ilvl w:val="0"/>
          <w:numId w:val="33"/>
        </w:numPr>
        <w:spacing w:line="240" w:lineRule="auto"/>
        <w:ind w:left="420"/>
        <w:rPr>
          <w:highlight w:val="none"/>
        </w:rPr>
      </w:pPr>
      <w:r>
        <w:rPr>
          <w:rFonts w:hint="eastAsia"/>
          <w:highlight w:val="none"/>
        </w:rPr>
        <w:t>遥测终端应与系统平台通讯正常</w:t>
      </w:r>
      <w:bookmarkStart w:id="59" w:name="OLE_LINK5"/>
      <w:r>
        <w:rPr>
          <w:rFonts w:hint="eastAsia"/>
          <w:highlight w:val="none"/>
        </w:rPr>
        <w:t>；</w:t>
      </w:r>
    </w:p>
    <w:bookmarkEnd w:id="59"/>
    <w:p w14:paraId="20343B2B">
      <w:pPr>
        <w:pStyle w:val="169"/>
        <w:numPr>
          <w:ilvl w:val="0"/>
          <w:numId w:val="33"/>
        </w:numPr>
        <w:spacing w:line="240" w:lineRule="auto"/>
        <w:ind w:left="420"/>
        <w:rPr>
          <w:highlight w:val="none"/>
        </w:rPr>
      </w:pPr>
      <w:r>
        <w:rPr>
          <w:rFonts w:hint="eastAsia"/>
          <w:highlight w:val="none"/>
        </w:rPr>
        <w:t>通讯卡应正常，无丢失、欠费或被停机、注销等。</w:t>
      </w:r>
    </w:p>
    <w:p w14:paraId="57CBD118">
      <w:pPr>
        <w:pStyle w:val="166"/>
        <w:spacing w:line="240" w:lineRule="auto"/>
        <w:ind w:left="0"/>
        <w:rPr>
          <w:highlight w:val="none"/>
        </w:rPr>
      </w:pPr>
      <w:r>
        <w:rPr>
          <w:rFonts w:hint="eastAsia"/>
          <w:highlight w:val="none"/>
        </w:rPr>
        <w:t>检查供电系统运行状态，主要内容包括：</w:t>
      </w:r>
    </w:p>
    <w:p w14:paraId="41215FEF">
      <w:pPr>
        <w:pStyle w:val="169"/>
        <w:numPr>
          <w:ilvl w:val="0"/>
          <w:numId w:val="34"/>
        </w:numPr>
        <w:spacing w:line="240" w:lineRule="auto"/>
        <w:ind w:left="420"/>
        <w:rPr>
          <w:highlight w:val="none"/>
        </w:rPr>
      </w:pPr>
      <w:r>
        <w:rPr>
          <w:rFonts w:hint="eastAsia"/>
          <w:highlight w:val="none"/>
        </w:rPr>
        <w:t>电源输入、电源适配器、开关电源、充电控制器、蓄电池等各模块接线应规范，无松动、脱焊，各模块指示灯应正常闪烁，使用万用表逐个检查各模块电压；</w:t>
      </w:r>
    </w:p>
    <w:p w14:paraId="386A21FA">
      <w:pPr>
        <w:pStyle w:val="169"/>
        <w:numPr>
          <w:ilvl w:val="0"/>
          <w:numId w:val="34"/>
        </w:numPr>
        <w:spacing w:line="240" w:lineRule="auto"/>
        <w:ind w:left="420"/>
        <w:rPr>
          <w:highlight w:val="none"/>
        </w:rPr>
      </w:pPr>
      <w:r>
        <w:rPr>
          <w:rFonts w:hint="eastAsia"/>
          <w:highlight w:val="none"/>
        </w:rPr>
        <w:t>太阳能供电板（如有）应完好、清洁、无遮挡；</w:t>
      </w:r>
    </w:p>
    <w:p w14:paraId="35D66268">
      <w:pPr>
        <w:pStyle w:val="169"/>
        <w:numPr>
          <w:ilvl w:val="0"/>
          <w:numId w:val="34"/>
        </w:numPr>
        <w:spacing w:line="240" w:lineRule="auto"/>
        <w:ind w:left="420"/>
        <w:rPr>
          <w:highlight w:val="none"/>
        </w:rPr>
      </w:pPr>
      <w:r>
        <w:rPr>
          <w:rFonts w:hint="eastAsia"/>
          <w:highlight w:val="none"/>
        </w:rPr>
        <w:t>蓄电池（如有）表面应清洁；</w:t>
      </w:r>
    </w:p>
    <w:p w14:paraId="7C8A1049">
      <w:pPr>
        <w:pStyle w:val="169"/>
        <w:numPr>
          <w:ilvl w:val="0"/>
          <w:numId w:val="34"/>
        </w:numPr>
        <w:spacing w:line="240" w:lineRule="auto"/>
        <w:ind w:left="420"/>
        <w:rPr>
          <w:highlight w:val="none"/>
        </w:rPr>
      </w:pPr>
      <w:r>
        <w:rPr>
          <w:rFonts w:hint="eastAsia"/>
          <w:highlight w:val="none"/>
        </w:rPr>
        <w:t>切断交流电状态下太阳能供电系统（如有）、蓄电池供电系统（如有）应能正常给电。</w:t>
      </w:r>
    </w:p>
    <w:p w14:paraId="4ACF559E">
      <w:pPr>
        <w:pStyle w:val="166"/>
        <w:spacing w:line="240" w:lineRule="auto"/>
        <w:ind w:left="0"/>
        <w:rPr>
          <w:highlight w:val="none"/>
        </w:rPr>
      </w:pPr>
      <w:r>
        <w:rPr>
          <w:rFonts w:hint="eastAsia"/>
          <w:highlight w:val="none"/>
        </w:rPr>
        <w:t>检查取水计量监测站点整体防护情况，主要内容包括：</w:t>
      </w:r>
    </w:p>
    <w:p w14:paraId="781060FE">
      <w:pPr>
        <w:pStyle w:val="169"/>
        <w:numPr>
          <w:ilvl w:val="0"/>
          <w:numId w:val="35"/>
        </w:numPr>
        <w:spacing w:line="240" w:lineRule="auto"/>
        <w:ind w:left="420"/>
        <w:rPr>
          <w:highlight w:val="none"/>
        </w:rPr>
      </w:pPr>
      <w:r>
        <w:rPr>
          <w:rFonts w:hint="eastAsia"/>
          <w:highlight w:val="none"/>
        </w:rPr>
        <w:t>所处环境无变化；</w:t>
      </w:r>
    </w:p>
    <w:p w14:paraId="12759D35">
      <w:pPr>
        <w:pStyle w:val="169"/>
        <w:numPr>
          <w:ilvl w:val="0"/>
          <w:numId w:val="35"/>
        </w:numPr>
        <w:spacing w:line="240" w:lineRule="auto"/>
        <w:ind w:left="420"/>
        <w:rPr>
          <w:highlight w:val="none"/>
        </w:rPr>
      </w:pPr>
      <w:r>
        <w:rPr>
          <w:rFonts w:hint="eastAsia"/>
          <w:highlight w:val="none"/>
        </w:rPr>
        <w:t>设备保护机箱、仪表保护壳、地下仪表井等仪表防护箱体外观应完好，无淤积、淤埋；</w:t>
      </w:r>
    </w:p>
    <w:p w14:paraId="599037DD">
      <w:pPr>
        <w:pStyle w:val="169"/>
        <w:numPr>
          <w:ilvl w:val="0"/>
          <w:numId w:val="35"/>
        </w:numPr>
        <w:spacing w:line="240" w:lineRule="auto"/>
        <w:ind w:left="420"/>
        <w:rPr>
          <w:highlight w:val="none"/>
        </w:rPr>
      </w:pPr>
      <w:r>
        <w:rPr>
          <w:rFonts w:hint="eastAsia"/>
          <w:highlight w:val="none"/>
        </w:rPr>
        <w:t>连接线缆保护套应完好；</w:t>
      </w:r>
    </w:p>
    <w:p w14:paraId="28988878">
      <w:pPr>
        <w:pStyle w:val="169"/>
        <w:numPr>
          <w:ilvl w:val="0"/>
          <w:numId w:val="35"/>
        </w:numPr>
        <w:spacing w:line="240" w:lineRule="auto"/>
        <w:ind w:left="420"/>
        <w:rPr>
          <w:highlight w:val="none"/>
        </w:rPr>
      </w:pPr>
      <w:r>
        <w:rPr>
          <w:rFonts w:hint="eastAsia"/>
          <w:highlight w:val="none"/>
        </w:rPr>
        <w:t>采用公共电网供电的，接地线连接应牢固可靠，无断裂、松脱；</w:t>
      </w:r>
    </w:p>
    <w:p w14:paraId="1ABC572F">
      <w:pPr>
        <w:pStyle w:val="169"/>
        <w:numPr>
          <w:ilvl w:val="0"/>
          <w:numId w:val="35"/>
        </w:numPr>
        <w:spacing w:line="240" w:lineRule="auto"/>
        <w:ind w:left="420"/>
        <w:rPr>
          <w:highlight w:val="none"/>
        </w:rPr>
      </w:pPr>
      <w:r>
        <w:rPr>
          <w:rFonts w:hint="eastAsia"/>
          <w:highlight w:val="none"/>
        </w:rPr>
        <w:t>电</w:t>
      </w:r>
      <w:r>
        <w:rPr>
          <w:highlight w:val="none"/>
        </w:rPr>
        <w:t>涌保护器</w:t>
      </w:r>
      <w:r>
        <w:rPr>
          <w:rFonts w:hint="eastAsia"/>
          <w:highlight w:val="none"/>
        </w:rPr>
        <w:t>、避雷针等避雷单元（如有）应正常；</w:t>
      </w:r>
    </w:p>
    <w:p w14:paraId="5896E561">
      <w:pPr>
        <w:pStyle w:val="169"/>
        <w:numPr>
          <w:ilvl w:val="0"/>
          <w:numId w:val="35"/>
        </w:numPr>
        <w:spacing w:line="240" w:lineRule="auto"/>
        <w:ind w:left="420"/>
        <w:rPr>
          <w:highlight w:val="none"/>
        </w:rPr>
      </w:pPr>
      <w:r>
        <w:rPr>
          <w:rFonts w:hint="eastAsia"/>
          <w:highlight w:val="none"/>
        </w:rPr>
        <w:t>重复接地体（如有）应牢固，无断裂、松脱等；测量重复接地体电阻，接地电阻应小于10Ω。</w:t>
      </w:r>
    </w:p>
    <w:p w14:paraId="4150A814">
      <w:pPr>
        <w:pStyle w:val="108"/>
        <w:spacing w:before="312" w:after="312" w:line="240" w:lineRule="auto"/>
        <w:rPr>
          <w:rFonts w:hint="eastAsia" w:hAnsi="黑体" w:cs="黑体"/>
          <w:highlight w:val="none"/>
        </w:rPr>
      </w:pPr>
      <w:bookmarkStart w:id="60" w:name="_Toc240896217"/>
      <w:r>
        <w:rPr>
          <w:rFonts w:hint="eastAsia" w:hAnsi="黑体" w:cs="黑体"/>
          <w:highlight w:val="none"/>
        </w:rPr>
        <w:t>系统平台</w:t>
      </w:r>
      <w:r>
        <w:rPr>
          <w:rFonts w:hAnsi="黑体" w:cs="黑体"/>
          <w:highlight w:val="none"/>
        </w:rPr>
        <w:t>运行维护</w:t>
      </w:r>
      <w:bookmarkEnd w:id="60"/>
    </w:p>
    <w:p w14:paraId="158DC259">
      <w:pPr>
        <w:pStyle w:val="166"/>
        <w:spacing w:line="240" w:lineRule="auto"/>
        <w:ind w:left="0"/>
        <w:rPr>
          <w:highlight w:val="none"/>
        </w:rPr>
      </w:pPr>
      <w:r>
        <w:rPr>
          <w:rFonts w:hint="eastAsia"/>
          <w:highlight w:val="none"/>
        </w:rPr>
        <w:t>每日检查系统平台的运行状态，主要包括：</w:t>
      </w:r>
    </w:p>
    <w:p w14:paraId="32A34C66">
      <w:pPr>
        <w:pStyle w:val="169"/>
        <w:numPr>
          <w:ilvl w:val="0"/>
          <w:numId w:val="36"/>
        </w:numPr>
        <w:spacing w:line="240" w:lineRule="auto"/>
        <w:ind w:left="420"/>
        <w:rPr>
          <w:highlight w:val="none"/>
        </w:rPr>
      </w:pPr>
      <w:r>
        <w:rPr>
          <w:rFonts w:hint="eastAsia"/>
          <w:highlight w:val="none"/>
        </w:rPr>
        <w:t>当日数据接收情况，检查接收数据的到报率、完整率；</w:t>
      </w:r>
    </w:p>
    <w:p w14:paraId="22B816CC">
      <w:pPr>
        <w:pStyle w:val="169"/>
        <w:numPr>
          <w:ilvl w:val="0"/>
          <w:numId w:val="36"/>
        </w:numPr>
        <w:spacing w:line="240" w:lineRule="auto"/>
        <w:ind w:left="420"/>
        <w:rPr>
          <w:highlight w:val="none"/>
        </w:rPr>
      </w:pPr>
      <w:r>
        <w:rPr>
          <w:rFonts w:hint="eastAsia"/>
          <w:highlight w:val="none"/>
        </w:rPr>
        <w:t>各功能模块运行情况；</w:t>
      </w:r>
    </w:p>
    <w:p w14:paraId="0B4F5306">
      <w:pPr>
        <w:pStyle w:val="169"/>
        <w:numPr>
          <w:ilvl w:val="0"/>
          <w:numId w:val="36"/>
        </w:numPr>
        <w:spacing w:line="240" w:lineRule="auto"/>
        <w:ind w:left="420"/>
      </w:pPr>
      <w:r>
        <w:rPr>
          <w:rFonts w:hint="eastAsia"/>
        </w:rPr>
        <w:t>系统报错情况；</w:t>
      </w:r>
    </w:p>
    <w:p w14:paraId="7D30C885">
      <w:pPr>
        <w:pStyle w:val="169"/>
        <w:numPr>
          <w:ilvl w:val="0"/>
          <w:numId w:val="36"/>
        </w:numPr>
        <w:spacing w:line="240" w:lineRule="auto"/>
        <w:ind w:left="420"/>
      </w:pPr>
      <w:r>
        <w:rPr>
          <w:rFonts w:hint="eastAsia"/>
        </w:rPr>
        <w:t>与各相关平台的数据接口情况。</w:t>
      </w:r>
    </w:p>
    <w:p w14:paraId="5389911F">
      <w:pPr>
        <w:pStyle w:val="166"/>
        <w:spacing w:line="240" w:lineRule="auto"/>
        <w:ind w:left="0"/>
      </w:pPr>
      <w:r>
        <w:rPr>
          <w:rFonts w:hint="eastAsia"/>
        </w:rPr>
        <w:t>发现系统平台存在故障时，应尽快查明原因并排除，重大故障应及时上报。</w:t>
      </w:r>
    </w:p>
    <w:p w14:paraId="4E4CE839">
      <w:pPr>
        <w:pStyle w:val="166"/>
        <w:spacing w:line="240" w:lineRule="auto"/>
        <w:ind w:left="0"/>
        <w:rPr>
          <w:highlight w:val="none"/>
        </w:rPr>
      </w:pPr>
      <w:r>
        <w:rPr>
          <w:rFonts w:hint="eastAsia"/>
        </w:rPr>
        <w:t>对系统平台应每月开展一次定期巡检</w:t>
      </w:r>
      <w:r>
        <w:rPr>
          <w:rFonts w:hint="eastAsia"/>
          <w:highlight w:val="none"/>
        </w:rPr>
        <w:t>，每月巡检日期宜相对固定。重大活动及法定节假日前一天应进行一次保障巡检。</w:t>
      </w:r>
    </w:p>
    <w:p w14:paraId="7775AE31">
      <w:pPr>
        <w:pStyle w:val="166"/>
        <w:spacing w:line="240" w:lineRule="auto"/>
        <w:ind w:left="0"/>
      </w:pPr>
      <w:r>
        <w:rPr>
          <w:rFonts w:hint="eastAsia"/>
          <w:highlight w:val="none"/>
        </w:rPr>
        <w:t>定期巡检和保障巡检应全面检查系统平台软件功能的运行状态，排查存在的问题，及时消除故障和安全隐患，确保其安全稳定运行，并填写《系统平台巡检维护记录表》（附</w:t>
      </w:r>
      <w:r>
        <w:rPr>
          <w:rFonts w:hint="eastAsia"/>
        </w:rPr>
        <w:t>录C）。</w:t>
      </w:r>
    </w:p>
    <w:p w14:paraId="2C99DF69">
      <w:pPr>
        <w:pStyle w:val="166"/>
        <w:spacing w:line="240" w:lineRule="auto"/>
        <w:ind w:left="0"/>
        <w:rPr>
          <w:b/>
          <w:bCs/>
          <w:color w:val="EE0000"/>
        </w:rPr>
      </w:pPr>
      <w:r>
        <w:rPr>
          <w:rFonts w:hint="eastAsia"/>
        </w:rPr>
        <w:t>系统软件功能的检查维护，主要内容包括：</w:t>
      </w:r>
    </w:p>
    <w:p w14:paraId="3051424D">
      <w:pPr>
        <w:pStyle w:val="169"/>
        <w:numPr>
          <w:ilvl w:val="0"/>
          <w:numId w:val="37"/>
        </w:numPr>
        <w:spacing w:line="240" w:lineRule="auto"/>
        <w:ind w:left="420"/>
      </w:pPr>
      <w:bookmarkStart w:id="61" w:name="OLE_LINK2"/>
      <w:r>
        <w:t>检查服务器CPU使用率、平均内存使用率及月末磁盘可用量</w:t>
      </w:r>
      <w:bookmarkEnd w:id="61"/>
      <w:r>
        <w:rPr>
          <w:rFonts w:hint="eastAsia"/>
        </w:rPr>
        <w:t>；</w:t>
      </w:r>
    </w:p>
    <w:p w14:paraId="5C199F42">
      <w:pPr>
        <w:pStyle w:val="169"/>
        <w:numPr>
          <w:ilvl w:val="0"/>
          <w:numId w:val="37"/>
        </w:numPr>
        <w:spacing w:line="240" w:lineRule="auto"/>
        <w:ind w:left="420"/>
      </w:pPr>
      <w:r>
        <w:t>检查系统日志</w:t>
      </w:r>
      <w:r>
        <w:rPr>
          <w:rFonts w:hint="eastAsia"/>
        </w:rPr>
        <w:t>；</w:t>
      </w:r>
    </w:p>
    <w:p w14:paraId="23366D84">
      <w:pPr>
        <w:pStyle w:val="169"/>
        <w:numPr>
          <w:ilvl w:val="0"/>
          <w:numId w:val="37"/>
        </w:numPr>
        <w:spacing w:line="240" w:lineRule="auto"/>
        <w:ind w:left="420"/>
      </w:pPr>
      <w:r>
        <w:t>检查数据库备份</w:t>
      </w:r>
      <w:r>
        <w:rPr>
          <w:rFonts w:hint="eastAsia"/>
        </w:rPr>
        <w:t>；</w:t>
      </w:r>
    </w:p>
    <w:p w14:paraId="32382FCE">
      <w:pPr>
        <w:pStyle w:val="169"/>
        <w:numPr>
          <w:ilvl w:val="0"/>
          <w:numId w:val="37"/>
        </w:numPr>
        <w:spacing w:line="240" w:lineRule="auto"/>
        <w:ind w:left="420"/>
      </w:pPr>
      <w:r>
        <w:t>检查软件备份</w:t>
      </w:r>
      <w:r>
        <w:rPr>
          <w:rFonts w:hint="eastAsia"/>
        </w:rPr>
        <w:t>。</w:t>
      </w:r>
    </w:p>
    <w:p w14:paraId="6DCBCD48">
      <w:pPr>
        <w:pStyle w:val="166"/>
        <w:spacing w:line="240" w:lineRule="auto"/>
        <w:ind w:left="0"/>
      </w:pPr>
      <w:r>
        <w:rPr>
          <w:rFonts w:hint="eastAsia"/>
        </w:rPr>
        <w:t>上下级系统平台对接情况的检查维护，主要内容包括：</w:t>
      </w:r>
    </w:p>
    <w:p w14:paraId="6EA0CA12">
      <w:pPr>
        <w:pStyle w:val="169"/>
        <w:numPr>
          <w:ilvl w:val="0"/>
          <w:numId w:val="38"/>
        </w:numPr>
        <w:spacing w:line="240" w:lineRule="auto"/>
        <w:ind w:left="420"/>
      </w:pPr>
      <w:r>
        <w:rPr>
          <w:rFonts w:hint="eastAsia"/>
        </w:rPr>
        <w:t>检查区级、市级系统平台的数据链路，对接通道应稳定畅通；</w:t>
      </w:r>
    </w:p>
    <w:p w14:paraId="44631F9F">
      <w:pPr>
        <w:pStyle w:val="169"/>
        <w:numPr>
          <w:ilvl w:val="0"/>
          <w:numId w:val="38"/>
        </w:numPr>
        <w:spacing w:line="240" w:lineRule="auto"/>
        <w:ind w:left="420"/>
      </w:pPr>
      <w:r>
        <w:rPr>
          <w:rFonts w:hint="eastAsia"/>
        </w:rPr>
        <w:t>比对区级、市级系统平台的取水数据，应上传一致。</w:t>
      </w:r>
    </w:p>
    <w:p w14:paraId="7136D6DF">
      <w:pPr>
        <w:pStyle w:val="108"/>
        <w:spacing w:before="312" w:after="312" w:line="240" w:lineRule="auto"/>
        <w:rPr>
          <w:szCs w:val="21"/>
          <w:highlight w:val="none"/>
        </w:rPr>
      </w:pPr>
      <w:bookmarkStart w:id="62" w:name="_Toc236061734"/>
      <w:bookmarkEnd w:id="62"/>
      <w:bookmarkStart w:id="63" w:name="_Toc236061740"/>
      <w:bookmarkEnd w:id="63"/>
      <w:bookmarkStart w:id="64" w:name="_Toc236061733"/>
      <w:bookmarkEnd w:id="64"/>
      <w:bookmarkStart w:id="65" w:name="_Toc236061736"/>
      <w:bookmarkEnd w:id="65"/>
      <w:bookmarkStart w:id="66" w:name="_Toc236061737"/>
      <w:bookmarkEnd w:id="66"/>
      <w:bookmarkStart w:id="67" w:name="_Toc236061738"/>
      <w:bookmarkEnd w:id="67"/>
      <w:bookmarkStart w:id="68" w:name="_Toc236061739"/>
      <w:bookmarkEnd w:id="68"/>
      <w:bookmarkStart w:id="69" w:name="_Toc236061735"/>
      <w:bookmarkEnd w:id="69"/>
      <w:bookmarkStart w:id="70" w:name="_Toc236061741"/>
      <w:bookmarkEnd w:id="70"/>
      <w:bookmarkStart w:id="71" w:name="_Toc236061742"/>
      <w:bookmarkEnd w:id="71"/>
      <w:bookmarkStart w:id="72" w:name="_Toc236061727"/>
      <w:bookmarkEnd w:id="72"/>
      <w:bookmarkStart w:id="73" w:name="_Toc236061725"/>
      <w:bookmarkEnd w:id="73"/>
      <w:bookmarkStart w:id="74" w:name="_Toc236061726"/>
      <w:bookmarkEnd w:id="74"/>
      <w:bookmarkStart w:id="75" w:name="_Toc236061728"/>
      <w:bookmarkEnd w:id="75"/>
      <w:bookmarkStart w:id="76" w:name="_Toc236061729"/>
      <w:bookmarkEnd w:id="76"/>
      <w:bookmarkStart w:id="77" w:name="_Toc236061730"/>
      <w:bookmarkEnd w:id="77"/>
      <w:bookmarkStart w:id="78" w:name="_Toc236061731"/>
      <w:bookmarkEnd w:id="78"/>
      <w:bookmarkStart w:id="79" w:name="_Toc236061732"/>
      <w:bookmarkEnd w:id="79"/>
      <w:bookmarkStart w:id="80" w:name="_Toc236061724"/>
      <w:bookmarkEnd w:id="80"/>
      <w:bookmarkStart w:id="81" w:name="_Toc236061717"/>
      <w:bookmarkEnd w:id="81"/>
      <w:bookmarkStart w:id="82" w:name="_Toc236061718"/>
      <w:bookmarkEnd w:id="82"/>
      <w:bookmarkStart w:id="83" w:name="_Toc236061720"/>
      <w:bookmarkEnd w:id="83"/>
      <w:bookmarkStart w:id="84" w:name="_Toc236061721"/>
      <w:bookmarkEnd w:id="84"/>
      <w:bookmarkStart w:id="85" w:name="_Toc236061719"/>
      <w:bookmarkEnd w:id="85"/>
      <w:bookmarkStart w:id="86" w:name="_Toc236061722"/>
      <w:bookmarkEnd w:id="86"/>
      <w:bookmarkStart w:id="87" w:name="_Toc236061723"/>
      <w:bookmarkEnd w:id="87"/>
      <w:bookmarkStart w:id="88" w:name="_Toc240896218"/>
      <w:bookmarkStart w:id="89" w:name="_Toc162975957"/>
      <w:bookmarkStart w:id="90" w:name="_Toc164658433"/>
      <w:r>
        <w:rPr>
          <w:rFonts w:hint="eastAsia"/>
          <w:szCs w:val="21"/>
          <w:highlight w:val="none"/>
        </w:rPr>
        <w:t>数据管理</w:t>
      </w:r>
      <w:bookmarkEnd w:id="88"/>
    </w:p>
    <w:p w14:paraId="69756E00">
      <w:pPr>
        <w:pStyle w:val="166"/>
        <w:spacing w:line="240" w:lineRule="auto"/>
        <w:ind w:left="0"/>
        <w:rPr>
          <w:highlight w:val="none"/>
        </w:rPr>
      </w:pPr>
      <w:r>
        <w:rPr>
          <w:rFonts w:hint="eastAsia"/>
          <w:highlight w:val="none"/>
        </w:rPr>
        <w:t>取水计量在线监测站点传输的原始数据不应更改，应保证数据完整、准确、可靠。</w:t>
      </w:r>
    </w:p>
    <w:p w14:paraId="71C60317">
      <w:pPr>
        <w:pStyle w:val="166"/>
        <w:spacing w:line="240" w:lineRule="auto"/>
        <w:ind w:left="0"/>
        <w:rPr>
          <w:highlight w:val="none"/>
        </w:rPr>
      </w:pPr>
      <w:r>
        <w:rPr>
          <w:rFonts w:hint="eastAsia"/>
          <w:highlight w:val="none"/>
        </w:rPr>
        <w:t>在线采集的计量监测数据应每日增量备份、每月全量备份。</w:t>
      </w:r>
    </w:p>
    <w:p w14:paraId="590E2F3B">
      <w:pPr>
        <w:pStyle w:val="166"/>
        <w:spacing w:line="240" w:lineRule="auto"/>
        <w:ind w:left="0"/>
        <w:rPr>
          <w:highlight w:val="none"/>
        </w:rPr>
      </w:pPr>
      <w:r>
        <w:rPr>
          <w:rFonts w:hint="eastAsia"/>
          <w:highlight w:val="none"/>
        </w:rPr>
        <w:t>当</w:t>
      </w:r>
      <w:bookmarkStart w:id="91" w:name="OLE_LINK10"/>
      <w:r>
        <w:rPr>
          <w:rFonts w:hint="eastAsia"/>
          <w:highlight w:val="none"/>
        </w:rPr>
        <w:t>取水计量设施（器具）</w:t>
      </w:r>
      <w:bookmarkEnd w:id="91"/>
      <w:r>
        <w:rPr>
          <w:rFonts w:hint="eastAsia"/>
          <w:highlight w:val="none"/>
        </w:rPr>
        <w:t>损坏或安装、拆卸期间发生计量监测数据不准确或无法采集数据时，应按照GB/T 28714的规定执行。</w:t>
      </w:r>
    </w:p>
    <w:p w14:paraId="6AA56839">
      <w:pPr>
        <w:pStyle w:val="166"/>
        <w:spacing w:line="240" w:lineRule="auto"/>
        <w:ind w:left="0"/>
        <w:rPr>
          <w:highlight w:val="none"/>
        </w:rPr>
      </w:pPr>
      <w:r>
        <w:rPr>
          <w:rFonts w:hint="eastAsia"/>
          <w:highlight w:val="none"/>
        </w:rPr>
        <w:t>应及时整理在线计量监测数据，每月进行数据比对，包括系统平台数据与取水户台账数据、用水统计数据、上传至上级平台数据的比对。</w:t>
      </w:r>
    </w:p>
    <w:p w14:paraId="669C322A">
      <w:pPr>
        <w:pStyle w:val="166"/>
        <w:spacing w:line="240" w:lineRule="auto"/>
        <w:ind w:left="0"/>
        <w:rPr>
          <w:highlight w:val="none"/>
        </w:rPr>
      </w:pPr>
      <w:r>
        <w:rPr>
          <w:rFonts w:hint="eastAsia"/>
          <w:highlight w:val="none"/>
        </w:rPr>
        <w:t>应及时对系统平台的小时累计计算数据、日累计计算数据、月累计计算数据进行分析，并对异常数据做出标识，按照</w:t>
      </w:r>
      <w:bookmarkStart w:id="92" w:name="OLE_LINK26"/>
      <w:r>
        <w:rPr>
          <w:highlight w:val="none"/>
        </w:rPr>
        <w:t>JJF</w:t>
      </w:r>
      <w:r>
        <w:rPr>
          <w:rFonts w:hint="eastAsia"/>
          <w:highlight w:val="none"/>
        </w:rPr>
        <w:t xml:space="preserve"> 2210的要求</w:t>
      </w:r>
      <w:bookmarkEnd w:id="92"/>
      <w:r>
        <w:rPr>
          <w:rFonts w:hint="eastAsia"/>
          <w:highlight w:val="none"/>
        </w:rPr>
        <w:t>对异常数据作出处置。</w:t>
      </w:r>
    </w:p>
    <w:p w14:paraId="3EEA0BEB">
      <w:pPr>
        <w:pStyle w:val="108"/>
        <w:spacing w:before="312" w:after="312" w:line="240" w:lineRule="auto"/>
        <w:rPr>
          <w:szCs w:val="21"/>
          <w:highlight w:val="none"/>
        </w:rPr>
      </w:pPr>
      <w:bookmarkStart w:id="93" w:name="_Toc240896219"/>
      <w:bookmarkStart w:id="94" w:name="OLE_LINK8"/>
      <w:r>
        <w:rPr>
          <w:szCs w:val="21"/>
          <w:highlight w:val="none"/>
        </w:rPr>
        <w:t>故障</w:t>
      </w:r>
      <w:r>
        <w:rPr>
          <w:rFonts w:hint="eastAsia"/>
          <w:szCs w:val="21"/>
          <w:highlight w:val="none"/>
        </w:rPr>
        <w:t>处置</w:t>
      </w:r>
      <w:r>
        <w:rPr>
          <w:szCs w:val="21"/>
          <w:highlight w:val="none"/>
        </w:rPr>
        <w:t>与应急</w:t>
      </w:r>
      <w:r>
        <w:rPr>
          <w:rFonts w:hint="eastAsia"/>
          <w:szCs w:val="21"/>
          <w:highlight w:val="none"/>
        </w:rPr>
        <w:t>响应</w:t>
      </w:r>
      <w:bookmarkEnd w:id="93"/>
    </w:p>
    <w:p w14:paraId="5E970C9E">
      <w:pPr>
        <w:pStyle w:val="166"/>
        <w:spacing w:before="156" w:beforeLines="50" w:after="156" w:afterLines="50" w:line="240" w:lineRule="auto"/>
        <w:ind w:left="0"/>
        <w:rPr>
          <w:highlight w:val="none"/>
        </w:rPr>
      </w:pPr>
      <w:r>
        <w:rPr>
          <w:rFonts w:hint="eastAsia" w:ascii="黑体" w:hAnsi="黑体" w:eastAsia="黑体" w:cs="黑体"/>
          <w:highlight w:val="none"/>
        </w:rPr>
        <w:t>故障分类</w:t>
      </w:r>
    </w:p>
    <w:p w14:paraId="7FB6DE88">
      <w:pPr>
        <w:pStyle w:val="169"/>
        <w:numPr>
          <w:ilvl w:val="0"/>
          <w:numId w:val="0"/>
        </w:numPr>
        <w:spacing w:line="240" w:lineRule="auto"/>
        <w:ind w:firstLine="420" w:firstLineChars="200"/>
        <w:rPr>
          <w:highlight w:val="none"/>
        </w:rPr>
      </w:pPr>
      <w:r>
        <w:rPr>
          <w:rFonts w:hint="eastAsia"/>
          <w:highlight w:val="none"/>
        </w:rPr>
        <w:t>参照</w:t>
      </w:r>
      <w:bookmarkStart w:id="95" w:name="OLE_LINK68"/>
      <w:r>
        <w:rPr>
          <w:rFonts w:hint="eastAsia"/>
          <w:highlight w:val="none"/>
        </w:rPr>
        <w:t>JJF 2245</w:t>
      </w:r>
      <w:bookmarkEnd w:id="95"/>
      <w:r>
        <w:rPr>
          <w:rFonts w:hint="eastAsia"/>
          <w:highlight w:val="none"/>
        </w:rPr>
        <w:t>，根据故障严重性和受影响程度将故障分为一般故障和重大故障两级。</w:t>
      </w:r>
      <w:bookmarkStart w:id="96" w:name="OLE_LINK27"/>
      <w:r>
        <w:rPr>
          <w:rFonts w:hint="eastAsia"/>
          <w:highlight w:val="none"/>
        </w:rPr>
        <w:t>取水计量在线监测设施</w:t>
      </w:r>
      <w:bookmarkEnd w:id="96"/>
      <w:r>
        <w:rPr>
          <w:rFonts w:hint="eastAsia"/>
          <w:highlight w:val="none"/>
        </w:rPr>
        <w:t>性能异常或工作状况异常但暂不影响</w:t>
      </w:r>
      <w:bookmarkStart w:id="97" w:name="OLE_LINK25"/>
      <w:r>
        <w:rPr>
          <w:rFonts w:hint="eastAsia"/>
          <w:highlight w:val="none"/>
        </w:rPr>
        <w:t>设备工作，或数据出现漂移不准确时，可按一般故障处置。取水计量在线监测设施不能正常工作，数据不能采集、传输或管理时，可按重大故障处置。</w:t>
      </w:r>
      <w:bookmarkEnd w:id="97"/>
    </w:p>
    <w:p w14:paraId="258404C3">
      <w:pPr>
        <w:pStyle w:val="166"/>
        <w:spacing w:before="156" w:beforeLines="50" w:after="156" w:afterLines="50" w:line="240" w:lineRule="auto"/>
        <w:ind w:left="0"/>
        <w:rPr>
          <w:rFonts w:hint="eastAsia" w:ascii="黑体" w:hAnsi="黑体" w:eastAsia="黑体" w:cs="黑体"/>
          <w:highlight w:val="none"/>
        </w:rPr>
      </w:pPr>
      <w:r>
        <w:rPr>
          <w:rFonts w:hint="eastAsia" w:ascii="黑体" w:hAnsi="黑体" w:eastAsia="黑体" w:cs="黑体"/>
          <w:highlight w:val="none"/>
        </w:rPr>
        <w:t>故障处置原则</w:t>
      </w:r>
    </w:p>
    <w:p w14:paraId="54B78255">
      <w:pPr>
        <w:pStyle w:val="169"/>
        <w:numPr>
          <w:ilvl w:val="0"/>
          <w:numId w:val="0"/>
        </w:numPr>
        <w:spacing w:line="240" w:lineRule="auto"/>
        <w:ind w:firstLine="420" w:firstLineChars="200"/>
        <w:rPr>
          <w:highlight w:val="none"/>
        </w:rPr>
      </w:pPr>
      <w:r>
        <w:rPr>
          <w:rFonts w:hint="eastAsia"/>
          <w:highlight w:val="none"/>
        </w:rPr>
        <w:t>故障处置遵循“先重大，后一般，先抢通，后修复”的原则。</w:t>
      </w:r>
    </w:p>
    <w:bookmarkEnd w:id="94"/>
    <w:p w14:paraId="1F0FDA63">
      <w:pPr>
        <w:pStyle w:val="166"/>
        <w:spacing w:before="156" w:beforeLines="50" w:after="156" w:afterLines="50" w:line="240" w:lineRule="auto"/>
        <w:ind w:left="0"/>
        <w:rPr>
          <w:rFonts w:hint="eastAsia" w:ascii="黑体" w:hAnsi="黑体" w:eastAsia="黑体" w:cs="黑体"/>
          <w:highlight w:val="none"/>
        </w:rPr>
      </w:pPr>
      <w:r>
        <w:rPr>
          <w:rFonts w:hint="eastAsia" w:ascii="黑体" w:hAnsi="黑体" w:eastAsia="黑体" w:cs="黑体"/>
          <w:highlight w:val="none"/>
        </w:rPr>
        <w:t>故障处置时间</w:t>
      </w:r>
    </w:p>
    <w:p w14:paraId="3E39C3D5">
      <w:pPr>
        <w:pStyle w:val="169"/>
        <w:spacing w:line="240" w:lineRule="auto"/>
        <w:rPr>
          <w:highlight w:val="none"/>
        </w:rPr>
      </w:pPr>
      <w:bookmarkStart w:id="98" w:name="OLE_LINK32"/>
      <w:r>
        <w:rPr>
          <w:rFonts w:hint="eastAsia"/>
          <w:highlight w:val="none"/>
        </w:rPr>
        <w:t>取水计量监测站点一般故障恢复时间不应超过2日，重大故障恢复时间不应超过5日。</w:t>
      </w:r>
      <w:bookmarkEnd w:id="98"/>
    </w:p>
    <w:p w14:paraId="01AF352E">
      <w:pPr>
        <w:pStyle w:val="169"/>
        <w:spacing w:line="240" w:lineRule="auto"/>
        <w:rPr>
          <w:highlight w:val="none"/>
        </w:rPr>
      </w:pPr>
      <w:r>
        <w:rPr>
          <w:rFonts w:hint="eastAsia"/>
          <w:highlight w:val="none"/>
        </w:rPr>
        <w:t>系统平台一般故障恢复时间不应超过</w:t>
      </w:r>
      <w:r>
        <w:rPr>
          <w:highlight w:val="none"/>
        </w:rPr>
        <w:t>12</w:t>
      </w:r>
      <w:r>
        <w:rPr>
          <w:rFonts w:hint="eastAsia"/>
          <w:highlight w:val="none"/>
        </w:rPr>
        <w:t>小时，重大故障恢复时间不应超过36小时。</w:t>
      </w:r>
    </w:p>
    <w:p w14:paraId="491AA13D">
      <w:pPr>
        <w:pStyle w:val="166"/>
        <w:spacing w:before="156" w:beforeLines="50" w:after="156" w:afterLines="50" w:line="240" w:lineRule="auto"/>
        <w:ind w:left="0"/>
        <w:rPr>
          <w:rFonts w:hint="eastAsia" w:ascii="黑体" w:hAnsi="黑体" w:eastAsia="黑体" w:cs="黑体"/>
          <w:highlight w:val="none"/>
        </w:rPr>
      </w:pPr>
      <w:r>
        <w:rPr>
          <w:rFonts w:hint="eastAsia" w:ascii="黑体" w:hAnsi="黑体" w:eastAsia="黑体" w:cs="黑体"/>
          <w:highlight w:val="none"/>
        </w:rPr>
        <w:t>故障处置流程</w:t>
      </w:r>
    </w:p>
    <w:p w14:paraId="1DA8795A">
      <w:pPr>
        <w:pStyle w:val="166"/>
        <w:numPr>
          <w:ilvl w:val="3"/>
          <w:numId w:val="2"/>
        </w:numPr>
        <w:spacing w:line="240" w:lineRule="auto"/>
        <w:rPr>
          <w:highlight w:val="none"/>
        </w:rPr>
      </w:pPr>
      <w:r>
        <w:rPr>
          <w:rFonts w:hint="eastAsia"/>
          <w:highlight w:val="none"/>
        </w:rPr>
        <w:t>参照5.5～5.8、6.1、6.5的检查内容，排查取水计量在线监测设施故障类型。</w:t>
      </w:r>
    </w:p>
    <w:p w14:paraId="63444384">
      <w:pPr>
        <w:pStyle w:val="166"/>
        <w:numPr>
          <w:ilvl w:val="3"/>
          <w:numId w:val="2"/>
        </w:numPr>
        <w:spacing w:line="240" w:lineRule="auto"/>
      </w:pPr>
      <w:r>
        <w:rPr>
          <w:rFonts w:hint="eastAsia"/>
        </w:rPr>
        <w:t>取水计量监测站点发生故障时，应及时联系取水户确认现场情况，并组织取水户按照8.5、8.6的处置方法进行相应的故障处置，</w:t>
      </w:r>
      <w:bookmarkStart w:id="99" w:name="OLE_LINK24"/>
      <w:r>
        <w:rPr>
          <w:rFonts w:hint="eastAsia"/>
        </w:rPr>
        <w:t>必要时应派出人员在24小时内前往现场进行处置</w:t>
      </w:r>
      <w:bookmarkEnd w:id="99"/>
      <w:r>
        <w:rPr>
          <w:rFonts w:hint="eastAsia"/>
        </w:rPr>
        <w:t>。</w:t>
      </w:r>
    </w:p>
    <w:p w14:paraId="4CDF0647">
      <w:pPr>
        <w:pStyle w:val="169"/>
        <w:spacing w:line="240" w:lineRule="auto"/>
      </w:pPr>
      <w:r>
        <w:rPr>
          <w:rFonts w:hint="eastAsia"/>
        </w:rPr>
        <w:t>故障处置完成后应及时记录故障类型、发生时间、处置过程、处置结果，填写《取水计量监测站点故障处置记录表》（附录D）、《系统平台故障处置记录表》（附录E）。</w:t>
      </w:r>
    </w:p>
    <w:p w14:paraId="19E2B83D">
      <w:pPr>
        <w:pStyle w:val="166"/>
        <w:spacing w:before="156" w:beforeLines="50" w:after="156" w:afterLines="50" w:line="240" w:lineRule="auto"/>
        <w:ind w:left="0"/>
        <w:rPr>
          <w:rFonts w:hint="eastAsia" w:ascii="黑体" w:hAnsi="黑体" w:eastAsia="黑体" w:cs="黑体"/>
        </w:rPr>
      </w:pPr>
      <w:r>
        <w:rPr>
          <w:rFonts w:hint="eastAsia" w:ascii="黑体" w:hAnsi="黑体" w:eastAsia="黑体" w:cs="黑体"/>
        </w:rPr>
        <w:t>取水计量设施（器具）故障处置方法</w:t>
      </w:r>
    </w:p>
    <w:p w14:paraId="2017AB14">
      <w:pPr>
        <w:pStyle w:val="169"/>
        <w:spacing w:line="240" w:lineRule="auto"/>
        <w:rPr>
          <w:highlight w:val="none"/>
        </w:rPr>
      </w:pPr>
      <w:r>
        <w:rPr>
          <w:rFonts w:hint="eastAsia"/>
          <w:highlight w:val="none"/>
        </w:rPr>
        <w:t>有取水行为但</w:t>
      </w:r>
      <w:bookmarkStart w:id="100" w:name="OLE_LINK17"/>
      <w:r>
        <w:rPr>
          <w:rFonts w:hint="eastAsia"/>
          <w:highlight w:val="none"/>
        </w:rPr>
        <w:t>显示屏无</w:t>
      </w:r>
      <w:bookmarkStart w:id="101" w:name="OLE_LINK18"/>
      <w:r>
        <w:rPr>
          <w:rFonts w:hint="eastAsia"/>
          <w:highlight w:val="none"/>
        </w:rPr>
        <w:t>水量</w:t>
      </w:r>
      <w:bookmarkEnd w:id="101"/>
      <w:bookmarkStart w:id="102" w:name="OLE_LINK19"/>
      <w:r>
        <w:rPr>
          <w:rFonts w:hint="eastAsia"/>
          <w:highlight w:val="none"/>
        </w:rPr>
        <w:t>示值</w:t>
      </w:r>
      <w:bookmarkEnd w:id="102"/>
      <w:r>
        <w:rPr>
          <w:rFonts w:hint="eastAsia"/>
          <w:highlight w:val="none"/>
        </w:rPr>
        <w:t>变化</w:t>
      </w:r>
      <w:bookmarkEnd w:id="100"/>
      <w:r>
        <w:rPr>
          <w:rFonts w:hint="eastAsia"/>
          <w:highlight w:val="none"/>
        </w:rPr>
        <w:t>时，应根据以下故障</w:t>
      </w:r>
      <w:bookmarkStart w:id="103" w:name="OLE_LINK21"/>
      <w:r>
        <w:rPr>
          <w:rFonts w:hint="eastAsia"/>
          <w:highlight w:val="none"/>
        </w:rPr>
        <w:t>情形</w:t>
      </w:r>
      <w:bookmarkEnd w:id="103"/>
      <w:r>
        <w:rPr>
          <w:rFonts w:hint="eastAsia"/>
          <w:highlight w:val="none"/>
        </w:rPr>
        <w:t>进行处置：</w:t>
      </w:r>
    </w:p>
    <w:p w14:paraId="470AD50A">
      <w:pPr>
        <w:pStyle w:val="169"/>
        <w:numPr>
          <w:ilvl w:val="0"/>
          <w:numId w:val="39"/>
        </w:numPr>
        <w:spacing w:line="240" w:lineRule="auto"/>
        <w:ind w:left="420"/>
        <w:rPr>
          <w:highlight w:val="none"/>
        </w:rPr>
      </w:pPr>
      <w:r>
        <w:rPr>
          <w:rFonts w:hint="eastAsia"/>
          <w:highlight w:val="none"/>
        </w:rPr>
        <w:t>电源断开或接触不良，重新接好电源；</w:t>
      </w:r>
    </w:p>
    <w:p w14:paraId="059BB202">
      <w:pPr>
        <w:pStyle w:val="169"/>
        <w:numPr>
          <w:ilvl w:val="0"/>
          <w:numId w:val="39"/>
        </w:numPr>
        <w:spacing w:line="240" w:lineRule="auto"/>
        <w:ind w:left="420"/>
        <w:rPr>
          <w:highlight w:val="none"/>
        </w:rPr>
      </w:pPr>
      <w:r>
        <w:rPr>
          <w:rFonts w:hint="eastAsia"/>
          <w:highlight w:val="none"/>
        </w:rPr>
        <w:t>转换器信号接线错误、破损或断路，重新接线或更换新线缆</w:t>
      </w:r>
      <w:r>
        <w:rPr>
          <w:rFonts w:hint="eastAsia"/>
          <w:highlight w:val="none"/>
          <w:lang w:val="en"/>
        </w:rPr>
        <w:t>；</w:t>
      </w:r>
    </w:p>
    <w:p w14:paraId="383EBC9C">
      <w:pPr>
        <w:pStyle w:val="169"/>
        <w:numPr>
          <w:ilvl w:val="0"/>
          <w:numId w:val="39"/>
        </w:numPr>
        <w:spacing w:line="240" w:lineRule="auto"/>
        <w:ind w:left="420"/>
      </w:pPr>
      <w:r>
        <w:rPr>
          <w:rFonts w:hint="eastAsia"/>
        </w:rPr>
        <w:t>传感器电源、接线均正常，属于传感器损坏的，联系设备厂家更换传感器。</w:t>
      </w:r>
    </w:p>
    <w:p w14:paraId="59D67C05">
      <w:pPr>
        <w:pStyle w:val="169"/>
        <w:spacing w:line="240" w:lineRule="auto"/>
      </w:pPr>
      <w:r>
        <w:rPr>
          <w:rFonts w:hint="eastAsia"/>
        </w:rPr>
        <w:t>无取水行为但显示屏有异常水量示值时，应根据以下故障情形进行相应处置：</w:t>
      </w:r>
    </w:p>
    <w:p w14:paraId="24B6BBEC">
      <w:pPr>
        <w:pStyle w:val="169"/>
        <w:numPr>
          <w:ilvl w:val="0"/>
          <w:numId w:val="40"/>
        </w:numPr>
        <w:spacing w:line="240" w:lineRule="auto"/>
        <w:ind w:left="420"/>
      </w:pPr>
      <w:r>
        <w:rPr>
          <w:rFonts w:hint="eastAsia"/>
        </w:rPr>
        <w:t>信号电缆线到电极连接不正常，重新接线；</w:t>
      </w:r>
    </w:p>
    <w:p w14:paraId="1460B35F">
      <w:pPr>
        <w:pStyle w:val="169"/>
        <w:numPr>
          <w:ilvl w:val="0"/>
          <w:numId w:val="40"/>
        </w:numPr>
        <w:spacing w:line="240" w:lineRule="auto"/>
        <w:ind w:left="420"/>
      </w:pPr>
      <w:r>
        <w:rPr>
          <w:rFonts w:hint="eastAsia"/>
        </w:rPr>
        <w:t>附近有强电磁干扰，排除干扰或调整监测点位置；</w:t>
      </w:r>
    </w:p>
    <w:p w14:paraId="5CCDF809">
      <w:pPr>
        <w:pStyle w:val="169"/>
        <w:numPr>
          <w:ilvl w:val="0"/>
          <w:numId w:val="40"/>
        </w:numPr>
        <w:spacing w:line="240" w:lineRule="auto"/>
        <w:ind w:left="420"/>
      </w:pPr>
      <w:r>
        <w:rPr>
          <w:rFonts w:hint="eastAsia"/>
        </w:rPr>
        <w:t>电极表面有沾污或沉积绝缘层，擦洗电极表面；</w:t>
      </w:r>
    </w:p>
    <w:p w14:paraId="64B157C5">
      <w:pPr>
        <w:pStyle w:val="169"/>
        <w:numPr>
          <w:ilvl w:val="0"/>
          <w:numId w:val="40"/>
        </w:numPr>
        <w:spacing w:line="240" w:lineRule="auto"/>
        <w:ind w:left="420"/>
      </w:pPr>
      <w:r>
        <w:rPr>
          <w:rFonts w:hint="eastAsia"/>
        </w:rPr>
        <w:t>管道存在渗漏、倒流，维修或更换阀门和管道。</w:t>
      </w:r>
    </w:p>
    <w:p w14:paraId="02810CFE">
      <w:pPr>
        <w:pStyle w:val="169"/>
        <w:spacing w:line="240" w:lineRule="auto"/>
      </w:pPr>
      <w:r>
        <w:rPr>
          <w:rFonts w:hint="eastAsia"/>
        </w:rPr>
        <w:t>显示屏无显示或者有显示无输出时，应根据以下故障情形进行相应处置：</w:t>
      </w:r>
    </w:p>
    <w:p w14:paraId="2BDC1962">
      <w:pPr>
        <w:pStyle w:val="169"/>
        <w:numPr>
          <w:ilvl w:val="0"/>
          <w:numId w:val="41"/>
        </w:numPr>
        <w:spacing w:line="240" w:lineRule="auto"/>
        <w:ind w:left="420"/>
      </w:pPr>
      <w:r>
        <w:rPr>
          <w:rFonts w:hint="eastAsia"/>
        </w:rPr>
        <w:t>电源断开或接触不良，重新接好电源；</w:t>
      </w:r>
    </w:p>
    <w:p w14:paraId="35C6856B">
      <w:pPr>
        <w:pStyle w:val="169"/>
        <w:numPr>
          <w:ilvl w:val="0"/>
          <w:numId w:val="41"/>
        </w:numPr>
        <w:spacing w:line="240" w:lineRule="auto"/>
        <w:ind w:left="420"/>
      </w:pPr>
      <w:r>
        <w:rPr>
          <w:rFonts w:hint="eastAsia"/>
        </w:rPr>
        <w:t>输出接线未正确联接，重新接线；</w:t>
      </w:r>
    </w:p>
    <w:p w14:paraId="40A3B16A">
      <w:pPr>
        <w:pStyle w:val="169"/>
        <w:numPr>
          <w:ilvl w:val="0"/>
          <w:numId w:val="41"/>
        </w:numPr>
        <w:spacing w:line="240" w:lineRule="auto"/>
        <w:ind w:left="420"/>
      </w:pPr>
      <w:r>
        <w:rPr>
          <w:rFonts w:hint="eastAsia"/>
        </w:rPr>
        <w:t>显示屏故障，联系设备厂家维修或更换显示屏。</w:t>
      </w:r>
    </w:p>
    <w:p w14:paraId="62D9F484">
      <w:pPr>
        <w:pStyle w:val="169"/>
        <w:spacing w:line="240" w:lineRule="auto"/>
      </w:pPr>
      <w:r>
        <w:rPr>
          <w:rFonts w:hint="eastAsia"/>
        </w:rPr>
        <w:t>显示屏水量示值突变或与实际偏差大，应采用不低于现有准确度的取水计量设施（器具）进行比测、校核，并根据以下故障情形进行处置：</w:t>
      </w:r>
    </w:p>
    <w:p w14:paraId="5E8650F4">
      <w:pPr>
        <w:pStyle w:val="169"/>
        <w:numPr>
          <w:ilvl w:val="0"/>
          <w:numId w:val="42"/>
        </w:numPr>
        <w:spacing w:line="240" w:lineRule="auto"/>
        <w:ind w:left="420"/>
      </w:pPr>
      <w:r>
        <w:rPr>
          <w:rFonts w:hint="eastAsia"/>
        </w:rPr>
        <w:t>信号电缆线到电极连接不正常，附近有强电磁干扰，排除干扰或调整监测点位置；</w:t>
      </w:r>
    </w:p>
    <w:p w14:paraId="61DC9B26">
      <w:pPr>
        <w:pStyle w:val="169"/>
        <w:numPr>
          <w:ilvl w:val="0"/>
          <w:numId w:val="42"/>
        </w:numPr>
        <w:spacing w:line="240" w:lineRule="auto"/>
        <w:ind w:left="420"/>
      </w:pPr>
      <w:r>
        <w:rPr>
          <w:rFonts w:hint="eastAsia"/>
        </w:rPr>
        <w:t>电极表面有沾污或沉积绝缘层，擦洗电极表面；</w:t>
      </w:r>
    </w:p>
    <w:p w14:paraId="6738D9F8">
      <w:pPr>
        <w:pStyle w:val="169"/>
        <w:numPr>
          <w:ilvl w:val="0"/>
          <w:numId w:val="42"/>
        </w:numPr>
        <w:spacing w:line="240" w:lineRule="auto"/>
        <w:ind w:left="420"/>
      </w:pPr>
      <w:r>
        <w:rPr>
          <w:rFonts w:hint="eastAsia"/>
        </w:rPr>
        <w:t>管道存在渗漏、倒流，维修或更换阀门和管道；</w:t>
      </w:r>
    </w:p>
    <w:p w14:paraId="0B0EDEC8">
      <w:pPr>
        <w:pStyle w:val="169"/>
        <w:numPr>
          <w:ilvl w:val="0"/>
          <w:numId w:val="42"/>
        </w:numPr>
        <w:spacing w:line="240" w:lineRule="auto"/>
        <w:ind w:left="420"/>
      </w:pPr>
      <w:r>
        <w:rPr>
          <w:rFonts w:hint="eastAsia"/>
        </w:rPr>
        <w:t>传感器有沉积的杂质、水垢等，及时进行清理；</w:t>
      </w:r>
    </w:p>
    <w:p w14:paraId="54855068">
      <w:pPr>
        <w:pStyle w:val="169"/>
        <w:numPr>
          <w:ilvl w:val="0"/>
          <w:numId w:val="42"/>
        </w:numPr>
        <w:spacing w:line="240" w:lineRule="auto"/>
        <w:ind w:left="420"/>
      </w:pPr>
      <w:r>
        <w:rPr>
          <w:rFonts w:hint="eastAsia"/>
        </w:rPr>
        <w:t>传感器或转换器损坏，联系设备厂家维修或更换。</w:t>
      </w:r>
    </w:p>
    <w:p w14:paraId="2300BE24">
      <w:pPr>
        <w:pStyle w:val="166"/>
        <w:spacing w:before="156" w:beforeLines="50" w:after="156" w:afterLines="50" w:line="240" w:lineRule="auto"/>
        <w:ind w:left="0"/>
        <w:rPr>
          <w:rFonts w:hint="eastAsia" w:ascii="黑体" w:hAnsi="黑体" w:eastAsia="黑体" w:cs="黑体"/>
        </w:rPr>
      </w:pPr>
      <w:r>
        <w:rPr>
          <w:rFonts w:hint="eastAsia" w:ascii="黑体" w:hAnsi="黑体" w:eastAsia="黑体" w:cs="黑体"/>
        </w:rPr>
        <w:t>遥测终端设备故障处置方法</w:t>
      </w:r>
    </w:p>
    <w:p w14:paraId="6E8B3794">
      <w:pPr>
        <w:pStyle w:val="169"/>
        <w:spacing w:line="240" w:lineRule="auto"/>
      </w:pPr>
      <w:r>
        <w:rPr>
          <w:rFonts w:hint="eastAsia"/>
        </w:rPr>
        <w:t>遥测终端设备不能正常工作时，应按产品说明书进行排查处置；若无法恢复，应及时更换新设备。</w:t>
      </w:r>
    </w:p>
    <w:p w14:paraId="6DE0140F">
      <w:pPr>
        <w:pStyle w:val="169"/>
        <w:spacing w:line="240" w:lineRule="auto"/>
      </w:pPr>
      <w:r>
        <w:rPr>
          <w:rFonts w:hint="eastAsia"/>
        </w:rPr>
        <w:t>遥测终端设备无法接收数据时，检查遥测终端设备与流量计连接是否正常，传输协议配置是否正确并处置。</w:t>
      </w:r>
    </w:p>
    <w:p w14:paraId="486E87D9">
      <w:pPr>
        <w:pStyle w:val="169"/>
        <w:spacing w:line="240" w:lineRule="auto"/>
      </w:pPr>
      <w:r>
        <w:rPr>
          <w:rFonts w:hint="eastAsia"/>
        </w:rPr>
        <w:t>遥测终端设备无法向监控平台发送信息时，应进行以下检查并处置：</w:t>
      </w:r>
    </w:p>
    <w:p w14:paraId="535E682C">
      <w:pPr>
        <w:pStyle w:val="169"/>
        <w:numPr>
          <w:ilvl w:val="0"/>
          <w:numId w:val="43"/>
        </w:numPr>
        <w:spacing w:line="240" w:lineRule="auto"/>
        <w:ind w:left="420"/>
      </w:pPr>
      <w:r>
        <w:rPr>
          <w:rFonts w:hint="eastAsia"/>
        </w:rPr>
        <w:t>检查取水计量监测站点区域通讯信号强弱情况并采取对应措施；</w:t>
      </w:r>
    </w:p>
    <w:p w14:paraId="67CF3FBE">
      <w:pPr>
        <w:pStyle w:val="169"/>
        <w:numPr>
          <w:ilvl w:val="0"/>
          <w:numId w:val="43"/>
        </w:numPr>
        <w:spacing w:line="240" w:lineRule="auto"/>
        <w:ind w:left="420"/>
      </w:pPr>
      <w:r>
        <w:rPr>
          <w:rFonts w:hint="eastAsia"/>
        </w:rPr>
        <w:t>检查通讯卡是否接触不良、损坏或号码欠费并视情处置；</w:t>
      </w:r>
    </w:p>
    <w:p w14:paraId="14CD3B1C">
      <w:pPr>
        <w:pStyle w:val="169"/>
        <w:numPr>
          <w:ilvl w:val="0"/>
          <w:numId w:val="43"/>
        </w:numPr>
        <w:spacing w:line="240" w:lineRule="auto"/>
        <w:ind w:left="420"/>
      </w:pPr>
      <w:r>
        <w:rPr>
          <w:rFonts w:hint="eastAsia"/>
        </w:rPr>
        <w:t>检查遥测终端设备中心站号、IP地址设置是否正确或者实际发生变更并恢复；</w:t>
      </w:r>
    </w:p>
    <w:p w14:paraId="206167E8">
      <w:pPr>
        <w:pStyle w:val="169"/>
        <w:numPr>
          <w:ilvl w:val="0"/>
          <w:numId w:val="43"/>
        </w:numPr>
        <w:spacing w:line="240" w:lineRule="auto"/>
        <w:ind w:left="420"/>
      </w:pPr>
      <w:r>
        <w:rPr>
          <w:rFonts w:hint="eastAsia"/>
        </w:rPr>
        <w:t>检查发现存在无法排查修复的硬件故障，宜采取先换后修的方式进行故障处置；</w:t>
      </w:r>
    </w:p>
    <w:p w14:paraId="53DBF4BD">
      <w:pPr>
        <w:pStyle w:val="169"/>
        <w:numPr>
          <w:ilvl w:val="0"/>
          <w:numId w:val="43"/>
        </w:numPr>
        <w:spacing w:line="240" w:lineRule="auto"/>
        <w:ind w:left="420"/>
      </w:pPr>
      <w:r>
        <w:rPr>
          <w:rFonts w:hint="eastAsia"/>
        </w:rPr>
        <w:t>配合检查系统平台通讯端口是否开启并重新联调。</w:t>
      </w:r>
    </w:p>
    <w:p w14:paraId="3848DF1C">
      <w:pPr>
        <w:pStyle w:val="166"/>
        <w:spacing w:before="156" w:beforeLines="50" w:after="156" w:afterLines="50" w:line="240" w:lineRule="auto"/>
        <w:ind w:left="0"/>
        <w:rPr>
          <w:rFonts w:hint="eastAsia" w:ascii="黑体" w:hAnsi="黑体" w:eastAsia="黑体" w:cs="黑体"/>
        </w:rPr>
      </w:pPr>
      <w:r>
        <w:rPr>
          <w:rFonts w:hint="eastAsia" w:ascii="黑体" w:hAnsi="黑体" w:eastAsia="黑体" w:cs="黑体"/>
        </w:rPr>
        <w:t>应急响应</w:t>
      </w:r>
    </w:p>
    <w:p w14:paraId="5EA416F4">
      <w:pPr>
        <w:pStyle w:val="169"/>
        <w:spacing w:line="240" w:lineRule="auto"/>
      </w:pPr>
      <w:r>
        <w:rPr>
          <w:rFonts w:hint="eastAsia"/>
        </w:rPr>
        <w:t>配备7×24小时电话响应服务，对取水户反映的取水计量监测站点故障问题做出基本判定，简单故障电话操作指导取水户排除故障问题。</w:t>
      </w:r>
    </w:p>
    <w:p w14:paraId="58116A0D">
      <w:pPr>
        <w:pStyle w:val="169"/>
        <w:spacing w:line="240" w:lineRule="auto"/>
      </w:pPr>
      <w:r>
        <w:rPr>
          <w:rFonts w:hint="eastAsia"/>
        </w:rPr>
        <w:t>对通过电话服务仍无法排除取水计量监测站点故障的，24小时内指派工程师到故障现场，指导排除故障问题。故障不能解决的，联系设备生产厂家维修或更换设备。</w:t>
      </w:r>
    </w:p>
    <w:p w14:paraId="2F1E65A4">
      <w:pPr>
        <w:pStyle w:val="169"/>
        <w:spacing w:line="240" w:lineRule="auto"/>
        <w:rPr>
          <w:highlight w:val="none"/>
        </w:rPr>
      </w:pPr>
      <w:r>
        <w:rPr>
          <w:rFonts w:hint="eastAsia"/>
        </w:rPr>
        <w:t>当取水计量监测站点发生火灾、水灾、雷击等事故时，在确认现场情况后应及时上报，并在完成设施</w:t>
      </w:r>
      <w:r>
        <w:rPr>
          <w:rFonts w:hint="eastAsia"/>
          <w:highlight w:val="none"/>
        </w:rPr>
        <w:t>维修、更换工作后24小时内进行现场核实，确认取水计量监测站点正常运行。</w:t>
      </w:r>
    </w:p>
    <w:p w14:paraId="4EC7F243">
      <w:pPr>
        <w:pStyle w:val="169"/>
        <w:spacing w:line="240" w:lineRule="auto"/>
        <w:rPr>
          <w:highlight w:val="none"/>
        </w:rPr>
      </w:pPr>
      <w:r>
        <w:rPr>
          <w:rFonts w:hint="eastAsia"/>
          <w:highlight w:val="none"/>
        </w:rPr>
        <w:t>系统平台出现故障时，应及时响应并排除故障，故障恢复时间按SL 715规定的三级服务等级执行；如无法在规定时间内恢复故障的，应及时上报，提出处理方案。</w:t>
      </w:r>
    </w:p>
    <w:p w14:paraId="3DB0155B">
      <w:pPr>
        <w:pStyle w:val="108"/>
        <w:spacing w:before="312" w:after="312" w:line="240" w:lineRule="auto"/>
        <w:rPr>
          <w:szCs w:val="21"/>
        </w:rPr>
      </w:pPr>
      <w:bookmarkStart w:id="104" w:name="_Toc240896220"/>
      <w:r>
        <w:rPr>
          <w:rFonts w:hint="eastAsia"/>
          <w:szCs w:val="21"/>
        </w:rPr>
        <w:t>档案管理</w:t>
      </w:r>
      <w:bookmarkEnd w:id="104"/>
    </w:p>
    <w:p w14:paraId="60DBE356">
      <w:pPr>
        <w:pStyle w:val="166"/>
        <w:spacing w:before="156" w:beforeLines="50" w:after="156" w:afterLines="50" w:line="240" w:lineRule="auto"/>
        <w:ind w:left="0"/>
        <w:rPr>
          <w:rFonts w:hint="eastAsia" w:ascii="黑体" w:hAnsi="黑体" w:eastAsia="黑体" w:cs="黑体"/>
        </w:rPr>
      </w:pPr>
      <w:r>
        <w:rPr>
          <w:rFonts w:hint="eastAsia" w:ascii="黑体" w:hAnsi="黑体" w:eastAsia="黑体" w:cs="黑体"/>
        </w:rPr>
        <w:t>计量监测数据档案管理</w:t>
      </w:r>
    </w:p>
    <w:p w14:paraId="673840F6">
      <w:pPr>
        <w:pStyle w:val="169"/>
        <w:spacing w:line="240" w:lineRule="auto"/>
      </w:pPr>
      <w:r>
        <w:rPr>
          <w:rFonts w:hint="eastAsia"/>
        </w:rPr>
        <w:t>每年应对计量监测数据采用数字存储介质进行归档管理。</w:t>
      </w:r>
    </w:p>
    <w:p w14:paraId="0F208E4B">
      <w:pPr>
        <w:pStyle w:val="166"/>
        <w:spacing w:before="156" w:beforeLines="50" w:after="156" w:afterLines="50" w:line="240" w:lineRule="auto"/>
        <w:ind w:left="0"/>
        <w:rPr>
          <w:rFonts w:hint="eastAsia" w:ascii="黑体" w:hAnsi="黑体" w:eastAsia="黑体" w:cs="黑体"/>
        </w:rPr>
      </w:pPr>
      <w:bookmarkStart w:id="105" w:name="OLE_LINK15"/>
      <w:r>
        <w:rPr>
          <w:rFonts w:hint="eastAsia" w:ascii="黑体" w:hAnsi="黑体" w:eastAsia="黑体" w:cs="黑体"/>
        </w:rPr>
        <w:t>取水计量在线监测设施运维档案</w:t>
      </w:r>
      <w:bookmarkEnd w:id="105"/>
      <w:r>
        <w:rPr>
          <w:rFonts w:hint="eastAsia" w:ascii="黑体" w:hAnsi="黑体" w:eastAsia="黑体" w:cs="黑体"/>
        </w:rPr>
        <w:t>管理</w:t>
      </w:r>
    </w:p>
    <w:p w14:paraId="2ACEA0A9">
      <w:pPr>
        <w:pStyle w:val="169"/>
        <w:spacing w:line="240" w:lineRule="auto"/>
      </w:pPr>
      <w:r>
        <w:rPr>
          <w:rFonts w:hint="eastAsia"/>
        </w:rPr>
        <w:t>取水计量在线监测设施运维档案包括取水计量监测站点基本信息档案、</w:t>
      </w:r>
      <w:bookmarkStart w:id="106" w:name="OLE_LINK13"/>
      <w:r>
        <w:rPr>
          <w:rFonts w:hint="eastAsia"/>
        </w:rPr>
        <w:t>取水计量在线监测点巡检维护记录档案、系统平台巡检维护记录档案、</w:t>
      </w:r>
      <w:bookmarkEnd w:id="106"/>
      <w:bookmarkStart w:id="107" w:name="OLE_LINK14"/>
      <w:r>
        <w:rPr>
          <w:rFonts w:hint="eastAsia"/>
        </w:rPr>
        <w:t>取水计量在线监测点</w:t>
      </w:r>
      <w:bookmarkStart w:id="108" w:name="OLE_LINK12"/>
      <w:r>
        <w:rPr>
          <w:rFonts w:hint="eastAsia"/>
        </w:rPr>
        <w:t>故障处置记录档案</w:t>
      </w:r>
      <w:bookmarkEnd w:id="108"/>
      <w:r>
        <w:rPr>
          <w:rFonts w:hint="eastAsia"/>
        </w:rPr>
        <w:t>、系统平台故障处置记录档案</w:t>
      </w:r>
      <w:bookmarkEnd w:id="107"/>
      <w:r>
        <w:rPr>
          <w:rFonts w:hint="eastAsia"/>
        </w:rPr>
        <w:t>。</w:t>
      </w:r>
    </w:p>
    <w:p w14:paraId="7327EAE1">
      <w:pPr>
        <w:pStyle w:val="169"/>
        <w:spacing w:line="240" w:lineRule="auto"/>
      </w:pPr>
      <w:r>
        <w:rPr>
          <w:rFonts w:hint="eastAsia"/>
        </w:rPr>
        <w:t>取水计量在线监测设施运维管理档案可分为电子档案和纸质档案；档案信息发生变化时，应及时更新。</w:t>
      </w:r>
    </w:p>
    <w:p w14:paraId="1A021C27">
      <w:pPr>
        <w:pStyle w:val="169"/>
        <w:spacing w:line="240" w:lineRule="auto"/>
      </w:pPr>
      <w:r>
        <w:rPr>
          <w:rFonts w:hint="eastAsia"/>
        </w:rPr>
        <w:t>每次巡检维护工作完成后，应对取水计量在线监测点巡检维护记录、系统平台巡检维护记录进行归档管理。</w:t>
      </w:r>
    </w:p>
    <w:p w14:paraId="5C229B49">
      <w:pPr>
        <w:pStyle w:val="169"/>
        <w:spacing w:line="240" w:lineRule="auto"/>
      </w:pPr>
      <w:r>
        <w:rPr>
          <w:rFonts w:hint="eastAsia"/>
        </w:rPr>
        <w:t>每次故障处置工作完成后，应对取水计量在线监测点故障处置记录、系统平台故障处置记录进行归档管理。</w:t>
      </w:r>
    </w:p>
    <w:p w14:paraId="634D051E">
      <w:pPr>
        <w:pStyle w:val="169"/>
        <w:spacing w:line="240" w:lineRule="auto"/>
      </w:pPr>
      <w:r>
        <w:rPr>
          <w:rFonts w:hint="eastAsia"/>
        </w:rPr>
        <w:t>取水计量在线监测设施运维管理档案的保管、使用、借出应按JJF 2245的要求执行。</w:t>
      </w:r>
    </w:p>
    <w:p w14:paraId="21678408">
      <w:pPr>
        <w:pStyle w:val="169"/>
        <w:numPr>
          <w:ilvl w:val="0"/>
          <w:numId w:val="0"/>
        </w:numPr>
        <w:spacing w:line="240" w:lineRule="auto"/>
      </w:pPr>
    </w:p>
    <w:p w14:paraId="36EED1CF">
      <w:pPr>
        <w:pStyle w:val="60"/>
        <w:ind w:firstLine="420"/>
        <w:sectPr>
          <w:footerReference r:id="rId14" w:type="even"/>
          <w:pgSz w:w="11906" w:h="16838"/>
          <w:pgMar w:top="1928" w:right="1134" w:bottom="1134" w:left="1134" w:header="1418" w:footer="1134" w:gutter="284"/>
          <w:pgNumType w:start="1"/>
          <w:cols w:space="425" w:num="1"/>
          <w:formProt w:val="0"/>
          <w:docGrid w:type="lines" w:linePitch="312" w:charSpace="0"/>
        </w:sectPr>
      </w:pPr>
    </w:p>
    <w:bookmarkEnd w:id="89"/>
    <w:bookmarkEnd w:id="90"/>
    <w:p w14:paraId="09C9B06F">
      <w:pPr>
        <w:pStyle w:val="80"/>
        <w:spacing w:before="0" w:after="156" w:line="240" w:lineRule="auto"/>
      </w:pPr>
      <w:bookmarkStart w:id="126" w:name="_GoBack"/>
      <w:bookmarkEnd w:id="126"/>
      <w:r>
        <w:br w:type="textWrapping"/>
      </w:r>
      <w:bookmarkStart w:id="109" w:name="_Toc145357831"/>
      <w:bookmarkStart w:id="110" w:name="_Toc240896221"/>
      <w:r>
        <w:rPr>
          <w:rFonts w:hint="eastAsia"/>
        </w:rPr>
        <w:t>（资料性）</w:t>
      </w:r>
      <w:r>
        <w:br w:type="textWrapping"/>
      </w:r>
      <w:r>
        <w:rPr>
          <w:rFonts w:hint="eastAsia"/>
        </w:rPr>
        <w:t>取水计量监测站点基本信息表样式</w:t>
      </w:r>
      <w:bookmarkEnd w:id="109"/>
      <w:bookmarkEnd w:id="110"/>
    </w:p>
    <w:p w14:paraId="19823578">
      <w:pPr>
        <w:pStyle w:val="60"/>
        <w:ind w:firstLine="420"/>
      </w:pPr>
      <w:r>
        <w:rPr>
          <w:rFonts w:hint="eastAsia"/>
        </w:rPr>
        <w:t>取水计量监测站点基本信息表样式见表A</w:t>
      </w:r>
      <w:r>
        <w:t>.1</w:t>
      </w:r>
      <w:r>
        <w:rPr>
          <w:rFonts w:hint="eastAsia"/>
        </w:rPr>
        <w:t>。</w:t>
      </w:r>
    </w:p>
    <w:p w14:paraId="3349F757">
      <w:pPr>
        <w:pStyle w:val="81"/>
        <w:numPr>
          <w:ilvl w:val="1"/>
          <w:numId w:val="44"/>
        </w:numPr>
        <w:spacing w:before="156" w:after="156"/>
      </w:pPr>
      <w:bookmarkStart w:id="111" w:name="_Toc1031716255"/>
      <w:r>
        <w:rPr>
          <w:rFonts w:hint="eastAsia"/>
        </w:rPr>
        <w:t xml:space="preserve"> 取水计量监测站点基本信息表</w:t>
      </w:r>
      <w:bookmarkEnd w:id="111"/>
    </w:p>
    <w:tbl>
      <w:tblPr>
        <w:tblStyle w:val="29"/>
        <w:tblW w:w="9570"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2050"/>
        <w:gridCol w:w="2760"/>
        <w:gridCol w:w="2410"/>
        <w:gridCol w:w="2350"/>
      </w:tblGrid>
      <w:tr w14:paraId="713B746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9570" w:type="dxa"/>
            <w:gridSpan w:val="4"/>
            <w:tcBorders>
              <w:top w:val="single" w:color="auto" w:sz="8" w:space="0"/>
              <w:left w:val="single" w:color="auto" w:sz="8" w:space="0"/>
              <w:bottom w:val="single" w:color="auto" w:sz="2" w:space="0"/>
              <w:right w:val="single" w:color="auto" w:sz="8" w:space="0"/>
            </w:tcBorders>
            <w:vAlign w:val="center"/>
          </w:tcPr>
          <w:p w14:paraId="37A287AB">
            <w:pPr>
              <w:pStyle w:val="234"/>
              <w:widowControl w:val="0"/>
              <w:spacing w:after="0"/>
              <w:ind w:firstLine="0" w:firstLineChars="0"/>
              <w:jc w:val="center"/>
              <w:rPr>
                <w:rFonts w:hint="eastAsia" w:hAnsi="宋体"/>
                <w:b/>
                <w:bCs/>
                <w:sz w:val="18"/>
                <w:szCs w:val="18"/>
              </w:rPr>
            </w:pPr>
            <w:r>
              <w:rPr>
                <w:rFonts w:hint="eastAsia" w:hAnsi="宋体"/>
                <w:b/>
                <w:bCs/>
                <w:sz w:val="18"/>
                <w:szCs w:val="18"/>
              </w:rPr>
              <w:t>取水户信息</w:t>
            </w:r>
          </w:p>
        </w:tc>
      </w:tr>
      <w:tr w14:paraId="3F5342A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2050" w:type="dxa"/>
            <w:tcBorders>
              <w:top w:val="single" w:color="auto" w:sz="2" w:space="0"/>
              <w:left w:val="single" w:color="auto" w:sz="8" w:space="0"/>
              <w:bottom w:val="single" w:color="auto" w:sz="2" w:space="0"/>
              <w:right w:val="single" w:color="auto" w:sz="2" w:space="0"/>
            </w:tcBorders>
            <w:vAlign w:val="center"/>
          </w:tcPr>
          <w:p w14:paraId="10ED5FA0">
            <w:pPr>
              <w:pStyle w:val="234"/>
              <w:widowControl w:val="0"/>
              <w:spacing w:after="0"/>
              <w:ind w:firstLine="0" w:firstLineChars="0"/>
              <w:jc w:val="center"/>
              <w:rPr>
                <w:rFonts w:hint="eastAsia" w:hAnsi="宋体"/>
                <w:sz w:val="18"/>
                <w:szCs w:val="18"/>
              </w:rPr>
            </w:pPr>
            <w:r>
              <w:rPr>
                <w:rFonts w:hint="eastAsia" w:hAnsi="宋体"/>
                <w:sz w:val="18"/>
                <w:szCs w:val="18"/>
              </w:rPr>
              <w:t>取水户名称</w:t>
            </w:r>
          </w:p>
        </w:tc>
        <w:tc>
          <w:tcPr>
            <w:tcW w:w="2760" w:type="dxa"/>
            <w:tcBorders>
              <w:top w:val="single" w:color="auto" w:sz="2" w:space="0"/>
              <w:left w:val="nil"/>
              <w:bottom w:val="single" w:color="auto" w:sz="2" w:space="0"/>
              <w:right w:val="single" w:color="auto" w:sz="2" w:space="0"/>
            </w:tcBorders>
            <w:vAlign w:val="center"/>
          </w:tcPr>
          <w:p w14:paraId="7D7A2642">
            <w:pPr>
              <w:pStyle w:val="234"/>
              <w:widowControl w:val="0"/>
              <w:spacing w:after="0"/>
              <w:ind w:firstLine="0" w:firstLineChars="0"/>
              <w:jc w:val="center"/>
              <w:rPr>
                <w:rFonts w:hint="eastAsia" w:hAnsi="宋体"/>
                <w:sz w:val="18"/>
                <w:szCs w:val="18"/>
              </w:rPr>
            </w:pPr>
          </w:p>
        </w:tc>
        <w:tc>
          <w:tcPr>
            <w:tcW w:w="2410" w:type="dxa"/>
            <w:tcBorders>
              <w:top w:val="single" w:color="auto" w:sz="2" w:space="0"/>
              <w:left w:val="nil"/>
              <w:bottom w:val="single" w:color="auto" w:sz="2" w:space="0"/>
              <w:right w:val="single" w:color="auto" w:sz="2" w:space="0"/>
            </w:tcBorders>
            <w:vAlign w:val="center"/>
          </w:tcPr>
          <w:p w14:paraId="521AA777">
            <w:pPr>
              <w:pStyle w:val="234"/>
              <w:widowControl w:val="0"/>
              <w:spacing w:after="0"/>
              <w:ind w:firstLine="0" w:firstLineChars="0"/>
              <w:jc w:val="center"/>
              <w:rPr>
                <w:rFonts w:hint="eastAsia" w:hAnsi="宋体"/>
                <w:sz w:val="18"/>
                <w:szCs w:val="18"/>
              </w:rPr>
            </w:pPr>
            <w:r>
              <w:rPr>
                <w:rFonts w:hint="eastAsia" w:hAnsi="宋体"/>
                <w:sz w:val="18"/>
                <w:szCs w:val="18"/>
              </w:rPr>
              <w:t>取水许可电子证编码</w:t>
            </w:r>
          </w:p>
        </w:tc>
        <w:tc>
          <w:tcPr>
            <w:tcW w:w="2350" w:type="dxa"/>
            <w:tcBorders>
              <w:top w:val="single" w:color="auto" w:sz="2" w:space="0"/>
              <w:left w:val="nil"/>
              <w:bottom w:val="single" w:color="auto" w:sz="2" w:space="0"/>
              <w:right w:val="single" w:color="auto" w:sz="8" w:space="0"/>
            </w:tcBorders>
            <w:vAlign w:val="center"/>
          </w:tcPr>
          <w:p w14:paraId="639752E0">
            <w:pPr>
              <w:pStyle w:val="234"/>
              <w:widowControl w:val="0"/>
              <w:spacing w:after="0"/>
              <w:ind w:firstLine="0" w:firstLineChars="0"/>
              <w:jc w:val="center"/>
              <w:rPr>
                <w:rFonts w:hint="eastAsia" w:hAnsi="宋体"/>
                <w:sz w:val="18"/>
                <w:szCs w:val="18"/>
              </w:rPr>
            </w:pPr>
          </w:p>
        </w:tc>
      </w:tr>
      <w:tr w14:paraId="5A5B652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2050" w:type="dxa"/>
            <w:tcBorders>
              <w:top w:val="single" w:color="auto" w:sz="2" w:space="0"/>
              <w:left w:val="single" w:color="auto" w:sz="8" w:space="0"/>
              <w:bottom w:val="single" w:color="auto" w:sz="2" w:space="0"/>
              <w:right w:val="single" w:color="auto" w:sz="2" w:space="0"/>
            </w:tcBorders>
            <w:vAlign w:val="center"/>
          </w:tcPr>
          <w:p w14:paraId="782FD980">
            <w:pPr>
              <w:pStyle w:val="234"/>
              <w:widowControl w:val="0"/>
              <w:spacing w:after="0"/>
              <w:ind w:firstLine="0" w:firstLineChars="0"/>
              <w:jc w:val="center"/>
              <w:rPr>
                <w:rFonts w:hint="eastAsia" w:hAnsi="宋体"/>
                <w:sz w:val="18"/>
                <w:szCs w:val="18"/>
              </w:rPr>
            </w:pPr>
            <w:r>
              <w:rPr>
                <w:rFonts w:hint="eastAsia" w:hAnsi="宋体"/>
                <w:sz w:val="18"/>
                <w:szCs w:val="18"/>
              </w:rPr>
              <w:t>取水户联系人</w:t>
            </w:r>
          </w:p>
        </w:tc>
        <w:tc>
          <w:tcPr>
            <w:tcW w:w="2760" w:type="dxa"/>
            <w:tcBorders>
              <w:top w:val="single" w:color="auto" w:sz="2" w:space="0"/>
              <w:left w:val="nil"/>
              <w:bottom w:val="single" w:color="auto" w:sz="2" w:space="0"/>
              <w:right w:val="single" w:color="auto" w:sz="2" w:space="0"/>
            </w:tcBorders>
            <w:vAlign w:val="center"/>
          </w:tcPr>
          <w:p w14:paraId="5EB7FA7C">
            <w:pPr>
              <w:pStyle w:val="234"/>
              <w:widowControl w:val="0"/>
              <w:spacing w:after="0"/>
              <w:ind w:firstLine="0" w:firstLineChars="0"/>
              <w:jc w:val="center"/>
              <w:rPr>
                <w:rFonts w:hint="eastAsia" w:hAnsi="宋体"/>
                <w:sz w:val="18"/>
                <w:szCs w:val="18"/>
              </w:rPr>
            </w:pPr>
          </w:p>
        </w:tc>
        <w:tc>
          <w:tcPr>
            <w:tcW w:w="2410" w:type="dxa"/>
            <w:tcBorders>
              <w:top w:val="single" w:color="auto" w:sz="2" w:space="0"/>
              <w:left w:val="nil"/>
              <w:bottom w:val="single" w:color="auto" w:sz="2" w:space="0"/>
              <w:right w:val="single" w:color="auto" w:sz="2" w:space="0"/>
            </w:tcBorders>
            <w:vAlign w:val="center"/>
          </w:tcPr>
          <w:p w14:paraId="531151F8">
            <w:pPr>
              <w:pStyle w:val="234"/>
              <w:widowControl w:val="0"/>
              <w:spacing w:after="0"/>
              <w:ind w:firstLine="0" w:firstLineChars="0"/>
              <w:jc w:val="center"/>
              <w:rPr>
                <w:rFonts w:hint="eastAsia" w:hAnsi="宋体"/>
                <w:sz w:val="18"/>
                <w:szCs w:val="18"/>
              </w:rPr>
            </w:pPr>
            <w:r>
              <w:rPr>
                <w:rFonts w:hint="eastAsia" w:hAnsi="宋体"/>
                <w:sz w:val="18"/>
                <w:szCs w:val="18"/>
              </w:rPr>
              <w:t>联系方式</w:t>
            </w:r>
          </w:p>
        </w:tc>
        <w:tc>
          <w:tcPr>
            <w:tcW w:w="2350" w:type="dxa"/>
            <w:tcBorders>
              <w:top w:val="single" w:color="auto" w:sz="2" w:space="0"/>
              <w:left w:val="nil"/>
              <w:bottom w:val="single" w:color="auto" w:sz="2" w:space="0"/>
              <w:right w:val="single" w:color="auto" w:sz="8" w:space="0"/>
            </w:tcBorders>
            <w:vAlign w:val="center"/>
          </w:tcPr>
          <w:p w14:paraId="5A8278A6">
            <w:pPr>
              <w:pStyle w:val="234"/>
              <w:widowControl w:val="0"/>
              <w:spacing w:after="0"/>
              <w:ind w:firstLine="0" w:firstLineChars="0"/>
              <w:jc w:val="center"/>
              <w:rPr>
                <w:rFonts w:hint="eastAsia" w:hAnsi="宋体"/>
                <w:sz w:val="18"/>
                <w:szCs w:val="18"/>
              </w:rPr>
            </w:pPr>
          </w:p>
        </w:tc>
      </w:tr>
      <w:tr w14:paraId="285951E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2050" w:type="dxa"/>
            <w:tcBorders>
              <w:top w:val="single" w:color="auto" w:sz="2" w:space="0"/>
              <w:left w:val="single" w:color="auto" w:sz="8" w:space="0"/>
              <w:bottom w:val="single" w:color="auto" w:sz="2" w:space="0"/>
              <w:right w:val="single" w:color="auto" w:sz="2" w:space="0"/>
            </w:tcBorders>
            <w:vAlign w:val="center"/>
          </w:tcPr>
          <w:p w14:paraId="7F454643">
            <w:pPr>
              <w:pStyle w:val="234"/>
              <w:widowControl w:val="0"/>
              <w:spacing w:after="0"/>
              <w:ind w:firstLine="0" w:firstLineChars="0"/>
              <w:jc w:val="center"/>
              <w:rPr>
                <w:rFonts w:hint="eastAsia" w:hAnsi="宋体"/>
                <w:sz w:val="18"/>
                <w:szCs w:val="18"/>
              </w:rPr>
            </w:pPr>
            <w:r>
              <w:rPr>
                <w:rFonts w:hint="eastAsia" w:hAnsi="宋体"/>
                <w:sz w:val="18"/>
                <w:szCs w:val="18"/>
              </w:rPr>
              <w:t>取水水源类型</w:t>
            </w:r>
          </w:p>
        </w:tc>
        <w:tc>
          <w:tcPr>
            <w:tcW w:w="7520" w:type="dxa"/>
            <w:gridSpan w:val="3"/>
            <w:tcBorders>
              <w:top w:val="single" w:color="auto" w:sz="2" w:space="0"/>
              <w:left w:val="nil"/>
              <w:bottom w:val="single" w:color="auto" w:sz="2" w:space="0"/>
              <w:right w:val="single" w:color="auto" w:sz="8" w:space="0"/>
            </w:tcBorders>
            <w:vAlign w:val="center"/>
          </w:tcPr>
          <w:p w14:paraId="1FA56D28">
            <w:pPr>
              <w:pStyle w:val="234"/>
              <w:widowControl w:val="0"/>
              <w:spacing w:after="0"/>
              <w:ind w:firstLine="0" w:firstLineChars="0"/>
              <w:jc w:val="center"/>
              <w:rPr>
                <w:rFonts w:hint="eastAsia" w:hAnsi="宋体"/>
                <w:sz w:val="18"/>
                <w:szCs w:val="18"/>
              </w:rPr>
            </w:pPr>
            <w:r>
              <w:rPr>
                <w:rFonts w:hint="eastAsia" w:hAnsi="宋体"/>
                <w:sz w:val="18"/>
                <w:szCs w:val="18"/>
              </w:rPr>
              <w:t>地表水□      地下水□    非常规水源□</w:t>
            </w:r>
          </w:p>
        </w:tc>
      </w:tr>
      <w:tr w14:paraId="7C98154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2050" w:type="dxa"/>
            <w:tcBorders>
              <w:top w:val="single" w:color="auto" w:sz="2" w:space="0"/>
              <w:left w:val="single" w:color="auto" w:sz="8" w:space="0"/>
              <w:bottom w:val="single" w:color="auto" w:sz="2" w:space="0"/>
              <w:right w:val="single" w:color="auto" w:sz="2" w:space="0"/>
            </w:tcBorders>
            <w:vAlign w:val="center"/>
          </w:tcPr>
          <w:p w14:paraId="05A7D181">
            <w:pPr>
              <w:pStyle w:val="234"/>
              <w:widowControl w:val="0"/>
              <w:spacing w:after="0"/>
              <w:ind w:firstLine="0" w:firstLineChars="0"/>
              <w:jc w:val="center"/>
              <w:rPr>
                <w:rFonts w:hint="eastAsia" w:hAnsi="宋体"/>
                <w:sz w:val="18"/>
                <w:szCs w:val="18"/>
              </w:rPr>
            </w:pPr>
            <w:r>
              <w:rPr>
                <w:rFonts w:hint="eastAsia" w:hAnsi="宋体"/>
                <w:sz w:val="18"/>
                <w:szCs w:val="18"/>
              </w:rPr>
              <w:t>取水类型</w:t>
            </w:r>
          </w:p>
        </w:tc>
        <w:tc>
          <w:tcPr>
            <w:tcW w:w="7520" w:type="dxa"/>
            <w:gridSpan w:val="3"/>
            <w:tcBorders>
              <w:top w:val="single" w:color="auto" w:sz="2" w:space="0"/>
              <w:left w:val="nil"/>
              <w:bottom w:val="single" w:color="auto" w:sz="2" w:space="0"/>
              <w:right w:val="single" w:color="auto" w:sz="8" w:space="0"/>
            </w:tcBorders>
            <w:vAlign w:val="center"/>
          </w:tcPr>
          <w:p w14:paraId="121CF963">
            <w:pPr>
              <w:pStyle w:val="234"/>
              <w:widowControl w:val="0"/>
              <w:spacing w:after="0"/>
              <w:ind w:firstLine="0" w:firstLineChars="0"/>
              <w:jc w:val="center"/>
              <w:rPr>
                <w:rFonts w:hint="eastAsia" w:hAnsi="宋体"/>
                <w:sz w:val="18"/>
                <w:szCs w:val="18"/>
              </w:rPr>
            </w:pPr>
            <w:r>
              <w:rPr>
                <w:rFonts w:hint="eastAsia" w:hAnsi="宋体"/>
                <w:sz w:val="18"/>
                <w:szCs w:val="18"/>
              </w:rPr>
              <w:t>水资源配置□     河道内生产□     基础设施或公共事业□     自备水源□</w:t>
            </w:r>
          </w:p>
        </w:tc>
      </w:tr>
      <w:tr w14:paraId="3FC787C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2050" w:type="dxa"/>
            <w:tcBorders>
              <w:top w:val="single" w:color="auto" w:sz="2" w:space="0"/>
              <w:left w:val="single" w:color="auto" w:sz="8" w:space="0"/>
              <w:bottom w:val="single" w:color="auto" w:sz="2" w:space="0"/>
              <w:right w:val="single" w:color="auto" w:sz="2" w:space="0"/>
            </w:tcBorders>
            <w:vAlign w:val="center"/>
          </w:tcPr>
          <w:p w14:paraId="7175BF47">
            <w:pPr>
              <w:pStyle w:val="234"/>
              <w:widowControl w:val="0"/>
              <w:spacing w:after="0"/>
              <w:ind w:firstLine="0" w:firstLineChars="0"/>
              <w:jc w:val="center"/>
              <w:rPr>
                <w:rFonts w:hint="eastAsia" w:hAnsi="宋体"/>
                <w:sz w:val="18"/>
                <w:szCs w:val="18"/>
              </w:rPr>
            </w:pPr>
            <w:r>
              <w:rPr>
                <w:rFonts w:hint="eastAsia" w:hAnsi="宋体"/>
                <w:sz w:val="18"/>
                <w:szCs w:val="18"/>
              </w:rPr>
              <w:t>取水用途</w:t>
            </w:r>
          </w:p>
        </w:tc>
        <w:tc>
          <w:tcPr>
            <w:tcW w:w="7520" w:type="dxa"/>
            <w:gridSpan w:val="3"/>
            <w:tcBorders>
              <w:top w:val="single" w:color="auto" w:sz="2" w:space="0"/>
              <w:left w:val="nil"/>
              <w:bottom w:val="single" w:color="auto" w:sz="2" w:space="0"/>
              <w:right w:val="single" w:color="auto" w:sz="8" w:space="0"/>
            </w:tcBorders>
            <w:vAlign w:val="center"/>
          </w:tcPr>
          <w:p w14:paraId="4D37E953">
            <w:pPr>
              <w:pStyle w:val="234"/>
              <w:widowControl w:val="0"/>
              <w:spacing w:after="0"/>
              <w:ind w:firstLine="0" w:firstLineChars="0"/>
              <w:jc w:val="center"/>
              <w:rPr>
                <w:rFonts w:hint="eastAsia" w:hAnsi="宋体"/>
                <w:sz w:val="18"/>
                <w:szCs w:val="18"/>
              </w:rPr>
            </w:pPr>
            <w:r>
              <w:rPr>
                <w:rFonts w:hint="eastAsia" w:hAnsi="宋体"/>
                <w:sz w:val="18"/>
                <w:szCs w:val="18"/>
              </w:rPr>
              <w:t xml:space="preserve">制水供水□    原水供水□    生活用水□    工业用水□ </w:t>
            </w:r>
          </w:p>
          <w:p w14:paraId="72546141">
            <w:pPr>
              <w:pStyle w:val="234"/>
              <w:widowControl w:val="0"/>
              <w:spacing w:after="0"/>
              <w:ind w:firstLine="0" w:firstLineChars="0"/>
              <w:jc w:val="center"/>
              <w:rPr>
                <w:rFonts w:hint="eastAsia" w:hAnsi="宋体"/>
                <w:sz w:val="18"/>
                <w:szCs w:val="18"/>
              </w:rPr>
            </w:pPr>
            <w:r>
              <w:rPr>
                <w:rFonts w:hint="eastAsia" w:hAnsi="宋体"/>
                <w:sz w:val="18"/>
                <w:szCs w:val="18"/>
              </w:rPr>
              <w:t>火（核）电和其他电力生产用水□    建筑业用水□    服务业用水□</w:t>
            </w:r>
          </w:p>
          <w:p w14:paraId="2A23F054">
            <w:pPr>
              <w:pStyle w:val="234"/>
              <w:widowControl w:val="0"/>
              <w:spacing w:after="0"/>
              <w:ind w:firstLine="0" w:firstLineChars="0"/>
              <w:jc w:val="center"/>
              <w:rPr>
                <w:rFonts w:hint="eastAsia" w:hAnsi="宋体"/>
                <w:sz w:val="18"/>
                <w:szCs w:val="18"/>
              </w:rPr>
            </w:pPr>
            <w:r>
              <w:rPr>
                <w:rFonts w:hint="eastAsia" w:hAnsi="宋体"/>
                <w:sz w:val="18"/>
                <w:szCs w:val="18"/>
              </w:rPr>
              <w:t>生态环境用水□    其他用水□(</w:t>
            </w:r>
            <w:r>
              <w:rPr>
                <w:rFonts w:hint="eastAsia" w:hAnsi="宋体"/>
                <w:sz w:val="18"/>
                <w:szCs w:val="18"/>
                <w:u w:val="single"/>
              </w:rPr>
              <w:t xml:space="preserve">       </w:t>
            </w:r>
            <w:r>
              <w:rPr>
                <w:rFonts w:hint="eastAsia" w:hAnsi="宋体"/>
                <w:sz w:val="18"/>
                <w:szCs w:val="18"/>
              </w:rPr>
              <w:t>)</w:t>
            </w:r>
          </w:p>
        </w:tc>
      </w:tr>
      <w:tr w14:paraId="0BC2A4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9570" w:type="dxa"/>
            <w:gridSpan w:val="4"/>
            <w:tcBorders>
              <w:top w:val="single" w:color="auto" w:sz="2" w:space="0"/>
              <w:left w:val="single" w:color="auto" w:sz="8" w:space="0"/>
              <w:bottom w:val="single" w:color="auto" w:sz="2" w:space="0"/>
              <w:right w:val="single" w:color="auto" w:sz="8" w:space="0"/>
            </w:tcBorders>
            <w:vAlign w:val="center"/>
          </w:tcPr>
          <w:p w14:paraId="2E5EF3FB">
            <w:pPr>
              <w:pStyle w:val="234"/>
              <w:widowControl w:val="0"/>
              <w:spacing w:after="0"/>
              <w:ind w:firstLine="0" w:firstLineChars="0"/>
              <w:jc w:val="center"/>
              <w:rPr>
                <w:rFonts w:hint="eastAsia" w:hAnsi="宋体"/>
                <w:sz w:val="18"/>
                <w:szCs w:val="18"/>
              </w:rPr>
            </w:pPr>
            <w:r>
              <w:rPr>
                <w:rFonts w:hint="eastAsia" w:hAnsi="宋体"/>
                <w:b/>
                <w:bCs/>
                <w:sz w:val="18"/>
                <w:szCs w:val="18"/>
              </w:rPr>
              <w:t>取水计量监测站点信息</w:t>
            </w:r>
          </w:p>
        </w:tc>
      </w:tr>
      <w:tr w14:paraId="2D8BC64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2050" w:type="dxa"/>
            <w:tcBorders>
              <w:top w:val="single" w:color="auto" w:sz="2" w:space="0"/>
              <w:left w:val="single" w:color="auto" w:sz="8" w:space="0"/>
              <w:bottom w:val="single" w:color="auto" w:sz="2" w:space="0"/>
              <w:right w:val="single" w:color="auto" w:sz="2" w:space="0"/>
            </w:tcBorders>
            <w:vAlign w:val="center"/>
          </w:tcPr>
          <w:p w14:paraId="76D3955F">
            <w:pPr>
              <w:pStyle w:val="234"/>
              <w:widowControl w:val="0"/>
              <w:spacing w:after="0"/>
              <w:ind w:firstLine="0" w:firstLineChars="0"/>
              <w:jc w:val="center"/>
              <w:rPr>
                <w:rFonts w:hint="eastAsia" w:hAnsi="宋体"/>
                <w:sz w:val="18"/>
                <w:szCs w:val="18"/>
              </w:rPr>
            </w:pPr>
            <w:r>
              <w:rPr>
                <w:rFonts w:hint="eastAsia" w:hAnsi="宋体"/>
                <w:sz w:val="18"/>
                <w:szCs w:val="18"/>
              </w:rPr>
              <w:t>取水计量监测站点名称</w:t>
            </w:r>
          </w:p>
        </w:tc>
        <w:tc>
          <w:tcPr>
            <w:tcW w:w="2760" w:type="dxa"/>
            <w:tcBorders>
              <w:top w:val="single" w:color="auto" w:sz="2" w:space="0"/>
              <w:left w:val="nil"/>
              <w:bottom w:val="single" w:color="auto" w:sz="2" w:space="0"/>
              <w:right w:val="single" w:color="auto" w:sz="2" w:space="0"/>
            </w:tcBorders>
            <w:vAlign w:val="center"/>
          </w:tcPr>
          <w:p w14:paraId="2E164D88">
            <w:pPr>
              <w:pStyle w:val="234"/>
              <w:widowControl w:val="0"/>
              <w:spacing w:after="0"/>
              <w:ind w:firstLine="0" w:firstLineChars="0"/>
              <w:jc w:val="center"/>
              <w:rPr>
                <w:rFonts w:hint="eastAsia" w:hAnsi="宋体"/>
                <w:b/>
                <w:bCs/>
                <w:sz w:val="18"/>
                <w:szCs w:val="18"/>
              </w:rPr>
            </w:pPr>
          </w:p>
        </w:tc>
        <w:tc>
          <w:tcPr>
            <w:tcW w:w="2410" w:type="dxa"/>
            <w:tcBorders>
              <w:top w:val="single" w:color="auto" w:sz="2" w:space="0"/>
              <w:left w:val="nil"/>
              <w:bottom w:val="single" w:color="auto" w:sz="2" w:space="0"/>
              <w:right w:val="single" w:color="auto" w:sz="2" w:space="0"/>
            </w:tcBorders>
            <w:vAlign w:val="center"/>
          </w:tcPr>
          <w:p w14:paraId="28A9232A">
            <w:pPr>
              <w:pStyle w:val="234"/>
              <w:widowControl w:val="0"/>
              <w:spacing w:after="0"/>
              <w:ind w:firstLine="0" w:firstLineChars="0"/>
              <w:jc w:val="center"/>
              <w:rPr>
                <w:rFonts w:hint="eastAsia" w:hAnsi="宋体"/>
                <w:sz w:val="18"/>
                <w:szCs w:val="18"/>
              </w:rPr>
            </w:pPr>
            <w:r>
              <w:rPr>
                <w:rFonts w:hint="eastAsia" w:hAnsi="宋体"/>
                <w:sz w:val="18"/>
                <w:szCs w:val="18"/>
              </w:rPr>
              <w:t>取水计量监测站点编号</w:t>
            </w:r>
          </w:p>
        </w:tc>
        <w:tc>
          <w:tcPr>
            <w:tcW w:w="2350" w:type="dxa"/>
            <w:tcBorders>
              <w:top w:val="single" w:color="auto" w:sz="2" w:space="0"/>
              <w:left w:val="nil"/>
              <w:bottom w:val="single" w:color="auto" w:sz="2" w:space="0"/>
              <w:right w:val="single" w:color="auto" w:sz="8" w:space="0"/>
            </w:tcBorders>
            <w:vAlign w:val="center"/>
          </w:tcPr>
          <w:p w14:paraId="7BB6C40B">
            <w:pPr>
              <w:pStyle w:val="234"/>
              <w:widowControl w:val="0"/>
              <w:spacing w:after="0"/>
              <w:ind w:firstLine="0" w:firstLineChars="0"/>
              <w:jc w:val="center"/>
              <w:rPr>
                <w:rFonts w:hint="eastAsia" w:hAnsi="宋体"/>
                <w:sz w:val="18"/>
                <w:szCs w:val="18"/>
              </w:rPr>
            </w:pPr>
          </w:p>
        </w:tc>
      </w:tr>
      <w:tr w14:paraId="781CD4D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2050" w:type="dxa"/>
            <w:tcBorders>
              <w:top w:val="single" w:color="auto" w:sz="2" w:space="0"/>
              <w:left w:val="single" w:color="auto" w:sz="8" w:space="0"/>
              <w:bottom w:val="single" w:color="auto" w:sz="2" w:space="0"/>
              <w:right w:val="single" w:color="auto" w:sz="2" w:space="0"/>
            </w:tcBorders>
            <w:vAlign w:val="center"/>
          </w:tcPr>
          <w:p w14:paraId="125852C2">
            <w:pPr>
              <w:pStyle w:val="234"/>
              <w:widowControl w:val="0"/>
              <w:spacing w:after="0"/>
              <w:ind w:firstLine="0" w:firstLineChars="0"/>
              <w:jc w:val="center"/>
              <w:rPr>
                <w:rFonts w:hint="eastAsia" w:hAnsi="宋体"/>
                <w:sz w:val="18"/>
                <w:szCs w:val="18"/>
              </w:rPr>
            </w:pPr>
            <w:r>
              <w:rPr>
                <w:rFonts w:hint="eastAsia" w:hAnsi="宋体"/>
                <w:sz w:val="18"/>
                <w:szCs w:val="18"/>
              </w:rPr>
              <w:t>取水计量监测站点地址</w:t>
            </w:r>
          </w:p>
        </w:tc>
        <w:tc>
          <w:tcPr>
            <w:tcW w:w="2760" w:type="dxa"/>
            <w:tcBorders>
              <w:top w:val="single" w:color="auto" w:sz="2" w:space="0"/>
              <w:left w:val="nil"/>
              <w:bottom w:val="single" w:color="auto" w:sz="2" w:space="0"/>
              <w:right w:val="single" w:color="auto" w:sz="2" w:space="0"/>
            </w:tcBorders>
            <w:vAlign w:val="center"/>
          </w:tcPr>
          <w:p w14:paraId="616B9951">
            <w:pPr>
              <w:pStyle w:val="234"/>
              <w:widowControl w:val="0"/>
              <w:spacing w:after="0"/>
              <w:ind w:firstLine="0" w:firstLineChars="0"/>
              <w:jc w:val="center"/>
              <w:rPr>
                <w:rFonts w:hint="eastAsia" w:hAnsi="宋体"/>
                <w:sz w:val="18"/>
                <w:szCs w:val="18"/>
              </w:rPr>
            </w:pPr>
          </w:p>
        </w:tc>
        <w:tc>
          <w:tcPr>
            <w:tcW w:w="2410" w:type="dxa"/>
            <w:tcBorders>
              <w:top w:val="single" w:color="auto" w:sz="2" w:space="0"/>
              <w:left w:val="nil"/>
              <w:bottom w:val="single" w:color="auto" w:sz="2" w:space="0"/>
              <w:right w:val="single" w:color="auto" w:sz="2" w:space="0"/>
            </w:tcBorders>
            <w:vAlign w:val="center"/>
          </w:tcPr>
          <w:p w14:paraId="77E5A525">
            <w:pPr>
              <w:pStyle w:val="234"/>
              <w:widowControl w:val="0"/>
              <w:spacing w:after="0"/>
              <w:ind w:firstLine="0" w:firstLineChars="0"/>
              <w:jc w:val="center"/>
              <w:rPr>
                <w:rFonts w:hint="eastAsia" w:hAnsi="宋体"/>
                <w:sz w:val="18"/>
                <w:szCs w:val="18"/>
              </w:rPr>
            </w:pPr>
            <w:r>
              <w:rPr>
                <w:rFonts w:hint="eastAsia" w:hAnsi="宋体"/>
                <w:sz w:val="18"/>
                <w:szCs w:val="18"/>
              </w:rPr>
              <w:t>经纬度</w:t>
            </w:r>
          </w:p>
        </w:tc>
        <w:tc>
          <w:tcPr>
            <w:tcW w:w="2350" w:type="dxa"/>
            <w:tcBorders>
              <w:top w:val="single" w:color="auto" w:sz="2" w:space="0"/>
              <w:left w:val="nil"/>
              <w:bottom w:val="single" w:color="auto" w:sz="2" w:space="0"/>
              <w:right w:val="single" w:color="auto" w:sz="8" w:space="0"/>
            </w:tcBorders>
            <w:vAlign w:val="center"/>
          </w:tcPr>
          <w:p w14:paraId="1992F86F">
            <w:pPr>
              <w:pStyle w:val="234"/>
              <w:widowControl w:val="0"/>
              <w:spacing w:after="0"/>
              <w:ind w:firstLine="0" w:firstLineChars="0"/>
              <w:rPr>
                <w:rFonts w:hint="eastAsia" w:hAnsi="宋体"/>
                <w:sz w:val="18"/>
                <w:szCs w:val="18"/>
              </w:rPr>
            </w:pPr>
            <w:r>
              <w:rPr>
                <w:rFonts w:hint="eastAsia" w:hAnsi="宋体"/>
                <w:sz w:val="18"/>
                <w:szCs w:val="18"/>
              </w:rPr>
              <w:t>东经：    °   ′   ″</w:t>
            </w:r>
          </w:p>
          <w:p w14:paraId="3FFD6BC9">
            <w:pPr>
              <w:pStyle w:val="234"/>
              <w:widowControl w:val="0"/>
              <w:spacing w:after="0"/>
              <w:ind w:firstLine="0" w:firstLineChars="0"/>
              <w:jc w:val="center"/>
              <w:rPr>
                <w:rFonts w:hint="eastAsia" w:hAnsi="宋体"/>
                <w:sz w:val="18"/>
                <w:szCs w:val="18"/>
              </w:rPr>
            </w:pPr>
            <w:r>
              <w:rPr>
                <w:rFonts w:hint="eastAsia" w:hAnsi="宋体"/>
                <w:sz w:val="18"/>
                <w:szCs w:val="18"/>
              </w:rPr>
              <w:t>北纬：    °   ′   ″</w:t>
            </w:r>
          </w:p>
        </w:tc>
      </w:tr>
      <w:tr w14:paraId="370312C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2050" w:type="dxa"/>
            <w:tcBorders>
              <w:top w:val="single" w:color="auto" w:sz="2" w:space="0"/>
              <w:left w:val="single" w:color="auto" w:sz="8" w:space="0"/>
              <w:bottom w:val="single" w:color="auto" w:sz="2" w:space="0"/>
              <w:right w:val="single" w:color="auto" w:sz="2" w:space="0"/>
            </w:tcBorders>
            <w:vAlign w:val="center"/>
          </w:tcPr>
          <w:p w14:paraId="51483EFF">
            <w:pPr>
              <w:pStyle w:val="234"/>
              <w:widowControl w:val="0"/>
              <w:spacing w:after="0"/>
              <w:ind w:firstLine="0" w:firstLineChars="0"/>
              <w:jc w:val="center"/>
              <w:rPr>
                <w:rFonts w:hint="eastAsia" w:hAnsi="宋体"/>
                <w:sz w:val="18"/>
                <w:szCs w:val="18"/>
              </w:rPr>
            </w:pPr>
            <w:r>
              <w:rPr>
                <w:rFonts w:hint="eastAsia" w:hAnsi="宋体"/>
                <w:sz w:val="18"/>
                <w:szCs w:val="18"/>
              </w:rPr>
              <w:t>建设时间</w:t>
            </w:r>
          </w:p>
        </w:tc>
        <w:tc>
          <w:tcPr>
            <w:tcW w:w="2760" w:type="dxa"/>
            <w:tcBorders>
              <w:top w:val="single" w:color="auto" w:sz="2" w:space="0"/>
              <w:left w:val="nil"/>
              <w:bottom w:val="single" w:color="auto" w:sz="2" w:space="0"/>
              <w:right w:val="single" w:color="auto" w:sz="2" w:space="0"/>
            </w:tcBorders>
            <w:vAlign w:val="center"/>
          </w:tcPr>
          <w:p w14:paraId="5BA5AAB4">
            <w:pPr>
              <w:pStyle w:val="234"/>
              <w:widowControl w:val="0"/>
              <w:spacing w:after="0"/>
              <w:ind w:firstLine="0" w:firstLineChars="0"/>
              <w:jc w:val="center"/>
              <w:rPr>
                <w:rFonts w:hint="eastAsia" w:hAnsi="宋体"/>
                <w:sz w:val="18"/>
                <w:szCs w:val="18"/>
              </w:rPr>
            </w:pPr>
          </w:p>
        </w:tc>
        <w:tc>
          <w:tcPr>
            <w:tcW w:w="2410" w:type="dxa"/>
            <w:tcBorders>
              <w:top w:val="single" w:color="auto" w:sz="2" w:space="0"/>
              <w:left w:val="nil"/>
              <w:bottom w:val="single" w:color="auto" w:sz="2" w:space="0"/>
              <w:right w:val="single" w:color="auto" w:sz="2" w:space="0"/>
            </w:tcBorders>
            <w:vAlign w:val="center"/>
          </w:tcPr>
          <w:p w14:paraId="7EAF1725">
            <w:pPr>
              <w:pStyle w:val="234"/>
              <w:widowControl w:val="0"/>
              <w:spacing w:after="0"/>
              <w:ind w:firstLine="0" w:firstLineChars="0"/>
              <w:jc w:val="center"/>
              <w:rPr>
                <w:rFonts w:hint="eastAsia" w:hAnsi="宋体"/>
                <w:sz w:val="18"/>
                <w:szCs w:val="18"/>
              </w:rPr>
            </w:pPr>
            <w:r>
              <w:rPr>
                <w:rFonts w:hint="eastAsia" w:hAnsi="宋体"/>
                <w:sz w:val="18"/>
                <w:szCs w:val="18"/>
              </w:rPr>
              <w:t>是否接入取水实时监控</w:t>
            </w:r>
          </w:p>
          <w:p w14:paraId="7D92B512">
            <w:pPr>
              <w:pStyle w:val="234"/>
              <w:widowControl w:val="0"/>
              <w:spacing w:after="0"/>
              <w:ind w:firstLine="0" w:firstLineChars="0"/>
              <w:jc w:val="center"/>
              <w:rPr>
                <w:rFonts w:hint="eastAsia" w:hAnsi="宋体"/>
                <w:sz w:val="18"/>
                <w:szCs w:val="18"/>
              </w:rPr>
            </w:pPr>
            <w:r>
              <w:rPr>
                <w:rFonts w:hint="eastAsia" w:hAnsi="宋体"/>
                <w:sz w:val="18"/>
                <w:szCs w:val="18"/>
              </w:rPr>
              <w:t>系统平台</w:t>
            </w:r>
          </w:p>
        </w:tc>
        <w:tc>
          <w:tcPr>
            <w:tcW w:w="2350" w:type="dxa"/>
            <w:tcBorders>
              <w:top w:val="single" w:color="auto" w:sz="2" w:space="0"/>
              <w:left w:val="nil"/>
              <w:bottom w:val="single" w:color="auto" w:sz="2" w:space="0"/>
              <w:right w:val="single" w:color="auto" w:sz="8" w:space="0"/>
            </w:tcBorders>
            <w:vAlign w:val="center"/>
          </w:tcPr>
          <w:p w14:paraId="00397325">
            <w:pPr>
              <w:pStyle w:val="234"/>
              <w:widowControl w:val="0"/>
              <w:spacing w:after="0"/>
              <w:ind w:firstLine="0" w:firstLineChars="0"/>
              <w:jc w:val="center"/>
              <w:rPr>
                <w:rFonts w:hint="eastAsia" w:hAnsi="宋体"/>
                <w:sz w:val="18"/>
                <w:szCs w:val="18"/>
              </w:rPr>
            </w:pPr>
            <w:r>
              <w:rPr>
                <w:rFonts w:hint="eastAsia" w:hAnsi="宋体"/>
                <w:sz w:val="18"/>
                <w:szCs w:val="18"/>
              </w:rPr>
              <w:t>□是   □否</w:t>
            </w:r>
          </w:p>
        </w:tc>
      </w:tr>
      <w:tr w14:paraId="6413A5A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2050" w:type="dxa"/>
            <w:vMerge w:val="restart"/>
            <w:tcBorders>
              <w:top w:val="single" w:color="auto" w:sz="2" w:space="0"/>
              <w:left w:val="single" w:color="auto" w:sz="8" w:space="0"/>
              <w:right w:val="single" w:color="auto" w:sz="2" w:space="0"/>
            </w:tcBorders>
            <w:vAlign w:val="center"/>
          </w:tcPr>
          <w:p w14:paraId="0C40C447">
            <w:pPr>
              <w:pStyle w:val="234"/>
              <w:widowControl w:val="0"/>
              <w:spacing w:after="0"/>
              <w:ind w:firstLine="0" w:firstLineChars="0"/>
              <w:jc w:val="center"/>
              <w:rPr>
                <w:rFonts w:hint="eastAsia" w:hAnsi="宋体"/>
                <w:sz w:val="18"/>
                <w:szCs w:val="18"/>
              </w:rPr>
            </w:pPr>
            <w:r>
              <w:rPr>
                <w:rFonts w:hAnsi="宋体"/>
                <w:sz w:val="18"/>
                <w:szCs w:val="18"/>
              </w:rPr>
              <w:t>取水计量设施（器具）</w:t>
            </w:r>
            <w:r>
              <w:rPr>
                <w:rFonts w:hint="eastAsia" w:hAnsi="宋体"/>
                <w:sz w:val="18"/>
                <w:szCs w:val="18"/>
              </w:rPr>
              <w:t>1</w:t>
            </w:r>
          </w:p>
        </w:tc>
        <w:tc>
          <w:tcPr>
            <w:tcW w:w="2760" w:type="dxa"/>
            <w:tcBorders>
              <w:top w:val="single" w:color="auto" w:sz="2" w:space="0"/>
              <w:left w:val="nil"/>
              <w:bottom w:val="single" w:color="auto" w:sz="2" w:space="0"/>
              <w:right w:val="single" w:color="auto" w:sz="2" w:space="0"/>
            </w:tcBorders>
            <w:vAlign w:val="center"/>
          </w:tcPr>
          <w:p w14:paraId="2BB67D1C">
            <w:pPr>
              <w:pStyle w:val="234"/>
              <w:widowControl w:val="0"/>
              <w:spacing w:after="0"/>
              <w:ind w:firstLine="0" w:firstLineChars="0"/>
              <w:jc w:val="center"/>
              <w:rPr>
                <w:rFonts w:hint="eastAsia" w:hAnsi="宋体"/>
                <w:sz w:val="18"/>
                <w:szCs w:val="18"/>
              </w:rPr>
            </w:pPr>
            <w:r>
              <w:rPr>
                <w:rFonts w:hint="eastAsia" w:hAnsi="宋体"/>
                <w:sz w:val="18"/>
                <w:szCs w:val="18"/>
              </w:rPr>
              <w:t>设备类型</w:t>
            </w:r>
          </w:p>
        </w:tc>
        <w:tc>
          <w:tcPr>
            <w:tcW w:w="4760" w:type="dxa"/>
            <w:gridSpan w:val="2"/>
            <w:tcBorders>
              <w:top w:val="single" w:color="auto" w:sz="2" w:space="0"/>
              <w:left w:val="nil"/>
              <w:bottom w:val="single" w:color="auto" w:sz="2" w:space="0"/>
              <w:right w:val="single" w:color="auto" w:sz="8" w:space="0"/>
            </w:tcBorders>
            <w:vAlign w:val="center"/>
          </w:tcPr>
          <w:p w14:paraId="4478A9B7">
            <w:pPr>
              <w:pStyle w:val="234"/>
              <w:widowControl w:val="0"/>
              <w:spacing w:after="0"/>
              <w:ind w:firstLine="0" w:firstLineChars="0"/>
              <w:jc w:val="center"/>
              <w:rPr>
                <w:rFonts w:hint="eastAsia" w:hAnsi="宋体"/>
                <w:sz w:val="18"/>
                <w:szCs w:val="18"/>
              </w:rPr>
            </w:pPr>
            <w:r>
              <w:rPr>
                <w:rFonts w:hint="eastAsia" w:hAnsi="宋体"/>
                <w:sz w:val="18"/>
                <w:szCs w:val="18"/>
              </w:rPr>
              <w:t>电磁流量计□    超声波流量计□    其他□(</w:t>
            </w:r>
            <w:r>
              <w:rPr>
                <w:rFonts w:hint="eastAsia" w:hAnsi="宋体"/>
                <w:sz w:val="18"/>
                <w:szCs w:val="18"/>
                <w:u w:val="single"/>
              </w:rPr>
              <w:t xml:space="preserve">       </w:t>
            </w:r>
            <w:r>
              <w:rPr>
                <w:rFonts w:hint="eastAsia" w:hAnsi="宋体"/>
                <w:sz w:val="18"/>
                <w:szCs w:val="18"/>
              </w:rPr>
              <w:t>)</w:t>
            </w:r>
          </w:p>
        </w:tc>
      </w:tr>
      <w:tr w14:paraId="6D92EA9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2050" w:type="dxa"/>
            <w:vMerge w:val="continue"/>
            <w:tcBorders>
              <w:left w:val="single" w:color="auto" w:sz="8" w:space="0"/>
              <w:right w:val="single" w:color="auto" w:sz="2" w:space="0"/>
            </w:tcBorders>
            <w:vAlign w:val="center"/>
          </w:tcPr>
          <w:p w14:paraId="4108B43E">
            <w:pPr>
              <w:pStyle w:val="234"/>
              <w:widowControl w:val="0"/>
              <w:spacing w:after="0"/>
              <w:ind w:firstLine="0" w:firstLineChars="0"/>
              <w:jc w:val="center"/>
              <w:rPr>
                <w:rFonts w:hint="eastAsia" w:hAnsi="宋体"/>
                <w:sz w:val="18"/>
                <w:szCs w:val="18"/>
              </w:rPr>
            </w:pPr>
          </w:p>
        </w:tc>
        <w:tc>
          <w:tcPr>
            <w:tcW w:w="2760" w:type="dxa"/>
            <w:tcBorders>
              <w:top w:val="single" w:color="auto" w:sz="2" w:space="0"/>
              <w:left w:val="nil"/>
              <w:bottom w:val="single" w:color="auto" w:sz="2" w:space="0"/>
              <w:right w:val="single" w:color="auto" w:sz="2" w:space="0"/>
            </w:tcBorders>
            <w:vAlign w:val="center"/>
          </w:tcPr>
          <w:p w14:paraId="05F78D3D">
            <w:pPr>
              <w:pStyle w:val="234"/>
              <w:widowControl w:val="0"/>
              <w:spacing w:after="0"/>
              <w:ind w:firstLine="0" w:firstLineChars="0"/>
              <w:jc w:val="center"/>
              <w:rPr>
                <w:rFonts w:hint="eastAsia" w:hAnsi="宋体"/>
                <w:sz w:val="18"/>
                <w:szCs w:val="18"/>
              </w:rPr>
            </w:pPr>
            <w:r>
              <w:rPr>
                <w:rFonts w:hint="eastAsia" w:hAnsi="宋体"/>
                <w:sz w:val="18"/>
                <w:szCs w:val="18"/>
              </w:rPr>
              <w:t>厂家及型号</w:t>
            </w:r>
          </w:p>
        </w:tc>
        <w:tc>
          <w:tcPr>
            <w:tcW w:w="4760" w:type="dxa"/>
            <w:gridSpan w:val="2"/>
            <w:tcBorders>
              <w:top w:val="single" w:color="auto" w:sz="2" w:space="0"/>
              <w:left w:val="nil"/>
              <w:bottom w:val="single" w:color="auto" w:sz="2" w:space="0"/>
              <w:right w:val="single" w:color="auto" w:sz="8" w:space="0"/>
            </w:tcBorders>
            <w:vAlign w:val="center"/>
          </w:tcPr>
          <w:p w14:paraId="531F29C9">
            <w:pPr>
              <w:pStyle w:val="234"/>
              <w:widowControl w:val="0"/>
              <w:spacing w:after="0"/>
              <w:ind w:firstLine="0" w:firstLineChars="0"/>
              <w:jc w:val="center"/>
              <w:rPr>
                <w:rFonts w:hint="eastAsia" w:hAnsi="宋体"/>
                <w:sz w:val="18"/>
                <w:szCs w:val="18"/>
              </w:rPr>
            </w:pPr>
          </w:p>
        </w:tc>
      </w:tr>
      <w:tr w14:paraId="2908148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2050" w:type="dxa"/>
            <w:vMerge w:val="continue"/>
            <w:tcBorders>
              <w:left w:val="single" w:color="auto" w:sz="8" w:space="0"/>
              <w:bottom w:val="single" w:color="auto" w:sz="2" w:space="0"/>
              <w:right w:val="single" w:color="auto" w:sz="2" w:space="0"/>
            </w:tcBorders>
            <w:vAlign w:val="center"/>
          </w:tcPr>
          <w:p w14:paraId="37D12762">
            <w:pPr>
              <w:pStyle w:val="234"/>
              <w:widowControl w:val="0"/>
              <w:spacing w:after="0"/>
              <w:ind w:firstLine="0" w:firstLineChars="0"/>
              <w:jc w:val="center"/>
              <w:rPr>
                <w:rFonts w:hint="eastAsia" w:hAnsi="宋体"/>
                <w:sz w:val="18"/>
                <w:szCs w:val="18"/>
              </w:rPr>
            </w:pPr>
          </w:p>
        </w:tc>
        <w:tc>
          <w:tcPr>
            <w:tcW w:w="2760" w:type="dxa"/>
            <w:tcBorders>
              <w:top w:val="single" w:color="auto" w:sz="2" w:space="0"/>
              <w:left w:val="nil"/>
              <w:bottom w:val="single" w:color="auto" w:sz="2" w:space="0"/>
              <w:right w:val="single" w:color="auto" w:sz="2" w:space="0"/>
            </w:tcBorders>
            <w:vAlign w:val="center"/>
          </w:tcPr>
          <w:p w14:paraId="6DE09AE3">
            <w:pPr>
              <w:pStyle w:val="234"/>
              <w:widowControl w:val="0"/>
              <w:spacing w:after="0"/>
              <w:ind w:firstLine="0" w:firstLineChars="0"/>
              <w:jc w:val="center"/>
              <w:rPr>
                <w:rFonts w:hint="eastAsia" w:hAnsi="宋体"/>
                <w:sz w:val="18"/>
                <w:szCs w:val="18"/>
              </w:rPr>
            </w:pPr>
            <w:r>
              <w:rPr>
                <w:rFonts w:hint="eastAsia" w:hAnsi="宋体"/>
                <w:sz w:val="18"/>
                <w:szCs w:val="18"/>
              </w:rPr>
              <w:t>最近一次检定/校准时间</w:t>
            </w:r>
          </w:p>
        </w:tc>
        <w:tc>
          <w:tcPr>
            <w:tcW w:w="4760" w:type="dxa"/>
            <w:gridSpan w:val="2"/>
            <w:tcBorders>
              <w:top w:val="single" w:color="auto" w:sz="2" w:space="0"/>
              <w:left w:val="nil"/>
              <w:bottom w:val="single" w:color="auto" w:sz="2" w:space="0"/>
              <w:right w:val="single" w:color="auto" w:sz="8" w:space="0"/>
            </w:tcBorders>
            <w:vAlign w:val="center"/>
          </w:tcPr>
          <w:p w14:paraId="71FD99F4">
            <w:pPr>
              <w:pStyle w:val="234"/>
              <w:widowControl w:val="0"/>
              <w:spacing w:after="0"/>
              <w:ind w:firstLine="0" w:firstLineChars="0"/>
              <w:jc w:val="center"/>
              <w:rPr>
                <w:rFonts w:hint="eastAsia" w:hAnsi="宋体"/>
                <w:sz w:val="18"/>
                <w:szCs w:val="18"/>
              </w:rPr>
            </w:pPr>
          </w:p>
        </w:tc>
      </w:tr>
      <w:tr w14:paraId="1440E8C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2050" w:type="dxa"/>
            <w:vMerge w:val="restart"/>
            <w:tcBorders>
              <w:top w:val="single" w:color="auto" w:sz="2" w:space="0"/>
              <w:left w:val="single" w:color="auto" w:sz="8" w:space="0"/>
              <w:right w:val="single" w:color="auto" w:sz="2" w:space="0"/>
            </w:tcBorders>
            <w:vAlign w:val="center"/>
          </w:tcPr>
          <w:p w14:paraId="5BE166CF">
            <w:pPr>
              <w:pStyle w:val="234"/>
              <w:widowControl w:val="0"/>
              <w:spacing w:after="0"/>
              <w:ind w:firstLine="0" w:firstLineChars="0"/>
              <w:jc w:val="center"/>
              <w:rPr>
                <w:rFonts w:hint="eastAsia" w:hAnsi="宋体"/>
                <w:sz w:val="18"/>
                <w:szCs w:val="18"/>
              </w:rPr>
            </w:pPr>
            <w:r>
              <w:rPr>
                <w:rFonts w:hAnsi="宋体"/>
                <w:sz w:val="18"/>
                <w:szCs w:val="18"/>
              </w:rPr>
              <w:t>取水计量设施（器具）</w:t>
            </w:r>
            <w:r>
              <w:rPr>
                <w:rFonts w:hint="eastAsia" w:hAnsi="宋体"/>
                <w:sz w:val="18"/>
                <w:szCs w:val="18"/>
              </w:rPr>
              <w:t>2</w:t>
            </w:r>
          </w:p>
        </w:tc>
        <w:tc>
          <w:tcPr>
            <w:tcW w:w="2760" w:type="dxa"/>
            <w:tcBorders>
              <w:top w:val="single" w:color="auto" w:sz="2" w:space="0"/>
              <w:left w:val="nil"/>
              <w:bottom w:val="single" w:color="auto" w:sz="2" w:space="0"/>
              <w:right w:val="single" w:color="auto" w:sz="2" w:space="0"/>
            </w:tcBorders>
            <w:vAlign w:val="center"/>
          </w:tcPr>
          <w:p w14:paraId="7131FCC5">
            <w:pPr>
              <w:pStyle w:val="234"/>
              <w:widowControl w:val="0"/>
              <w:spacing w:after="0"/>
              <w:ind w:firstLine="0" w:firstLineChars="0"/>
              <w:jc w:val="center"/>
              <w:rPr>
                <w:rFonts w:hint="eastAsia" w:hAnsi="宋体"/>
                <w:sz w:val="18"/>
                <w:szCs w:val="18"/>
              </w:rPr>
            </w:pPr>
            <w:r>
              <w:rPr>
                <w:rFonts w:hint="eastAsia" w:hAnsi="宋体"/>
                <w:sz w:val="18"/>
                <w:szCs w:val="18"/>
              </w:rPr>
              <w:t>设备类型</w:t>
            </w:r>
          </w:p>
        </w:tc>
        <w:tc>
          <w:tcPr>
            <w:tcW w:w="4760" w:type="dxa"/>
            <w:gridSpan w:val="2"/>
            <w:tcBorders>
              <w:top w:val="single" w:color="auto" w:sz="2" w:space="0"/>
              <w:left w:val="nil"/>
              <w:bottom w:val="single" w:color="auto" w:sz="2" w:space="0"/>
              <w:right w:val="single" w:color="auto" w:sz="8" w:space="0"/>
            </w:tcBorders>
            <w:vAlign w:val="center"/>
          </w:tcPr>
          <w:p w14:paraId="25BB0F26">
            <w:pPr>
              <w:pStyle w:val="234"/>
              <w:widowControl w:val="0"/>
              <w:spacing w:after="0"/>
              <w:ind w:firstLine="0" w:firstLineChars="0"/>
              <w:jc w:val="center"/>
              <w:rPr>
                <w:rFonts w:hint="eastAsia" w:hAnsi="宋体"/>
                <w:sz w:val="18"/>
                <w:szCs w:val="18"/>
              </w:rPr>
            </w:pPr>
            <w:r>
              <w:rPr>
                <w:rFonts w:hint="eastAsia" w:hAnsi="宋体"/>
                <w:sz w:val="18"/>
                <w:szCs w:val="18"/>
              </w:rPr>
              <w:t>电磁流量计□    超声波流量计□    其他□(</w:t>
            </w:r>
            <w:r>
              <w:rPr>
                <w:rFonts w:hint="eastAsia" w:hAnsi="宋体"/>
                <w:sz w:val="18"/>
                <w:szCs w:val="18"/>
                <w:u w:val="single"/>
              </w:rPr>
              <w:t xml:space="preserve">       </w:t>
            </w:r>
            <w:r>
              <w:rPr>
                <w:rFonts w:hint="eastAsia" w:hAnsi="宋体"/>
                <w:sz w:val="18"/>
                <w:szCs w:val="18"/>
              </w:rPr>
              <w:t>)</w:t>
            </w:r>
          </w:p>
        </w:tc>
      </w:tr>
      <w:tr w14:paraId="74CCCB8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2050" w:type="dxa"/>
            <w:vMerge w:val="continue"/>
            <w:tcBorders>
              <w:left w:val="single" w:color="auto" w:sz="8" w:space="0"/>
              <w:right w:val="single" w:color="auto" w:sz="2" w:space="0"/>
            </w:tcBorders>
            <w:vAlign w:val="center"/>
          </w:tcPr>
          <w:p w14:paraId="02BAC0FB">
            <w:pPr>
              <w:pStyle w:val="234"/>
              <w:widowControl w:val="0"/>
              <w:spacing w:after="0"/>
              <w:ind w:firstLine="0" w:firstLineChars="0"/>
              <w:jc w:val="center"/>
              <w:rPr>
                <w:rFonts w:hint="eastAsia" w:hAnsi="宋体"/>
                <w:sz w:val="18"/>
                <w:szCs w:val="18"/>
              </w:rPr>
            </w:pPr>
          </w:p>
        </w:tc>
        <w:tc>
          <w:tcPr>
            <w:tcW w:w="2760" w:type="dxa"/>
            <w:tcBorders>
              <w:top w:val="single" w:color="auto" w:sz="2" w:space="0"/>
              <w:left w:val="nil"/>
              <w:bottom w:val="single" w:color="auto" w:sz="2" w:space="0"/>
              <w:right w:val="single" w:color="auto" w:sz="2" w:space="0"/>
            </w:tcBorders>
            <w:vAlign w:val="center"/>
          </w:tcPr>
          <w:p w14:paraId="518A136E">
            <w:pPr>
              <w:pStyle w:val="234"/>
              <w:widowControl w:val="0"/>
              <w:spacing w:after="0"/>
              <w:ind w:firstLine="0" w:firstLineChars="0"/>
              <w:jc w:val="center"/>
              <w:rPr>
                <w:rFonts w:hint="eastAsia" w:hAnsi="宋体"/>
                <w:sz w:val="18"/>
                <w:szCs w:val="18"/>
              </w:rPr>
            </w:pPr>
            <w:r>
              <w:rPr>
                <w:rFonts w:hint="eastAsia" w:hAnsi="宋体"/>
                <w:sz w:val="18"/>
                <w:szCs w:val="18"/>
              </w:rPr>
              <w:t>厂家及型号</w:t>
            </w:r>
          </w:p>
        </w:tc>
        <w:tc>
          <w:tcPr>
            <w:tcW w:w="4760" w:type="dxa"/>
            <w:gridSpan w:val="2"/>
            <w:tcBorders>
              <w:top w:val="single" w:color="auto" w:sz="2" w:space="0"/>
              <w:left w:val="nil"/>
              <w:bottom w:val="single" w:color="auto" w:sz="2" w:space="0"/>
              <w:right w:val="single" w:color="auto" w:sz="8" w:space="0"/>
            </w:tcBorders>
            <w:vAlign w:val="center"/>
          </w:tcPr>
          <w:p w14:paraId="39185049">
            <w:pPr>
              <w:pStyle w:val="234"/>
              <w:widowControl w:val="0"/>
              <w:spacing w:after="0"/>
              <w:ind w:firstLine="0" w:firstLineChars="0"/>
              <w:jc w:val="center"/>
              <w:rPr>
                <w:rFonts w:hint="eastAsia" w:hAnsi="宋体"/>
                <w:sz w:val="18"/>
                <w:szCs w:val="18"/>
              </w:rPr>
            </w:pPr>
          </w:p>
        </w:tc>
      </w:tr>
      <w:tr w14:paraId="190C22F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2050" w:type="dxa"/>
            <w:vMerge w:val="continue"/>
            <w:tcBorders>
              <w:left w:val="single" w:color="auto" w:sz="8" w:space="0"/>
              <w:bottom w:val="single" w:color="auto" w:sz="2" w:space="0"/>
              <w:right w:val="single" w:color="auto" w:sz="2" w:space="0"/>
            </w:tcBorders>
            <w:vAlign w:val="center"/>
          </w:tcPr>
          <w:p w14:paraId="12406D6B">
            <w:pPr>
              <w:pStyle w:val="234"/>
              <w:widowControl w:val="0"/>
              <w:spacing w:after="0"/>
              <w:ind w:firstLine="0" w:firstLineChars="0"/>
              <w:jc w:val="center"/>
              <w:rPr>
                <w:rFonts w:hint="eastAsia" w:hAnsi="宋体"/>
                <w:sz w:val="18"/>
                <w:szCs w:val="18"/>
              </w:rPr>
            </w:pPr>
          </w:p>
        </w:tc>
        <w:tc>
          <w:tcPr>
            <w:tcW w:w="2760" w:type="dxa"/>
            <w:tcBorders>
              <w:top w:val="single" w:color="auto" w:sz="2" w:space="0"/>
              <w:left w:val="nil"/>
              <w:bottom w:val="single" w:color="auto" w:sz="2" w:space="0"/>
              <w:right w:val="single" w:color="auto" w:sz="2" w:space="0"/>
            </w:tcBorders>
            <w:vAlign w:val="center"/>
          </w:tcPr>
          <w:p w14:paraId="4CB262E9">
            <w:pPr>
              <w:pStyle w:val="234"/>
              <w:widowControl w:val="0"/>
              <w:spacing w:after="0"/>
              <w:ind w:firstLine="0" w:firstLineChars="0"/>
              <w:jc w:val="center"/>
              <w:rPr>
                <w:rFonts w:hint="eastAsia" w:hAnsi="宋体"/>
                <w:sz w:val="18"/>
                <w:szCs w:val="18"/>
              </w:rPr>
            </w:pPr>
            <w:r>
              <w:rPr>
                <w:rFonts w:hint="eastAsia" w:hAnsi="宋体"/>
                <w:sz w:val="18"/>
                <w:szCs w:val="18"/>
              </w:rPr>
              <w:t>最近一次检定/校准时间</w:t>
            </w:r>
          </w:p>
        </w:tc>
        <w:tc>
          <w:tcPr>
            <w:tcW w:w="4760" w:type="dxa"/>
            <w:gridSpan w:val="2"/>
            <w:tcBorders>
              <w:top w:val="single" w:color="auto" w:sz="2" w:space="0"/>
              <w:left w:val="nil"/>
              <w:bottom w:val="single" w:color="auto" w:sz="2" w:space="0"/>
              <w:right w:val="single" w:color="auto" w:sz="8" w:space="0"/>
            </w:tcBorders>
            <w:vAlign w:val="center"/>
          </w:tcPr>
          <w:p w14:paraId="72895198">
            <w:pPr>
              <w:pStyle w:val="234"/>
              <w:widowControl w:val="0"/>
              <w:spacing w:after="0"/>
              <w:ind w:firstLine="0" w:firstLineChars="0"/>
              <w:jc w:val="center"/>
              <w:rPr>
                <w:rFonts w:hint="eastAsia" w:hAnsi="宋体"/>
                <w:sz w:val="18"/>
                <w:szCs w:val="18"/>
              </w:rPr>
            </w:pPr>
          </w:p>
        </w:tc>
      </w:tr>
      <w:tr w14:paraId="2F3A53F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9570" w:type="dxa"/>
            <w:gridSpan w:val="4"/>
            <w:tcBorders>
              <w:top w:val="single" w:color="auto" w:sz="2" w:space="0"/>
              <w:left w:val="single" w:color="auto" w:sz="8" w:space="0"/>
              <w:bottom w:val="single" w:color="auto" w:sz="2" w:space="0"/>
              <w:right w:val="single" w:color="auto" w:sz="8" w:space="0"/>
            </w:tcBorders>
            <w:vAlign w:val="center"/>
          </w:tcPr>
          <w:p w14:paraId="49B13B3C">
            <w:pPr>
              <w:pStyle w:val="234"/>
              <w:widowControl w:val="0"/>
              <w:spacing w:after="0"/>
              <w:ind w:firstLine="0" w:firstLineChars="0"/>
              <w:jc w:val="center"/>
              <w:rPr>
                <w:rFonts w:hint="eastAsia" w:hAnsi="宋体"/>
                <w:sz w:val="18"/>
                <w:szCs w:val="18"/>
              </w:rPr>
            </w:pPr>
            <w:r>
              <w:rPr>
                <w:rFonts w:hAnsi="宋体"/>
                <w:b/>
                <w:bCs/>
                <w:sz w:val="18"/>
                <w:szCs w:val="18"/>
              </w:rPr>
              <w:t>……</w:t>
            </w:r>
          </w:p>
        </w:tc>
      </w:tr>
      <w:tr w14:paraId="29AF00E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2050" w:type="dxa"/>
            <w:vMerge w:val="restart"/>
            <w:tcBorders>
              <w:top w:val="nil"/>
              <w:left w:val="single" w:color="auto" w:sz="8" w:space="0"/>
              <w:bottom w:val="single" w:color="auto" w:sz="2" w:space="0"/>
              <w:right w:val="single" w:color="auto" w:sz="2" w:space="0"/>
            </w:tcBorders>
            <w:vAlign w:val="center"/>
          </w:tcPr>
          <w:p w14:paraId="65DCBC9F">
            <w:pPr>
              <w:pStyle w:val="234"/>
              <w:widowControl w:val="0"/>
              <w:spacing w:after="0"/>
              <w:ind w:firstLine="0" w:firstLineChars="0"/>
              <w:jc w:val="center"/>
              <w:rPr>
                <w:rFonts w:hint="eastAsia" w:hAnsi="宋体"/>
                <w:sz w:val="18"/>
                <w:szCs w:val="18"/>
              </w:rPr>
            </w:pPr>
            <w:r>
              <w:rPr>
                <w:rFonts w:hint="eastAsia" w:hAnsi="宋体"/>
                <w:sz w:val="18"/>
                <w:szCs w:val="18"/>
              </w:rPr>
              <w:t>遥测终端设备</w:t>
            </w:r>
          </w:p>
        </w:tc>
        <w:tc>
          <w:tcPr>
            <w:tcW w:w="2760" w:type="dxa"/>
            <w:tcBorders>
              <w:top w:val="single" w:color="auto" w:sz="2" w:space="0"/>
              <w:left w:val="nil"/>
              <w:bottom w:val="single" w:color="auto" w:sz="2" w:space="0"/>
              <w:right w:val="single" w:color="auto" w:sz="2" w:space="0"/>
            </w:tcBorders>
            <w:vAlign w:val="center"/>
          </w:tcPr>
          <w:p w14:paraId="603CFEFE">
            <w:pPr>
              <w:pStyle w:val="234"/>
              <w:widowControl w:val="0"/>
              <w:spacing w:after="0"/>
              <w:ind w:firstLine="0" w:firstLineChars="0"/>
              <w:jc w:val="center"/>
              <w:rPr>
                <w:rFonts w:hint="eastAsia" w:hAnsi="宋体"/>
                <w:sz w:val="18"/>
                <w:szCs w:val="18"/>
              </w:rPr>
            </w:pPr>
            <w:r>
              <w:rPr>
                <w:rFonts w:hint="eastAsia" w:hAnsi="宋体"/>
                <w:sz w:val="18"/>
                <w:szCs w:val="18"/>
              </w:rPr>
              <w:t>厂家及型号</w:t>
            </w:r>
          </w:p>
        </w:tc>
        <w:tc>
          <w:tcPr>
            <w:tcW w:w="4760" w:type="dxa"/>
            <w:gridSpan w:val="2"/>
            <w:tcBorders>
              <w:top w:val="single" w:color="auto" w:sz="2" w:space="0"/>
              <w:left w:val="nil"/>
              <w:bottom w:val="single" w:color="auto" w:sz="2" w:space="0"/>
              <w:right w:val="single" w:color="auto" w:sz="8" w:space="0"/>
            </w:tcBorders>
            <w:vAlign w:val="center"/>
          </w:tcPr>
          <w:p w14:paraId="1F0F514F">
            <w:pPr>
              <w:pStyle w:val="234"/>
              <w:widowControl w:val="0"/>
              <w:spacing w:after="0"/>
              <w:ind w:firstLine="0" w:firstLineChars="0"/>
              <w:jc w:val="center"/>
              <w:rPr>
                <w:rFonts w:hint="eastAsia" w:hAnsi="宋体"/>
                <w:sz w:val="18"/>
                <w:szCs w:val="18"/>
              </w:rPr>
            </w:pPr>
          </w:p>
        </w:tc>
      </w:tr>
      <w:tr w14:paraId="1F6C936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2050" w:type="dxa"/>
            <w:vMerge w:val="continue"/>
            <w:tcBorders>
              <w:top w:val="nil"/>
              <w:left w:val="single" w:color="auto" w:sz="8" w:space="0"/>
              <w:bottom w:val="single" w:color="auto" w:sz="2" w:space="0"/>
              <w:right w:val="single" w:color="auto" w:sz="2" w:space="0"/>
            </w:tcBorders>
            <w:vAlign w:val="center"/>
          </w:tcPr>
          <w:p w14:paraId="39C2FA35">
            <w:pPr>
              <w:widowControl/>
              <w:adjustRightInd/>
              <w:spacing w:line="240" w:lineRule="auto"/>
              <w:jc w:val="left"/>
              <w:rPr>
                <w:rFonts w:hint="eastAsia" w:ascii="宋体" w:hAnsi="宋体"/>
                <w:sz w:val="18"/>
                <w:szCs w:val="18"/>
              </w:rPr>
            </w:pPr>
          </w:p>
        </w:tc>
        <w:tc>
          <w:tcPr>
            <w:tcW w:w="2760" w:type="dxa"/>
            <w:tcBorders>
              <w:top w:val="single" w:color="auto" w:sz="2" w:space="0"/>
              <w:left w:val="nil"/>
              <w:bottom w:val="single" w:color="auto" w:sz="2" w:space="0"/>
              <w:right w:val="single" w:color="auto" w:sz="2" w:space="0"/>
            </w:tcBorders>
            <w:vAlign w:val="center"/>
          </w:tcPr>
          <w:p w14:paraId="08059DFF">
            <w:pPr>
              <w:pStyle w:val="234"/>
              <w:widowControl w:val="0"/>
              <w:spacing w:after="0"/>
              <w:ind w:firstLine="0" w:firstLineChars="0"/>
              <w:jc w:val="center"/>
              <w:rPr>
                <w:rFonts w:hint="eastAsia" w:hAnsi="宋体"/>
                <w:sz w:val="18"/>
                <w:szCs w:val="18"/>
              </w:rPr>
            </w:pPr>
            <w:r>
              <w:rPr>
                <w:rFonts w:hint="eastAsia" w:hAnsi="宋体"/>
                <w:sz w:val="18"/>
                <w:szCs w:val="18"/>
              </w:rPr>
              <w:t>传输频次</w:t>
            </w:r>
          </w:p>
        </w:tc>
        <w:tc>
          <w:tcPr>
            <w:tcW w:w="4760" w:type="dxa"/>
            <w:gridSpan w:val="2"/>
            <w:tcBorders>
              <w:top w:val="single" w:color="auto" w:sz="2" w:space="0"/>
              <w:left w:val="nil"/>
              <w:bottom w:val="single" w:color="auto" w:sz="2" w:space="0"/>
              <w:right w:val="single" w:color="auto" w:sz="8" w:space="0"/>
            </w:tcBorders>
            <w:vAlign w:val="center"/>
          </w:tcPr>
          <w:p w14:paraId="5A8AF1D6">
            <w:pPr>
              <w:pStyle w:val="234"/>
              <w:widowControl w:val="0"/>
              <w:spacing w:after="0"/>
              <w:ind w:firstLine="0" w:firstLineChars="0"/>
              <w:jc w:val="center"/>
              <w:rPr>
                <w:rFonts w:hint="eastAsia" w:hAnsi="宋体"/>
                <w:sz w:val="18"/>
                <w:szCs w:val="18"/>
              </w:rPr>
            </w:pPr>
          </w:p>
        </w:tc>
      </w:tr>
      <w:tr w14:paraId="2D07271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2050" w:type="dxa"/>
            <w:tcBorders>
              <w:top w:val="single" w:color="auto" w:sz="2" w:space="0"/>
              <w:left w:val="single" w:color="auto" w:sz="8" w:space="0"/>
              <w:bottom w:val="single" w:color="auto" w:sz="2" w:space="0"/>
              <w:right w:val="single" w:color="auto" w:sz="2" w:space="0"/>
            </w:tcBorders>
            <w:vAlign w:val="center"/>
          </w:tcPr>
          <w:p w14:paraId="235FCF81">
            <w:pPr>
              <w:pStyle w:val="234"/>
              <w:widowControl w:val="0"/>
              <w:spacing w:after="0"/>
              <w:ind w:firstLine="0" w:firstLineChars="0"/>
              <w:jc w:val="center"/>
              <w:rPr>
                <w:rFonts w:hint="eastAsia" w:hAnsi="宋体"/>
                <w:sz w:val="18"/>
                <w:szCs w:val="18"/>
              </w:rPr>
            </w:pPr>
            <w:r>
              <w:rPr>
                <w:rFonts w:hint="eastAsia" w:hAnsi="宋体"/>
                <w:sz w:val="18"/>
                <w:szCs w:val="18"/>
              </w:rPr>
              <w:t>电源设备</w:t>
            </w:r>
          </w:p>
        </w:tc>
        <w:tc>
          <w:tcPr>
            <w:tcW w:w="7520" w:type="dxa"/>
            <w:gridSpan w:val="3"/>
            <w:tcBorders>
              <w:top w:val="single" w:color="auto" w:sz="2" w:space="0"/>
              <w:left w:val="nil"/>
              <w:bottom w:val="single" w:color="auto" w:sz="2" w:space="0"/>
              <w:right w:val="single" w:color="auto" w:sz="8" w:space="0"/>
            </w:tcBorders>
            <w:vAlign w:val="center"/>
          </w:tcPr>
          <w:p w14:paraId="2DA84FB9">
            <w:pPr>
              <w:pStyle w:val="234"/>
              <w:widowControl w:val="0"/>
              <w:spacing w:after="0"/>
              <w:ind w:firstLine="0" w:firstLineChars="0"/>
              <w:jc w:val="center"/>
              <w:rPr>
                <w:rFonts w:hint="eastAsia" w:hAnsi="宋体"/>
                <w:sz w:val="18"/>
                <w:szCs w:val="18"/>
              </w:rPr>
            </w:pPr>
            <w:bookmarkStart w:id="112" w:name="OLE_LINK3"/>
            <w:r>
              <w:rPr>
                <w:rFonts w:hint="eastAsia" w:hAnsi="宋体"/>
                <w:sz w:val="18"/>
                <w:szCs w:val="18"/>
              </w:rPr>
              <w:t>公共电网□      蓄电池□      太阳能板□</w:t>
            </w:r>
            <w:bookmarkEnd w:id="112"/>
          </w:p>
        </w:tc>
      </w:tr>
      <w:tr w14:paraId="269C937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9570" w:type="dxa"/>
            <w:gridSpan w:val="4"/>
            <w:tcBorders>
              <w:top w:val="single" w:color="auto" w:sz="2" w:space="0"/>
              <w:left w:val="single" w:color="auto" w:sz="8" w:space="0"/>
              <w:bottom w:val="single" w:color="auto" w:sz="2" w:space="0"/>
              <w:right w:val="single" w:color="auto" w:sz="8" w:space="0"/>
            </w:tcBorders>
            <w:vAlign w:val="center"/>
          </w:tcPr>
          <w:p w14:paraId="0673E172">
            <w:pPr>
              <w:pStyle w:val="234"/>
              <w:widowControl w:val="0"/>
              <w:spacing w:after="0"/>
              <w:ind w:firstLine="0" w:firstLineChars="0"/>
              <w:jc w:val="center"/>
              <w:rPr>
                <w:rFonts w:hint="eastAsia" w:hAnsi="宋体"/>
                <w:sz w:val="18"/>
                <w:szCs w:val="18"/>
              </w:rPr>
            </w:pPr>
            <w:r>
              <w:rPr>
                <w:rFonts w:hint="eastAsia" w:hAnsi="宋体"/>
                <w:b/>
                <w:bCs/>
                <w:sz w:val="18"/>
                <w:szCs w:val="18"/>
              </w:rPr>
              <w:t>取水计量监测站点变更信息</w:t>
            </w:r>
          </w:p>
        </w:tc>
      </w:tr>
      <w:tr w14:paraId="3FB6ADC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49" w:hRule="atLeast"/>
          <w:jc w:val="center"/>
        </w:trPr>
        <w:tc>
          <w:tcPr>
            <w:tcW w:w="2050" w:type="dxa"/>
            <w:tcBorders>
              <w:top w:val="single" w:color="auto" w:sz="2" w:space="0"/>
              <w:left w:val="single" w:color="auto" w:sz="8" w:space="0"/>
              <w:bottom w:val="single" w:color="auto" w:sz="8" w:space="0"/>
              <w:right w:val="single" w:color="auto" w:sz="2" w:space="0"/>
            </w:tcBorders>
            <w:vAlign w:val="center"/>
          </w:tcPr>
          <w:p w14:paraId="5FD19617">
            <w:pPr>
              <w:pStyle w:val="234"/>
              <w:widowControl w:val="0"/>
              <w:spacing w:after="0"/>
              <w:ind w:firstLine="0" w:firstLineChars="0"/>
              <w:jc w:val="center"/>
              <w:rPr>
                <w:rFonts w:hint="eastAsia" w:hAnsi="宋体"/>
                <w:sz w:val="18"/>
                <w:szCs w:val="18"/>
              </w:rPr>
            </w:pPr>
            <w:r>
              <w:rPr>
                <w:rFonts w:hint="eastAsia" w:hAnsi="宋体"/>
                <w:sz w:val="18"/>
                <w:szCs w:val="18"/>
              </w:rPr>
              <w:t>变更原因及内容</w:t>
            </w:r>
          </w:p>
        </w:tc>
        <w:tc>
          <w:tcPr>
            <w:tcW w:w="7520" w:type="dxa"/>
            <w:gridSpan w:val="3"/>
            <w:tcBorders>
              <w:top w:val="single" w:color="auto" w:sz="2" w:space="0"/>
              <w:left w:val="nil"/>
              <w:bottom w:val="single" w:color="auto" w:sz="8" w:space="0"/>
              <w:right w:val="single" w:color="auto" w:sz="8" w:space="0"/>
            </w:tcBorders>
          </w:tcPr>
          <w:p w14:paraId="0677DF1A">
            <w:pPr>
              <w:pStyle w:val="234"/>
              <w:widowControl w:val="0"/>
              <w:spacing w:after="0"/>
              <w:ind w:firstLine="0" w:firstLineChars="0"/>
              <w:jc w:val="center"/>
              <w:rPr>
                <w:rFonts w:hint="eastAsia" w:hAnsi="宋体"/>
                <w:sz w:val="18"/>
                <w:szCs w:val="18"/>
              </w:rPr>
            </w:pPr>
            <w:r>
              <w:rPr>
                <w:rFonts w:hint="eastAsia" w:hAnsi="宋体"/>
                <w:sz w:val="18"/>
                <w:szCs w:val="18"/>
              </w:rPr>
              <w:t>取水许可有效期内发生取水计量监测站点安装位置拆改挪移或计量方式调整或计量设施更换时，在此处填写原因及具体变更内容</w:t>
            </w:r>
          </w:p>
        </w:tc>
      </w:tr>
    </w:tbl>
    <w:p w14:paraId="6543B4CA">
      <w:pPr>
        <w:pStyle w:val="80"/>
        <w:spacing w:before="0" w:after="156" w:line="240" w:lineRule="auto"/>
        <w:sectPr>
          <w:pgSz w:w="11906" w:h="16838"/>
          <w:pgMar w:top="1928" w:right="1134" w:bottom="1134" w:left="1134" w:header="1418" w:footer="1134" w:gutter="284"/>
          <w:cols w:space="425" w:num="1"/>
          <w:formProt w:val="0"/>
          <w:docGrid w:type="lines" w:linePitch="312" w:charSpace="0"/>
        </w:sectPr>
      </w:pPr>
    </w:p>
    <w:p w14:paraId="5E349FA0">
      <w:pPr>
        <w:pStyle w:val="80"/>
        <w:keepNext w:val="0"/>
        <w:keepLines w:val="0"/>
        <w:pageBreakBefore w:val="0"/>
        <w:widowControl/>
        <w:kinsoku/>
        <w:wordWrap/>
        <w:overflowPunct/>
        <w:topLinePunct w:val="0"/>
        <w:bidi w:val="0"/>
        <w:spacing w:before="0" w:after="156" w:line="300" w:lineRule="exact"/>
      </w:pPr>
      <w:r>
        <w:br w:type="textWrapping"/>
      </w:r>
      <w:bookmarkStart w:id="113" w:name="_Toc240896222"/>
      <w:bookmarkStart w:id="114" w:name="_Toc145357832"/>
      <w:r>
        <w:rPr>
          <w:rFonts w:hint="eastAsia"/>
        </w:rPr>
        <w:t>（资料性）</w:t>
      </w:r>
      <w:r>
        <w:br w:type="textWrapping"/>
      </w:r>
      <w:r>
        <w:rPr>
          <w:rFonts w:hint="eastAsia"/>
        </w:rPr>
        <w:t>取水计量监测站点巡检维护记录表样式</w:t>
      </w:r>
      <w:bookmarkEnd w:id="113"/>
      <w:bookmarkEnd w:id="114"/>
    </w:p>
    <w:p w14:paraId="23DCA727">
      <w:pPr>
        <w:pStyle w:val="60"/>
        <w:keepNext w:val="0"/>
        <w:keepLines w:val="0"/>
        <w:pageBreakBefore w:val="0"/>
        <w:widowControl/>
        <w:kinsoku/>
        <w:wordWrap/>
        <w:overflowPunct/>
        <w:topLinePunct w:val="0"/>
        <w:bidi w:val="0"/>
        <w:spacing w:line="300" w:lineRule="exact"/>
        <w:ind w:firstLine="420"/>
      </w:pPr>
      <w:r>
        <w:rPr>
          <w:rFonts w:hint="eastAsia"/>
        </w:rPr>
        <w:t>取水计量监测站点巡检维护记录表样式见表B</w:t>
      </w:r>
      <w:r>
        <w:t>.1</w:t>
      </w:r>
      <w:r>
        <w:rPr>
          <w:rFonts w:hint="eastAsia"/>
        </w:rPr>
        <w:t>。</w:t>
      </w:r>
    </w:p>
    <w:p w14:paraId="63053777">
      <w:pPr>
        <w:pStyle w:val="81"/>
        <w:keepNext w:val="0"/>
        <w:keepLines w:val="0"/>
        <w:pageBreakBefore w:val="0"/>
        <w:widowControl/>
        <w:numPr>
          <w:ilvl w:val="1"/>
          <w:numId w:val="45"/>
        </w:numPr>
        <w:kinsoku/>
        <w:wordWrap/>
        <w:overflowPunct/>
        <w:topLinePunct w:val="0"/>
        <w:bidi w:val="0"/>
        <w:spacing w:before="156" w:after="156" w:line="300" w:lineRule="exact"/>
      </w:pPr>
      <w:bookmarkStart w:id="115" w:name="_Toc2057678296"/>
      <w:r>
        <w:rPr>
          <w:rFonts w:hint="eastAsia"/>
        </w:rPr>
        <w:t xml:space="preserve"> 取水计量监测站点巡检维护记录表</w:t>
      </w:r>
      <w:bookmarkEnd w:id="115"/>
    </w:p>
    <w:tbl>
      <w:tblPr>
        <w:tblStyle w:val="29"/>
        <w:tblW w:w="9819" w:type="dxa"/>
        <w:tblInd w:w="135"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181"/>
        <w:gridCol w:w="1183"/>
        <w:gridCol w:w="2896"/>
        <w:gridCol w:w="4559"/>
      </w:tblGrid>
      <w:tr w14:paraId="423EA7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90" w:hRule="atLeast"/>
        </w:trPr>
        <w:tc>
          <w:tcPr>
            <w:tcW w:w="5260" w:type="dxa"/>
            <w:gridSpan w:val="3"/>
            <w:tcBorders>
              <w:top w:val="single" w:color="auto" w:sz="2" w:space="0"/>
              <w:left w:val="single" w:color="auto" w:sz="8" w:space="0"/>
              <w:bottom w:val="single" w:color="auto" w:sz="2" w:space="0"/>
              <w:right w:val="single" w:color="auto" w:sz="2" w:space="0"/>
            </w:tcBorders>
            <w:vAlign w:val="center"/>
          </w:tcPr>
          <w:p w14:paraId="5A2DC830">
            <w:pPr>
              <w:pStyle w:val="234"/>
              <w:keepNext w:val="0"/>
              <w:keepLines w:val="0"/>
              <w:pageBreakBefore w:val="0"/>
              <w:widowControl w:val="0"/>
              <w:kinsoku/>
              <w:wordWrap/>
              <w:overflowPunct/>
              <w:topLinePunct w:val="0"/>
              <w:bidi w:val="0"/>
              <w:spacing w:after="0" w:line="200" w:lineRule="exact"/>
              <w:ind w:firstLine="0" w:firstLineChars="0"/>
              <w:jc w:val="left"/>
              <w:rPr>
                <w:rFonts w:hint="eastAsia" w:hAnsi="宋体"/>
                <w:sz w:val="18"/>
                <w:szCs w:val="18"/>
              </w:rPr>
            </w:pPr>
            <w:r>
              <w:rPr>
                <w:rFonts w:hint="eastAsia" w:hAnsi="宋体"/>
                <w:sz w:val="18"/>
                <w:szCs w:val="18"/>
              </w:rPr>
              <w:t>取水计量监测站点名称：</w:t>
            </w:r>
          </w:p>
        </w:tc>
        <w:tc>
          <w:tcPr>
            <w:tcW w:w="4559" w:type="dxa"/>
            <w:tcBorders>
              <w:top w:val="single" w:color="auto" w:sz="2" w:space="0"/>
              <w:left w:val="nil"/>
              <w:bottom w:val="single" w:color="auto" w:sz="2" w:space="0"/>
              <w:right w:val="single" w:color="auto" w:sz="8" w:space="0"/>
            </w:tcBorders>
            <w:vAlign w:val="center"/>
          </w:tcPr>
          <w:p w14:paraId="2965D239">
            <w:pPr>
              <w:pStyle w:val="234"/>
              <w:keepNext w:val="0"/>
              <w:keepLines w:val="0"/>
              <w:pageBreakBefore w:val="0"/>
              <w:widowControl w:val="0"/>
              <w:kinsoku/>
              <w:wordWrap/>
              <w:overflowPunct/>
              <w:topLinePunct w:val="0"/>
              <w:bidi w:val="0"/>
              <w:spacing w:after="0" w:line="200" w:lineRule="exact"/>
              <w:ind w:firstLine="0" w:firstLineChars="0"/>
              <w:jc w:val="left"/>
              <w:rPr>
                <w:rFonts w:hint="eastAsia" w:hAnsi="宋体"/>
                <w:sz w:val="18"/>
                <w:szCs w:val="18"/>
              </w:rPr>
            </w:pPr>
            <w:r>
              <w:rPr>
                <w:rFonts w:hint="eastAsia" w:hAnsi="宋体"/>
                <w:sz w:val="18"/>
                <w:szCs w:val="18"/>
              </w:rPr>
              <w:t>取水计量监测站点编号:</w:t>
            </w:r>
          </w:p>
        </w:tc>
      </w:tr>
      <w:tr w14:paraId="43238CF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90" w:hRule="atLeast"/>
        </w:trPr>
        <w:tc>
          <w:tcPr>
            <w:tcW w:w="5260" w:type="dxa"/>
            <w:gridSpan w:val="3"/>
            <w:tcBorders>
              <w:top w:val="single" w:color="auto" w:sz="2" w:space="0"/>
              <w:left w:val="single" w:color="auto" w:sz="8" w:space="0"/>
              <w:bottom w:val="single" w:color="auto" w:sz="2" w:space="0"/>
              <w:right w:val="single" w:color="auto" w:sz="2" w:space="0"/>
            </w:tcBorders>
            <w:vAlign w:val="center"/>
          </w:tcPr>
          <w:p w14:paraId="0E69E1F9">
            <w:pPr>
              <w:pStyle w:val="234"/>
              <w:keepNext w:val="0"/>
              <w:keepLines w:val="0"/>
              <w:pageBreakBefore w:val="0"/>
              <w:widowControl w:val="0"/>
              <w:kinsoku/>
              <w:wordWrap/>
              <w:overflowPunct/>
              <w:topLinePunct w:val="0"/>
              <w:bidi w:val="0"/>
              <w:spacing w:after="0" w:line="200" w:lineRule="exact"/>
              <w:ind w:firstLine="0" w:firstLineChars="0"/>
              <w:jc w:val="left"/>
              <w:rPr>
                <w:rFonts w:hint="eastAsia" w:hAnsi="宋体"/>
                <w:sz w:val="18"/>
                <w:szCs w:val="18"/>
              </w:rPr>
            </w:pPr>
            <w:r>
              <w:rPr>
                <w:rFonts w:hint="eastAsia" w:hAnsi="宋体"/>
                <w:sz w:val="18"/>
                <w:szCs w:val="18"/>
              </w:rPr>
              <w:t>运维管理单位：</w:t>
            </w:r>
          </w:p>
        </w:tc>
        <w:tc>
          <w:tcPr>
            <w:tcW w:w="4559" w:type="dxa"/>
            <w:tcBorders>
              <w:top w:val="single" w:color="auto" w:sz="2" w:space="0"/>
              <w:left w:val="nil"/>
              <w:bottom w:val="single" w:color="auto" w:sz="2" w:space="0"/>
              <w:right w:val="single" w:color="auto" w:sz="8" w:space="0"/>
            </w:tcBorders>
            <w:vAlign w:val="center"/>
          </w:tcPr>
          <w:p w14:paraId="0F0EBADE">
            <w:pPr>
              <w:pStyle w:val="234"/>
              <w:keepNext w:val="0"/>
              <w:keepLines w:val="0"/>
              <w:pageBreakBefore w:val="0"/>
              <w:widowControl w:val="0"/>
              <w:kinsoku/>
              <w:wordWrap/>
              <w:overflowPunct/>
              <w:topLinePunct w:val="0"/>
              <w:bidi w:val="0"/>
              <w:spacing w:after="0" w:line="200" w:lineRule="exact"/>
              <w:ind w:firstLine="0" w:firstLineChars="0"/>
              <w:jc w:val="left"/>
              <w:rPr>
                <w:rFonts w:hint="eastAsia" w:hAnsi="宋体"/>
                <w:sz w:val="18"/>
                <w:szCs w:val="18"/>
              </w:rPr>
            </w:pPr>
            <w:r>
              <w:rPr>
                <w:rFonts w:hint="eastAsia" w:hAnsi="宋体"/>
                <w:sz w:val="18"/>
                <w:szCs w:val="18"/>
              </w:rPr>
              <w:t>巡检维护日期：         年        月       日</w:t>
            </w:r>
          </w:p>
        </w:tc>
      </w:tr>
      <w:tr w14:paraId="560957D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90" w:hRule="atLeast"/>
        </w:trPr>
        <w:tc>
          <w:tcPr>
            <w:tcW w:w="9819" w:type="dxa"/>
            <w:gridSpan w:val="4"/>
            <w:tcBorders>
              <w:top w:val="single" w:color="auto" w:sz="2" w:space="0"/>
              <w:left w:val="single" w:color="auto" w:sz="8" w:space="0"/>
              <w:bottom w:val="single" w:color="auto" w:sz="2" w:space="0"/>
              <w:right w:val="single" w:color="auto" w:sz="8" w:space="0"/>
            </w:tcBorders>
            <w:vAlign w:val="center"/>
          </w:tcPr>
          <w:p w14:paraId="45E3FA62">
            <w:pPr>
              <w:pStyle w:val="234"/>
              <w:keepNext w:val="0"/>
              <w:keepLines w:val="0"/>
              <w:pageBreakBefore w:val="0"/>
              <w:widowControl w:val="0"/>
              <w:kinsoku/>
              <w:wordWrap/>
              <w:overflowPunct/>
              <w:topLinePunct w:val="0"/>
              <w:bidi w:val="0"/>
              <w:spacing w:after="0" w:line="200" w:lineRule="exact"/>
              <w:ind w:firstLine="0" w:firstLineChars="0"/>
              <w:jc w:val="center"/>
              <w:rPr>
                <w:rFonts w:hint="eastAsia" w:hAnsi="宋体"/>
                <w:sz w:val="18"/>
                <w:szCs w:val="18"/>
              </w:rPr>
            </w:pPr>
            <w:r>
              <w:rPr>
                <w:rFonts w:hint="eastAsia" w:hAnsi="宋体"/>
                <w:b/>
                <w:bCs/>
                <w:sz w:val="18"/>
                <w:szCs w:val="18"/>
              </w:rPr>
              <w:t>巡检维护内容</w:t>
            </w:r>
          </w:p>
        </w:tc>
      </w:tr>
      <w:tr w14:paraId="6294F6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90" w:hRule="atLeast"/>
        </w:trPr>
        <w:tc>
          <w:tcPr>
            <w:tcW w:w="1181" w:type="dxa"/>
            <w:vMerge w:val="restart"/>
            <w:tcBorders>
              <w:top w:val="single" w:color="auto" w:sz="2" w:space="0"/>
              <w:left w:val="single" w:color="auto" w:sz="8" w:space="0"/>
              <w:right w:val="single" w:color="auto" w:sz="2" w:space="0"/>
            </w:tcBorders>
            <w:vAlign w:val="center"/>
          </w:tcPr>
          <w:p w14:paraId="7110C362">
            <w:pPr>
              <w:pStyle w:val="234"/>
              <w:keepNext w:val="0"/>
              <w:keepLines w:val="0"/>
              <w:pageBreakBefore w:val="0"/>
              <w:widowControl w:val="0"/>
              <w:kinsoku/>
              <w:wordWrap/>
              <w:overflowPunct/>
              <w:topLinePunct w:val="0"/>
              <w:bidi w:val="0"/>
              <w:spacing w:after="0" w:line="200" w:lineRule="exact"/>
              <w:ind w:firstLine="0" w:firstLineChars="0"/>
              <w:jc w:val="center"/>
              <w:rPr>
                <w:rFonts w:hint="eastAsia" w:hAnsi="宋体"/>
                <w:sz w:val="18"/>
                <w:szCs w:val="18"/>
              </w:rPr>
            </w:pPr>
            <w:r>
              <w:rPr>
                <w:rFonts w:hint="eastAsia" w:hAnsi="宋体"/>
                <w:sz w:val="18"/>
                <w:szCs w:val="18"/>
              </w:rPr>
              <w:t>取水计量设施（器具）</w:t>
            </w:r>
          </w:p>
        </w:tc>
        <w:tc>
          <w:tcPr>
            <w:tcW w:w="1183" w:type="dxa"/>
            <w:tcBorders>
              <w:top w:val="single" w:color="auto" w:sz="2" w:space="0"/>
              <w:left w:val="nil"/>
              <w:bottom w:val="single" w:color="auto" w:sz="2" w:space="0"/>
              <w:right w:val="single" w:color="auto" w:sz="2" w:space="0"/>
            </w:tcBorders>
            <w:vAlign w:val="center"/>
          </w:tcPr>
          <w:p w14:paraId="2B247BDE">
            <w:pPr>
              <w:pStyle w:val="234"/>
              <w:keepNext w:val="0"/>
              <w:keepLines w:val="0"/>
              <w:pageBreakBefore w:val="0"/>
              <w:widowControl w:val="0"/>
              <w:kinsoku/>
              <w:wordWrap/>
              <w:overflowPunct/>
              <w:topLinePunct w:val="0"/>
              <w:bidi w:val="0"/>
              <w:spacing w:after="0" w:line="200" w:lineRule="exact"/>
              <w:ind w:firstLine="0" w:firstLineChars="0"/>
              <w:jc w:val="center"/>
              <w:rPr>
                <w:rFonts w:hint="eastAsia" w:hAnsi="宋体"/>
                <w:sz w:val="18"/>
                <w:szCs w:val="18"/>
              </w:rPr>
            </w:pPr>
            <w:r>
              <w:rPr>
                <w:rFonts w:hint="eastAsia" w:hAnsi="宋体"/>
                <w:sz w:val="18"/>
                <w:szCs w:val="18"/>
              </w:rPr>
              <w:t>运行状态</w:t>
            </w:r>
          </w:p>
        </w:tc>
        <w:tc>
          <w:tcPr>
            <w:tcW w:w="7455" w:type="dxa"/>
            <w:gridSpan w:val="2"/>
            <w:tcBorders>
              <w:top w:val="single" w:color="auto" w:sz="2" w:space="0"/>
              <w:left w:val="single" w:color="auto" w:sz="2" w:space="0"/>
              <w:bottom w:val="single" w:color="auto" w:sz="2" w:space="0"/>
              <w:right w:val="single" w:color="auto" w:sz="8" w:space="0"/>
            </w:tcBorders>
            <w:vAlign w:val="center"/>
          </w:tcPr>
          <w:p w14:paraId="31B0B177">
            <w:pPr>
              <w:pStyle w:val="234"/>
              <w:keepNext w:val="0"/>
              <w:keepLines w:val="0"/>
              <w:pageBreakBefore w:val="0"/>
              <w:kinsoku/>
              <w:wordWrap/>
              <w:overflowPunct/>
              <w:topLinePunct w:val="0"/>
              <w:bidi w:val="0"/>
              <w:spacing w:after="0" w:line="200" w:lineRule="exact"/>
              <w:ind w:firstLine="0" w:firstLineChars="0"/>
              <w:jc w:val="left"/>
              <w:rPr>
                <w:rFonts w:hint="eastAsia" w:hAnsi="宋体"/>
                <w:sz w:val="18"/>
                <w:szCs w:val="18"/>
                <w:highlight w:val="none"/>
              </w:rPr>
            </w:pPr>
            <w:r>
              <w:rPr>
                <w:rFonts w:hint="eastAsia" w:hAnsi="宋体"/>
                <w:sz w:val="18"/>
                <w:szCs w:val="18"/>
                <w:highlight w:val="none"/>
              </w:rPr>
              <w:t>正常量测□    无读数或读数跳变/停滞等异常□</w:t>
            </w:r>
          </w:p>
        </w:tc>
      </w:tr>
      <w:tr w14:paraId="5C62A1A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404" w:hRule="atLeast"/>
        </w:trPr>
        <w:tc>
          <w:tcPr>
            <w:tcW w:w="1181" w:type="dxa"/>
            <w:vMerge w:val="continue"/>
            <w:tcBorders>
              <w:left w:val="single" w:color="auto" w:sz="8" w:space="0"/>
              <w:right w:val="single" w:color="auto" w:sz="2" w:space="0"/>
            </w:tcBorders>
            <w:vAlign w:val="center"/>
          </w:tcPr>
          <w:p w14:paraId="1E6E71AE">
            <w:pPr>
              <w:pStyle w:val="234"/>
              <w:keepNext w:val="0"/>
              <w:keepLines w:val="0"/>
              <w:pageBreakBefore w:val="0"/>
              <w:widowControl w:val="0"/>
              <w:kinsoku/>
              <w:wordWrap/>
              <w:overflowPunct/>
              <w:topLinePunct w:val="0"/>
              <w:bidi w:val="0"/>
              <w:spacing w:after="0" w:line="200" w:lineRule="exact"/>
              <w:ind w:firstLine="0" w:firstLineChars="0"/>
              <w:jc w:val="center"/>
              <w:rPr>
                <w:rFonts w:hint="eastAsia" w:hAnsi="宋体"/>
                <w:sz w:val="18"/>
                <w:szCs w:val="18"/>
              </w:rPr>
            </w:pPr>
          </w:p>
        </w:tc>
        <w:tc>
          <w:tcPr>
            <w:tcW w:w="1183" w:type="dxa"/>
            <w:tcBorders>
              <w:top w:val="single" w:color="auto" w:sz="2" w:space="0"/>
              <w:left w:val="nil"/>
              <w:bottom w:val="single" w:color="auto" w:sz="2" w:space="0"/>
              <w:right w:val="single" w:color="auto" w:sz="2" w:space="0"/>
            </w:tcBorders>
            <w:vAlign w:val="center"/>
          </w:tcPr>
          <w:p w14:paraId="0E0BF21C">
            <w:pPr>
              <w:pStyle w:val="234"/>
              <w:keepNext w:val="0"/>
              <w:keepLines w:val="0"/>
              <w:pageBreakBefore w:val="0"/>
              <w:widowControl w:val="0"/>
              <w:kinsoku/>
              <w:wordWrap/>
              <w:overflowPunct/>
              <w:topLinePunct w:val="0"/>
              <w:bidi w:val="0"/>
              <w:spacing w:after="0" w:line="200" w:lineRule="exact"/>
              <w:ind w:firstLine="0" w:firstLineChars="0"/>
              <w:jc w:val="center"/>
              <w:rPr>
                <w:rFonts w:hint="eastAsia" w:hAnsi="宋体"/>
                <w:sz w:val="18"/>
                <w:szCs w:val="18"/>
              </w:rPr>
            </w:pPr>
            <w:r>
              <w:rPr>
                <w:rFonts w:hint="eastAsia" w:hAnsi="宋体"/>
                <w:sz w:val="18"/>
                <w:szCs w:val="18"/>
              </w:rPr>
              <w:t>巡检内容</w:t>
            </w:r>
          </w:p>
        </w:tc>
        <w:tc>
          <w:tcPr>
            <w:tcW w:w="7455" w:type="dxa"/>
            <w:gridSpan w:val="2"/>
            <w:tcBorders>
              <w:top w:val="single" w:color="auto" w:sz="2" w:space="0"/>
              <w:left w:val="single" w:color="auto" w:sz="2" w:space="0"/>
              <w:bottom w:val="single" w:color="auto" w:sz="2" w:space="0"/>
              <w:right w:val="single" w:color="auto" w:sz="8" w:space="0"/>
            </w:tcBorders>
            <w:vAlign w:val="center"/>
          </w:tcPr>
          <w:p w14:paraId="58D57C0A">
            <w:pPr>
              <w:pStyle w:val="234"/>
              <w:keepNext w:val="0"/>
              <w:keepLines w:val="0"/>
              <w:pageBreakBefore w:val="0"/>
              <w:widowControl w:val="0"/>
              <w:kinsoku/>
              <w:wordWrap/>
              <w:overflowPunct/>
              <w:topLinePunct w:val="0"/>
              <w:bidi w:val="0"/>
              <w:spacing w:after="0" w:line="200" w:lineRule="exact"/>
              <w:ind w:firstLine="0" w:firstLineChars="0"/>
              <w:jc w:val="left"/>
              <w:rPr>
                <w:rFonts w:hint="eastAsia" w:hAnsi="宋体"/>
                <w:sz w:val="18"/>
                <w:szCs w:val="18"/>
              </w:rPr>
            </w:pPr>
            <w:bookmarkStart w:id="116" w:name="OLE_LINK33"/>
            <w:r>
              <w:rPr>
                <w:rFonts w:hint="eastAsia" w:hAnsi="宋体"/>
                <w:sz w:val="18"/>
                <w:szCs w:val="18"/>
              </w:rPr>
              <w:t>安装稳定牢固（是□    否□）</w:t>
            </w:r>
            <w:bookmarkEnd w:id="116"/>
          </w:p>
          <w:p w14:paraId="11DE9C50">
            <w:pPr>
              <w:pStyle w:val="234"/>
              <w:keepNext w:val="0"/>
              <w:keepLines w:val="0"/>
              <w:pageBreakBefore w:val="0"/>
              <w:widowControl w:val="0"/>
              <w:kinsoku/>
              <w:wordWrap/>
              <w:overflowPunct/>
              <w:topLinePunct w:val="0"/>
              <w:bidi w:val="0"/>
              <w:spacing w:after="0" w:line="200" w:lineRule="exact"/>
              <w:ind w:firstLine="0" w:firstLineChars="0"/>
              <w:jc w:val="left"/>
              <w:rPr>
                <w:rFonts w:hint="eastAsia" w:hAnsi="宋体"/>
                <w:sz w:val="18"/>
                <w:szCs w:val="18"/>
              </w:rPr>
            </w:pPr>
            <w:r>
              <w:rPr>
                <w:rFonts w:hint="eastAsia" w:hAnsi="宋体"/>
                <w:sz w:val="18"/>
                <w:szCs w:val="18"/>
              </w:rPr>
              <w:t>外观完好（是□    否□）</w:t>
            </w:r>
          </w:p>
          <w:p w14:paraId="241F69F4">
            <w:pPr>
              <w:pStyle w:val="234"/>
              <w:keepNext w:val="0"/>
              <w:keepLines w:val="0"/>
              <w:pageBreakBefore w:val="0"/>
              <w:widowControl w:val="0"/>
              <w:kinsoku/>
              <w:wordWrap/>
              <w:overflowPunct/>
              <w:topLinePunct w:val="0"/>
              <w:bidi w:val="0"/>
              <w:spacing w:after="0" w:line="200" w:lineRule="exact"/>
              <w:ind w:firstLine="0" w:firstLineChars="0"/>
              <w:jc w:val="left"/>
              <w:rPr>
                <w:rFonts w:hint="eastAsia" w:hAnsi="宋体"/>
                <w:sz w:val="18"/>
                <w:szCs w:val="18"/>
              </w:rPr>
            </w:pPr>
            <w:r>
              <w:rPr>
                <w:rFonts w:hint="eastAsia" w:hAnsi="宋体"/>
                <w:sz w:val="18"/>
                <w:szCs w:val="18"/>
              </w:rPr>
              <w:t>标识完好（是□    否□）</w:t>
            </w:r>
          </w:p>
          <w:p w14:paraId="643074A7">
            <w:pPr>
              <w:pStyle w:val="234"/>
              <w:keepNext w:val="0"/>
              <w:keepLines w:val="0"/>
              <w:pageBreakBefore w:val="0"/>
              <w:widowControl w:val="0"/>
              <w:kinsoku/>
              <w:wordWrap/>
              <w:overflowPunct/>
              <w:topLinePunct w:val="0"/>
              <w:bidi w:val="0"/>
              <w:spacing w:after="0" w:line="200" w:lineRule="exact"/>
              <w:ind w:firstLine="0" w:firstLineChars="0"/>
              <w:jc w:val="left"/>
              <w:rPr>
                <w:rFonts w:hint="eastAsia" w:hAnsi="宋体"/>
                <w:sz w:val="18"/>
                <w:szCs w:val="18"/>
              </w:rPr>
            </w:pPr>
            <w:r>
              <w:rPr>
                <w:rFonts w:hint="eastAsia" w:hAnsi="宋体"/>
                <w:sz w:val="18"/>
                <w:szCs w:val="18"/>
              </w:rPr>
              <w:t>显示屏正常显示（是□    否□）</w:t>
            </w:r>
          </w:p>
          <w:p w14:paraId="7B53E41A">
            <w:pPr>
              <w:pStyle w:val="234"/>
              <w:keepNext w:val="0"/>
              <w:keepLines w:val="0"/>
              <w:pageBreakBefore w:val="0"/>
              <w:widowControl w:val="0"/>
              <w:kinsoku/>
              <w:wordWrap/>
              <w:overflowPunct/>
              <w:topLinePunct w:val="0"/>
              <w:bidi w:val="0"/>
              <w:spacing w:after="0" w:line="200" w:lineRule="exact"/>
              <w:ind w:firstLine="0" w:firstLineChars="0"/>
              <w:jc w:val="left"/>
              <w:rPr>
                <w:rFonts w:hint="eastAsia" w:hAnsi="宋体"/>
                <w:sz w:val="18"/>
                <w:szCs w:val="18"/>
              </w:rPr>
            </w:pPr>
            <w:r>
              <w:rPr>
                <w:rFonts w:hint="eastAsia" w:hAnsi="宋体"/>
                <w:sz w:val="18"/>
                <w:szCs w:val="18"/>
              </w:rPr>
              <w:t>检定/校准在有效期内（是□    否□）</w:t>
            </w:r>
          </w:p>
        </w:tc>
      </w:tr>
      <w:tr w14:paraId="6089E49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90" w:hRule="atLeast"/>
        </w:trPr>
        <w:tc>
          <w:tcPr>
            <w:tcW w:w="1181" w:type="dxa"/>
            <w:vMerge w:val="continue"/>
            <w:tcBorders>
              <w:left w:val="single" w:color="auto" w:sz="8" w:space="0"/>
              <w:bottom w:val="single" w:color="auto" w:sz="2" w:space="0"/>
              <w:right w:val="single" w:color="auto" w:sz="2" w:space="0"/>
            </w:tcBorders>
            <w:vAlign w:val="center"/>
          </w:tcPr>
          <w:p w14:paraId="6FA8A6B3">
            <w:pPr>
              <w:pStyle w:val="234"/>
              <w:keepNext w:val="0"/>
              <w:keepLines w:val="0"/>
              <w:pageBreakBefore w:val="0"/>
              <w:widowControl w:val="0"/>
              <w:kinsoku/>
              <w:wordWrap/>
              <w:overflowPunct/>
              <w:topLinePunct w:val="0"/>
              <w:bidi w:val="0"/>
              <w:spacing w:after="0" w:line="200" w:lineRule="exact"/>
              <w:ind w:firstLine="0" w:firstLineChars="0"/>
              <w:jc w:val="center"/>
              <w:rPr>
                <w:rFonts w:hint="eastAsia" w:hAnsi="宋体"/>
                <w:sz w:val="18"/>
                <w:szCs w:val="18"/>
              </w:rPr>
            </w:pPr>
          </w:p>
        </w:tc>
        <w:tc>
          <w:tcPr>
            <w:tcW w:w="1183" w:type="dxa"/>
            <w:tcBorders>
              <w:top w:val="single" w:color="auto" w:sz="2" w:space="0"/>
              <w:left w:val="nil"/>
              <w:bottom w:val="single" w:color="auto" w:sz="2" w:space="0"/>
              <w:right w:val="single" w:color="auto" w:sz="2" w:space="0"/>
            </w:tcBorders>
            <w:vAlign w:val="center"/>
          </w:tcPr>
          <w:p w14:paraId="341004C2">
            <w:pPr>
              <w:pStyle w:val="234"/>
              <w:keepNext w:val="0"/>
              <w:keepLines w:val="0"/>
              <w:pageBreakBefore w:val="0"/>
              <w:widowControl w:val="0"/>
              <w:kinsoku/>
              <w:wordWrap/>
              <w:overflowPunct/>
              <w:topLinePunct w:val="0"/>
              <w:bidi w:val="0"/>
              <w:spacing w:after="0" w:line="200" w:lineRule="exact"/>
              <w:ind w:firstLine="0" w:firstLineChars="0"/>
              <w:jc w:val="center"/>
              <w:rPr>
                <w:rFonts w:hint="eastAsia" w:hAnsi="宋体"/>
                <w:sz w:val="18"/>
                <w:szCs w:val="18"/>
              </w:rPr>
            </w:pPr>
            <w:r>
              <w:rPr>
                <w:rFonts w:hint="eastAsia" w:hAnsi="宋体"/>
                <w:sz w:val="18"/>
                <w:szCs w:val="18"/>
              </w:rPr>
              <w:t>维护情况</w:t>
            </w:r>
          </w:p>
        </w:tc>
        <w:tc>
          <w:tcPr>
            <w:tcW w:w="7455" w:type="dxa"/>
            <w:gridSpan w:val="2"/>
            <w:tcBorders>
              <w:top w:val="single" w:color="auto" w:sz="2" w:space="0"/>
              <w:left w:val="single" w:color="auto" w:sz="2" w:space="0"/>
              <w:bottom w:val="single" w:color="auto" w:sz="2" w:space="0"/>
              <w:right w:val="single" w:color="auto" w:sz="8" w:space="0"/>
            </w:tcBorders>
            <w:vAlign w:val="center"/>
          </w:tcPr>
          <w:p w14:paraId="65935752">
            <w:pPr>
              <w:pStyle w:val="234"/>
              <w:keepNext w:val="0"/>
              <w:keepLines w:val="0"/>
              <w:pageBreakBefore w:val="0"/>
              <w:widowControl w:val="0"/>
              <w:kinsoku/>
              <w:wordWrap/>
              <w:overflowPunct/>
              <w:topLinePunct w:val="0"/>
              <w:bidi w:val="0"/>
              <w:spacing w:after="0" w:line="200" w:lineRule="exact"/>
              <w:ind w:firstLine="0" w:firstLineChars="0"/>
              <w:jc w:val="left"/>
              <w:rPr>
                <w:rFonts w:hint="eastAsia" w:hAnsi="宋体"/>
                <w:sz w:val="18"/>
                <w:szCs w:val="18"/>
              </w:rPr>
            </w:pPr>
            <w:r>
              <w:rPr>
                <w:rFonts w:hint="eastAsia" w:hAnsi="宋体"/>
                <w:sz w:val="18"/>
                <w:szCs w:val="18"/>
              </w:rPr>
              <w:t>无需修复□    已修复□    无法修复□    处理措施：</w:t>
            </w:r>
            <w:r>
              <w:rPr>
                <w:rFonts w:hint="eastAsia" w:hAnsi="宋体"/>
                <w:sz w:val="18"/>
                <w:szCs w:val="18"/>
                <w:u w:val="single"/>
              </w:rPr>
              <w:t xml:space="preserve">                            </w:t>
            </w:r>
          </w:p>
        </w:tc>
      </w:tr>
      <w:tr w14:paraId="3BB1158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90" w:hRule="atLeast"/>
        </w:trPr>
        <w:tc>
          <w:tcPr>
            <w:tcW w:w="1181" w:type="dxa"/>
            <w:vMerge w:val="restart"/>
            <w:tcBorders>
              <w:top w:val="single" w:color="auto" w:sz="2" w:space="0"/>
              <w:left w:val="single" w:color="auto" w:sz="8" w:space="0"/>
              <w:right w:val="single" w:color="auto" w:sz="2" w:space="0"/>
            </w:tcBorders>
            <w:vAlign w:val="center"/>
          </w:tcPr>
          <w:p w14:paraId="142EDB89">
            <w:pPr>
              <w:pStyle w:val="234"/>
              <w:keepNext w:val="0"/>
              <w:keepLines w:val="0"/>
              <w:pageBreakBefore w:val="0"/>
              <w:widowControl w:val="0"/>
              <w:kinsoku/>
              <w:wordWrap/>
              <w:overflowPunct/>
              <w:topLinePunct w:val="0"/>
              <w:bidi w:val="0"/>
              <w:spacing w:after="0" w:line="200" w:lineRule="exact"/>
              <w:ind w:firstLine="0" w:firstLineChars="0"/>
              <w:jc w:val="center"/>
              <w:rPr>
                <w:rFonts w:hint="eastAsia" w:hAnsi="宋体"/>
                <w:sz w:val="18"/>
                <w:szCs w:val="18"/>
              </w:rPr>
            </w:pPr>
            <w:r>
              <w:rPr>
                <w:rFonts w:hint="eastAsia" w:hAnsi="宋体"/>
                <w:sz w:val="18"/>
                <w:szCs w:val="18"/>
              </w:rPr>
              <w:t>遥测终端设备</w:t>
            </w:r>
          </w:p>
        </w:tc>
        <w:tc>
          <w:tcPr>
            <w:tcW w:w="1183" w:type="dxa"/>
            <w:tcBorders>
              <w:top w:val="single" w:color="auto" w:sz="2" w:space="0"/>
              <w:left w:val="nil"/>
              <w:bottom w:val="single" w:color="auto" w:sz="2" w:space="0"/>
              <w:right w:val="single" w:color="auto" w:sz="2" w:space="0"/>
            </w:tcBorders>
            <w:vAlign w:val="center"/>
          </w:tcPr>
          <w:p w14:paraId="170D4A7D">
            <w:pPr>
              <w:pStyle w:val="234"/>
              <w:keepNext w:val="0"/>
              <w:keepLines w:val="0"/>
              <w:pageBreakBefore w:val="0"/>
              <w:widowControl w:val="0"/>
              <w:kinsoku/>
              <w:wordWrap/>
              <w:overflowPunct/>
              <w:topLinePunct w:val="0"/>
              <w:bidi w:val="0"/>
              <w:spacing w:after="0" w:line="200" w:lineRule="exact"/>
              <w:ind w:firstLine="0" w:firstLineChars="0"/>
              <w:jc w:val="center"/>
              <w:rPr>
                <w:rFonts w:hint="eastAsia" w:hAnsi="宋体"/>
                <w:sz w:val="18"/>
                <w:szCs w:val="18"/>
              </w:rPr>
            </w:pPr>
            <w:r>
              <w:rPr>
                <w:rFonts w:hint="eastAsia" w:hAnsi="宋体"/>
                <w:sz w:val="18"/>
                <w:szCs w:val="18"/>
              </w:rPr>
              <w:t>通讯状态</w:t>
            </w:r>
          </w:p>
        </w:tc>
        <w:tc>
          <w:tcPr>
            <w:tcW w:w="7455" w:type="dxa"/>
            <w:gridSpan w:val="2"/>
            <w:tcBorders>
              <w:top w:val="single" w:color="auto" w:sz="2" w:space="0"/>
              <w:left w:val="single" w:color="auto" w:sz="2" w:space="0"/>
              <w:bottom w:val="single" w:color="auto" w:sz="2" w:space="0"/>
              <w:right w:val="single" w:color="auto" w:sz="8" w:space="0"/>
            </w:tcBorders>
            <w:vAlign w:val="center"/>
          </w:tcPr>
          <w:p w14:paraId="64A8D2EF">
            <w:pPr>
              <w:pStyle w:val="234"/>
              <w:keepNext w:val="0"/>
              <w:keepLines w:val="0"/>
              <w:pageBreakBefore w:val="0"/>
              <w:widowControl w:val="0"/>
              <w:kinsoku/>
              <w:wordWrap/>
              <w:overflowPunct/>
              <w:topLinePunct w:val="0"/>
              <w:bidi w:val="0"/>
              <w:spacing w:after="0" w:line="200" w:lineRule="exact"/>
              <w:ind w:firstLine="0" w:firstLineChars="0"/>
              <w:jc w:val="left"/>
              <w:rPr>
                <w:rFonts w:hint="eastAsia" w:hAnsi="宋体"/>
                <w:sz w:val="18"/>
                <w:szCs w:val="18"/>
              </w:rPr>
            </w:pPr>
            <w:r>
              <w:rPr>
                <w:rFonts w:hint="eastAsia" w:hAnsi="宋体"/>
                <w:sz w:val="18"/>
                <w:szCs w:val="18"/>
                <w:highlight w:val="none"/>
              </w:rPr>
              <w:t>数据与计量设施及系统平台一致□    连接中断或数据与计量设施及系统平台不一致□</w:t>
            </w:r>
          </w:p>
        </w:tc>
      </w:tr>
      <w:tr w14:paraId="463227B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46" w:hRule="atLeast"/>
        </w:trPr>
        <w:tc>
          <w:tcPr>
            <w:tcW w:w="1181" w:type="dxa"/>
            <w:vMerge w:val="continue"/>
            <w:tcBorders>
              <w:left w:val="single" w:color="auto" w:sz="8" w:space="0"/>
              <w:right w:val="single" w:color="auto" w:sz="2" w:space="0"/>
            </w:tcBorders>
            <w:vAlign w:val="center"/>
          </w:tcPr>
          <w:p w14:paraId="6299E226">
            <w:pPr>
              <w:pStyle w:val="234"/>
              <w:keepNext w:val="0"/>
              <w:keepLines w:val="0"/>
              <w:pageBreakBefore w:val="0"/>
              <w:widowControl w:val="0"/>
              <w:kinsoku/>
              <w:wordWrap/>
              <w:overflowPunct/>
              <w:topLinePunct w:val="0"/>
              <w:bidi w:val="0"/>
              <w:spacing w:after="0" w:line="200" w:lineRule="exact"/>
              <w:ind w:firstLine="0" w:firstLineChars="0"/>
              <w:jc w:val="center"/>
              <w:rPr>
                <w:rFonts w:hint="eastAsia" w:hAnsi="宋体"/>
                <w:sz w:val="18"/>
                <w:szCs w:val="18"/>
              </w:rPr>
            </w:pPr>
          </w:p>
        </w:tc>
        <w:tc>
          <w:tcPr>
            <w:tcW w:w="1183" w:type="dxa"/>
            <w:tcBorders>
              <w:top w:val="single" w:color="auto" w:sz="2" w:space="0"/>
              <w:left w:val="nil"/>
              <w:bottom w:val="single" w:color="auto" w:sz="2" w:space="0"/>
              <w:right w:val="single" w:color="auto" w:sz="2" w:space="0"/>
            </w:tcBorders>
            <w:vAlign w:val="center"/>
          </w:tcPr>
          <w:p w14:paraId="4485B275">
            <w:pPr>
              <w:pStyle w:val="234"/>
              <w:keepNext w:val="0"/>
              <w:keepLines w:val="0"/>
              <w:pageBreakBefore w:val="0"/>
              <w:widowControl w:val="0"/>
              <w:kinsoku/>
              <w:wordWrap/>
              <w:overflowPunct/>
              <w:topLinePunct w:val="0"/>
              <w:bidi w:val="0"/>
              <w:spacing w:after="0" w:line="200" w:lineRule="exact"/>
              <w:ind w:firstLine="0" w:firstLineChars="0"/>
              <w:jc w:val="center"/>
              <w:rPr>
                <w:rFonts w:hint="eastAsia" w:hAnsi="宋体"/>
                <w:sz w:val="18"/>
                <w:szCs w:val="18"/>
              </w:rPr>
            </w:pPr>
            <w:r>
              <w:rPr>
                <w:rFonts w:hAnsi="宋体"/>
                <w:sz w:val="18"/>
                <w:szCs w:val="18"/>
              </w:rPr>
              <w:t>巡检</w:t>
            </w:r>
            <w:r>
              <w:rPr>
                <w:rFonts w:hint="eastAsia" w:hAnsi="宋体"/>
                <w:sz w:val="18"/>
                <w:szCs w:val="18"/>
              </w:rPr>
              <w:t>内容</w:t>
            </w:r>
          </w:p>
        </w:tc>
        <w:tc>
          <w:tcPr>
            <w:tcW w:w="7455" w:type="dxa"/>
            <w:gridSpan w:val="2"/>
            <w:tcBorders>
              <w:top w:val="single" w:color="auto" w:sz="2" w:space="0"/>
              <w:left w:val="single" w:color="auto" w:sz="2" w:space="0"/>
              <w:bottom w:val="single" w:color="auto" w:sz="2" w:space="0"/>
              <w:right w:val="single" w:color="auto" w:sz="8" w:space="0"/>
            </w:tcBorders>
            <w:vAlign w:val="center"/>
          </w:tcPr>
          <w:p w14:paraId="416A86D1">
            <w:pPr>
              <w:pStyle w:val="234"/>
              <w:keepNext w:val="0"/>
              <w:keepLines w:val="0"/>
              <w:pageBreakBefore w:val="0"/>
              <w:widowControl w:val="0"/>
              <w:kinsoku/>
              <w:wordWrap/>
              <w:overflowPunct/>
              <w:topLinePunct w:val="0"/>
              <w:bidi w:val="0"/>
              <w:spacing w:after="0" w:line="200" w:lineRule="exact"/>
              <w:ind w:firstLine="0" w:firstLineChars="0"/>
              <w:jc w:val="left"/>
              <w:rPr>
                <w:rFonts w:hint="eastAsia" w:hAnsi="宋体"/>
                <w:sz w:val="18"/>
                <w:szCs w:val="18"/>
              </w:rPr>
            </w:pPr>
            <w:r>
              <w:rPr>
                <w:rFonts w:hint="eastAsia" w:hAnsi="宋体"/>
                <w:sz w:val="18"/>
                <w:szCs w:val="18"/>
              </w:rPr>
              <w:t>通信接口正确连接（是□    否□）</w:t>
            </w:r>
          </w:p>
          <w:p w14:paraId="49BFA1B6">
            <w:pPr>
              <w:pStyle w:val="234"/>
              <w:keepNext w:val="0"/>
              <w:keepLines w:val="0"/>
              <w:pageBreakBefore w:val="0"/>
              <w:widowControl w:val="0"/>
              <w:kinsoku/>
              <w:wordWrap/>
              <w:overflowPunct/>
              <w:topLinePunct w:val="0"/>
              <w:bidi w:val="0"/>
              <w:spacing w:after="0" w:line="200" w:lineRule="exact"/>
              <w:ind w:firstLine="0" w:firstLineChars="0"/>
              <w:jc w:val="left"/>
              <w:rPr>
                <w:rFonts w:hint="eastAsia" w:hAnsi="宋体"/>
                <w:sz w:val="18"/>
                <w:szCs w:val="18"/>
              </w:rPr>
            </w:pPr>
            <w:r>
              <w:rPr>
                <w:rFonts w:hint="eastAsia" w:hAnsi="宋体"/>
                <w:sz w:val="18"/>
                <w:szCs w:val="18"/>
              </w:rPr>
              <w:t>与信息平台通讯正确连接（是□    否□）</w:t>
            </w:r>
          </w:p>
          <w:p w14:paraId="581C067F">
            <w:pPr>
              <w:pStyle w:val="234"/>
              <w:keepNext w:val="0"/>
              <w:keepLines w:val="0"/>
              <w:pageBreakBefore w:val="0"/>
              <w:widowControl w:val="0"/>
              <w:kinsoku/>
              <w:wordWrap/>
              <w:overflowPunct/>
              <w:topLinePunct w:val="0"/>
              <w:bidi w:val="0"/>
              <w:spacing w:after="0" w:line="200" w:lineRule="exact"/>
              <w:ind w:firstLine="0" w:firstLineChars="0"/>
              <w:jc w:val="left"/>
              <w:rPr>
                <w:rFonts w:hint="eastAsia" w:hAnsi="宋体"/>
                <w:sz w:val="18"/>
                <w:szCs w:val="18"/>
              </w:rPr>
            </w:pPr>
            <w:r>
              <w:rPr>
                <w:rFonts w:hint="eastAsia" w:hAnsi="宋体"/>
                <w:sz w:val="18"/>
                <w:szCs w:val="18"/>
              </w:rPr>
              <w:t>通讯卡正常（是□    否□）</w:t>
            </w:r>
          </w:p>
        </w:tc>
      </w:tr>
      <w:tr w14:paraId="095914A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90" w:hRule="atLeast"/>
        </w:trPr>
        <w:tc>
          <w:tcPr>
            <w:tcW w:w="1181" w:type="dxa"/>
            <w:vMerge w:val="continue"/>
            <w:tcBorders>
              <w:left w:val="single" w:color="auto" w:sz="8" w:space="0"/>
              <w:bottom w:val="single" w:color="auto" w:sz="2" w:space="0"/>
              <w:right w:val="single" w:color="auto" w:sz="2" w:space="0"/>
            </w:tcBorders>
            <w:vAlign w:val="center"/>
          </w:tcPr>
          <w:p w14:paraId="7087B9CE">
            <w:pPr>
              <w:pStyle w:val="234"/>
              <w:keepNext w:val="0"/>
              <w:keepLines w:val="0"/>
              <w:pageBreakBefore w:val="0"/>
              <w:widowControl w:val="0"/>
              <w:kinsoku/>
              <w:wordWrap/>
              <w:overflowPunct/>
              <w:topLinePunct w:val="0"/>
              <w:bidi w:val="0"/>
              <w:spacing w:after="0" w:line="200" w:lineRule="exact"/>
              <w:ind w:firstLine="0" w:firstLineChars="0"/>
              <w:jc w:val="center"/>
              <w:rPr>
                <w:rFonts w:hint="eastAsia" w:hAnsi="宋体"/>
                <w:sz w:val="18"/>
                <w:szCs w:val="18"/>
              </w:rPr>
            </w:pPr>
          </w:p>
        </w:tc>
        <w:tc>
          <w:tcPr>
            <w:tcW w:w="1183" w:type="dxa"/>
            <w:tcBorders>
              <w:top w:val="single" w:color="auto" w:sz="2" w:space="0"/>
              <w:left w:val="nil"/>
              <w:bottom w:val="single" w:color="auto" w:sz="2" w:space="0"/>
              <w:right w:val="single" w:color="auto" w:sz="2" w:space="0"/>
            </w:tcBorders>
            <w:vAlign w:val="center"/>
          </w:tcPr>
          <w:p w14:paraId="21F003A2">
            <w:pPr>
              <w:pStyle w:val="234"/>
              <w:keepNext w:val="0"/>
              <w:keepLines w:val="0"/>
              <w:pageBreakBefore w:val="0"/>
              <w:widowControl w:val="0"/>
              <w:kinsoku/>
              <w:wordWrap/>
              <w:overflowPunct/>
              <w:topLinePunct w:val="0"/>
              <w:bidi w:val="0"/>
              <w:spacing w:after="0" w:line="200" w:lineRule="exact"/>
              <w:ind w:firstLine="0" w:firstLineChars="0"/>
              <w:jc w:val="center"/>
              <w:rPr>
                <w:rFonts w:hint="eastAsia" w:hAnsi="宋体"/>
                <w:sz w:val="18"/>
                <w:szCs w:val="18"/>
              </w:rPr>
            </w:pPr>
            <w:r>
              <w:rPr>
                <w:rFonts w:hint="eastAsia" w:hAnsi="宋体"/>
                <w:sz w:val="18"/>
                <w:szCs w:val="18"/>
              </w:rPr>
              <w:t>维护情况</w:t>
            </w:r>
          </w:p>
        </w:tc>
        <w:tc>
          <w:tcPr>
            <w:tcW w:w="7455" w:type="dxa"/>
            <w:gridSpan w:val="2"/>
            <w:tcBorders>
              <w:top w:val="single" w:color="auto" w:sz="2" w:space="0"/>
              <w:left w:val="single" w:color="auto" w:sz="2" w:space="0"/>
              <w:bottom w:val="single" w:color="auto" w:sz="2" w:space="0"/>
              <w:right w:val="single" w:color="auto" w:sz="8" w:space="0"/>
            </w:tcBorders>
            <w:vAlign w:val="center"/>
          </w:tcPr>
          <w:p w14:paraId="0FC811A1">
            <w:pPr>
              <w:pStyle w:val="234"/>
              <w:keepNext w:val="0"/>
              <w:keepLines w:val="0"/>
              <w:pageBreakBefore w:val="0"/>
              <w:widowControl w:val="0"/>
              <w:kinsoku/>
              <w:wordWrap/>
              <w:overflowPunct/>
              <w:topLinePunct w:val="0"/>
              <w:bidi w:val="0"/>
              <w:spacing w:after="0" w:line="200" w:lineRule="exact"/>
              <w:ind w:firstLine="0" w:firstLineChars="0"/>
              <w:jc w:val="left"/>
              <w:rPr>
                <w:rFonts w:hint="eastAsia" w:hAnsi="宋体"/>
                <w:sz w:val="18"/>
                <w:szCs w:val="18"/>
              </w:rPr>
            </w:pPr>
            <w:r>
              <w:rPr>
                <w:rFonts w:hint="eastAsia" w:hAnsi="宋体"/>
                <w:sz w:val="18"/>
                <w:szCs w:val="18"/>
              </w:rPr>
              <w:t>无需修复□    已修复□    无法修复□    处理措施：</w:t>
            </w:r>
            <w:r>
              <w:rPr>
                <w:rFonts w:hint="eastAsia" w:hAnsi="宋体"/>
                <w:sz w:val="18"/>
                <w:szCs w:val="18"/>
                <w:u w:val="single"/>
              </w:rPr>
              <w:t xml:space="preserve">                            </w:t>
            </w:r>
          </w:p>
        </w:tc>
      </w:tr>
      <w:tr w14:paraId="1E2E61E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90" w:hRule="atLeast"/>
        </w:trPr>
        <w:tc>
          <w:tcPr>
            <w:tcW w:w="1181" w:type="dxa"/>
            <w:vMerge w:val="restart"/>
            <w:tcBorders>
              <w:left w:val="single" w:color="auto" w:sz="8" w:space="0"/>
              <w:right w:val="single" w:color="auto" w:sz="2" w:space="0"/>
            </w:tcBorders>
            <w:vAlign w:val="center"/>
          </w:tcPr>
          <w:p w14:paraId="6CD852E1">
            <w:pPr>
              <w:pStyle w:val="234"/>
              <w:keepNext w:val="0"/>
              <w:keepLines w:val="0"/>
              <w:pageBreakBefore w:val="0"/>
              <w:widowControl w:val="0"/>
              <w:kinsoku/>
              <w:wordWrap/>
              <w:overflowPunct/>
              <w:topLinePunct w:val="0"/>
              <w:bidi w:val="0"/>
              <w:spacing w:after="0" w:line="200" w:lineRule="exact"/>
              <w:ind w:firstLine="0" w:firstLineChars="0"/>
              <w:jc w:val="center"/>
              <w:rPr>
                <w:rFonts w:hint="eastAsia" w:hAnsi="宋体"/>
                <w:sz w:val="18"/>
                <w:szCs w:val="18"/>
              </w:rPr>
            </w:pPr>
            <w:r>
              <w:rPr>
                <w:rFonts w:hint="eastAsia" w:hAnsi="宋体"/>
                <w:sz w:val="18"/>
                <w:szCs w:val="18"/>
              </w:rPr>
              <w:t>配套装置</w:t>
            </w:r>
          </w:p>
          <w:p w14:paraId="6C0A0C4F">
            <w:pPr>
              <w:pStyle w:val="234"/>
              <w:keepNext w:val="0"/>
              <w:keepLines w:val="0"/>
              <w:pageBreakBefore w:val="0"/>
              <w:widowControl w:val="0"/>
              <w:kinsoku/>
              <w:wordWrap/>
              <w:overflowPunct/>
              <w:topLinePunct w:val="0"/>
              <w:bidi w:val="0"/>
              <w:spacing w:after="0" w:line="200" w:lineRule="exact"/>
              <w:ind w:firstLine="0" w:firstLineChars="0"/>
              <w:jc w:val="center"/>
              <w:rPr>
                <w:rFonts w:hint="eastAsia" w:hAnsi="宋体"/>
                <w:sz w:val="18"/>
                <w:szCs w:val="18"/>
              </w:rPr>
            </w:pPr>
            <w:r>
              <w:rPr>
                <w:rFonts w:hint="eastAsia" w:hAnsi="宋体"/>
                <w:sz w:val="18"/>
                <w:szCs w:val="18"/>
              </w:rPr>
              <w:t>(供电设施)</w:t>
            </w:r>
          </w:p>
        </w:tc>
        <w:tc>
          <w:tcPr>
            <w:tcW w:w="1183" w:type="dxa"/>
            <w:tcBorders>
              <w:top w:val="single" w:color="auto" w:sz="2" w:space="0"/>
              <w:left w:val="nil"/>
              <w:bottom w:val="single" w:color="auto" w:sz="2" w:space="0"/>
              <w:right w:val="single" w:color="auto" w:sz="2" w:space="0"/>
            </w:tcBorders>
            <w:vAlign w:val="center"/>
          </w:tcPr>
          <w:p w14:paraId="58872CFB">
            <w:pPr>
              <w:pStyle w:val="234"/>
              <w:keepNext w:val="0"/>
              <w:keepLines w:val="0"/>
              <w:pageBreakBefore w:val="0"/>
              <w:widowControl w:val="0"/>
              <w:kinsoku/>
              <w:wordWrap/>
              <w:overflowPunct/>
              <w:topLinePunct w:val="0"/>
              <w:bidi w:val="0"/>
              <w:spacing w:after="0" w:line="200" w:lineRule="exact"/>
              <w:ind w:firstLine="0" w:firstLineChars="0"/>
              <w:jc w:val="center"/>
              <w:rPr>
                <w:rFonts w:hint="eastAsia" w:hAnsi="宋体"/>
                <w:sz w:val="18"/>
                <w:szCs w:val="18"/>
              </w:rPr>
            </w:pPr>
            <w:r>
              <w:rPr>
                <w:rFonts w:hint="eastAsia" w:hAnsi="宋体"/>
                <w:sz w:val="18"/>
                <w:szCs w:val="18"/>
              </w:rPr>
              <w:t>接电状态</w:t>
            </w:r>
          </w:p>
        </w:tc>
        <w:tc>
          <w:tcPr>
            <w:tcW w:w="7455" w:type="dxa"/>
            <w:gridSpan w:val="2"/>
            <w:tcBorders>
              <w:top w:val="single" w:color="auto" w:sz="2" w:space="0"/>
              <w:left w:val="single" w:color="auto" w:sz="2" w:space="0"/>
              <w:bottom w:val="single" w:color="auto" w:sz="2" w:space="0"/>
              <w:right w:val="single" w:color="auto" w:sz="8" w:space="0"/>
            </w:tcBorders>
            <w:vAlign w:val="center"/>
          </w:tcPr>
          <w:p w14:paraId="54D583CE">
            <w:pPr>
              <w:pStyle w:val="234"/>
              <w:keepNext w:val="0"/>
              <w:keepLines w:val="0"/>
              <w:pageBreakBefore w:val="0"/>
              <w:widowControl w:val="0"/>
              <w:kinsoku/>
              <w:wordWrap/>
              <w:overflowPunct/>
              <w:topLinePunct w:val="0"/>
              <w:bidi w:val="0"/>
              <w:spacing w:after="0" w:line="200" w:lineRule="exact"/>
              <w:ind w:firstLine="0" w:firstLineChars="0"/>
              <w:jc w:val="left"/>
              <w:rPr>
                <w:rFonts w:hint="eastAsia" w:hAnsi="宋体"/>
                <w:sz w:val="18"/>
                <w:szCs w:val="18"/>
              </w:rPr>
            </w:pPr>
            <w:r>
              <w:rPr>
                <w:rFonts w:hint="eastAsia" w:hAnsi="宋体"/>
                <w:sz w:val="18"/>
                <w:szCs w:val="18"/>
              </w:rPr>
              <w:t>接电□    断电□</w:t>
            </w:r>
          </w:p>
        </w:tc>
      </w:tr>
      <w:tr w14:paraId="34FE649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46" w:hRule="atLeast"/>
        </w:trPr>
        <w:tc>
          <w:tcPr>
            <w:tcW w:w="1181" w:type="dxa"/>
            <w:vMerge w:val="continue"/>
            <w:tcBorders>
              <w:left w:val="single" w:color="auto" w:sz="8" w:space="0"/>
              <w:right w:val="single" w:color="auto" w:sz="2" w:space="0"/>
            </w:tcBorders>
            <w:vAlign w:val="center"/>
          </w:tcPr>
          <w:p w14:paraId="746DF217">
            <w:pPr>
              <w:pStyle w:val="234"/>
              <w:keepNext w:val="0"/>
              <w:keepLines w:val="0"/>
              <w:pageBreakBefore w:val="0"/>
              <w:widowControl w:val="0"/>
              <w:kinsoku/>
              <w:wordWrap/>
              <w:overflowPunct/>
              <w:topLinePunct w:val="0"/>
              <w:bidi w:val="0"/>
              <w:spacing w:after="0" w:line="200" w:lineRule="exact"/>
              <w:ind w:firstLine="360"/>
              <w:jc w:val="center"/>
              <w:rPr>
                <w:rFonts w:hint="eastAsia" w:hAnsi="宋体"/>
                <w:sz w:val="18"/>
                <w:szCs w:val="18"/>
              </w:rPr>
            </w:pPr>
          </w:p>
        </w:tc>
        <w:tc>
          <w:tcPr>
            <w:tcW w:w="1183" w:type="dxa"/>
            <w:tcBorders>
              <w:top w:val="single" w:color="auto" w:sz="2" w:space="0"/>
              <w:left w:val="nil"/>
              <w:bottom w:val="single" w:color="auto" w:sz="2" w:space="0"/>
              <w:right w:val="single" w:color="auto" w:sz="2" w:space="0"/>
            </w:tcBorders>
            <w:vAlign w:val="center"/>
          </w:tcPr>
          <w:p w14:paraId="38ED5823">
            <w:pPr>
              <w:pStyle w:val="234"/>
              <w:keepNext w:val="0"/>
              <w:keepLines w:val="0"/>
              <w:pageBreakBefore w:val="0"/>
              <w:widowControl w:val="0"/>
              <w:kinsoku/>
              <w:wordWrap/>
              <w:overflowPunct/>
              <w:topLinePunct w:val="0"/>
              <w:bidi w:val="0"/>
              <w:spacing w:after="0" w:line="200" w:lineRule="exact"/>
              <w:ind w:firstLine="0" w:firstLineChars="0"/>
              <w:jc w:val="center"/>
              <w:rPr>
                <w:rFonts w:hint="eastAsia" w:hAnsi="宋体"/>
                <w:sz w:val="18"/>
                <w:szCs w:val="18"/>
              </w:rPr>
            </w:pPr>
            <w:r>
              <w:rPr>
                <w:rFonts w:hint="eastAsia" w:hAnsi="宋体"/>
                <w:sz w:val="18"/>
                <w:szCs w:val="18"/>
              </w:rPr>
              <w:t>巡检内容</w:t>
            </w:r>
          </w:p>
        </w:tc>
        <w:tc>
          <w:tcPr>
            <w:tcW w:w="7455" w:type="dxa"/>
            <w:gridSpan w:val="2"/>
            <w:tcBorders>
              <w:top w:val="single" w:color="auto" w:sz="2" w:space="0"/>
              <w:left w:val="single" w:color="auto" w:sz="2" w:space="0"/>
              <w:bottom w:val="single" w:color="auto" w:sz="2" w:space="0"/>
              <w:right w:val="single" w:color="auto" w:sz="8" w:space="0"/>
            </w:tcBorders>
            <w:vAlign w:val="center"/>
          </w:tcPr>
          <w:p w14:paraId="5A429E01">
            <w:pPr>
              <w:pStyle w:val="234"/>
              <w:keepNext w:val="0"/>
              <w:keepLines w:val="0"/>
              <w:pageBreakBefore w:val="0"/>
              <w:widowControl w:val="0"/>
              <w:kinsoku/>
              <w:wordWrap/>
              <w:overflowPunct/>
              <w:topLinePunct w:val="0"/>
              <w:bidi w:val="0"/>
              <w:spacing w:after="0" w:line="200" w:lineRule="exact"/>
              <w:ind w:firstLine="0" w:firstLineChars="0"/>
              <w:jc w:val="left"/>
              <w:rPr>
                <w:rFonts w:hint="eastAsia" w:hAnsi="宋体"/>
                <w:sz w:val="18"/>
                <w:szCs w:val="18"/>
              </w:rPr>
            </w:pPr>
            <w:r>
              <w:rPr>
                <w:rFonts w:hint="eastAsia" w:hAnsi="宋体"/>
                <w:sz w:val="18"/>
                <w:szCs w:val="18"/>
              </w:rPr>
              <w:t>接线牢固（是□    否□）</w:t>
            </w:r>
          </w:p>
          <w:p w14:paraId="48B464EE">
            <w:pPr>
              <w:pStyle w:val="234"/>
              <w:keepNext w:val="0"/>
              <w:keepLines w:val="0"/>
              <w:pageBreakBefore w:val="0"/>
              <w:widowControl w:val="0"/>
              <w:kinsoku/>
              <w:wordWrap/>
              <w:overflowPunct/>
              <w:topLinePunct w:val="0"/>
              <w:bidi w:val="0"/>
              <w:spacing w:after="0" w:line="200" w:lineRule="exact"/>
              <w:ind w:firstLine="0" w:firstLineChars="0"/>
              <w:jc w:val="left"/>
              <w:rPr>
                <w:rFonts w:hint="eastAsia" w:hAnsi="宋体"/>
                <w:sz w:val="18"/>
                <w:szCs w:val="18"/>
              </w:rPr>
            </w:pPr>
            <w:r>
              <w:rPr>
                <w:rFonts w:hint="eastAsia" w:hAnsi="宋体"/>
                <w:sz w:val="18"/>
                <w:szCs w:val="18"/>
              </w:rPr>
              <w:t>指示灯正常闪烁（是□    否□）</w:t>
            </w:r>
          </w:p>
          <w:p w14:paraId="045B1341">
            <w:pPr>
              <w:pStyle w:val="234"/>
              <w:keepNext w:val="0"/>
              <w:keepLines w:val="0"/>
              <w:pageBreakBefore w:val="0"/>
              <w:widowControl w:val="0"/>
              <w:kinsoku/>
              <w:wordWrap/>
              <w:overflowPunct/>
              <w:topLinePunct w:val="0"/>
              <w:bidi w:val="0"/>
              <w:spacing w:after="0" w:line="200" w:lineRule="exact"/>
              <w:ind w:firstLine="0" w:firstLineChars="0"/>
              <w:jc w:val="left"/>
              <w:rPr>
                <w:rFonts w:hint="eastAsia" w:hAnsi="宋体"/>
                <w:sz w:val="18"/>
                <w:szCs w:val="18"/>
              </w:rPr>
            </w:pPr>
            <w:r>
              <w:rPr>
                <w:rFonts w:hint="eastAsia" w:hAnsi="宋体"/>
                <w:sz w:val="18"/>
                <w:szCs w:val="18"/>
              </w:rPr>
              <w:t>电压稳定（是□    否□）</w:t>
            </w:r>
          </w:p>
        </w:tc>
      </w:tr>
      <w:tr w14:paraId="42B7F91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90" w:hRule="atLeast"/>
        </w:trPr>
        <w:tc>
          <w:tcPr>
            <w:tcW w:w="1181" w:type="dxa"/>
            <w:vMerge w:val="continue"/>
            <w:tcBorders>
              <w:left w:val="single" w:color="auto" w:sz="8" w:space="0"/>
              <w:right w:val="single" w:color="auto" w:sz="2" w:space="0"/>
            </w:tcBorders>
            <w:vAlign w:val="center"/>
          </w:tcPr>
          <w:p w14:paraId="1E66466F">
            <w:pPr>
              <w:pStyle w:val="234"/>
              <w:keepNext w:val="0"/>
              <w:keepLines w:val="0"/>
              <w:pageBreakBefore w:val="0"/>
              <w:widowControl w:val="0"/>
              <w:kinsoku/>
              <w:wordWrap/>
              <w:overflowPunct/>
              <w:topLinePunct w:val="0"/>
              <w:bidi w:val="0"/>
              <w:spacing w:after="0" w:line="200" w:lineRule="exact"/>
              <w:ind w:firstLine="0" w:firstLineChars="0"/>
              <w:jc w:val="center"/>
              <w:rPr>
                <w:rFonts w:hint="eastAsia" w:hAnsi="宋体"/>
                <w:sz w:val="18"/>
                <w:szCs w:val="18"/>
              </w:rPr>
            </w:pPr>
          </w:p>
        </w:tc>
        <w:tc>
          <w:tcPr>
            <w:tcW w:w="1183" w:type="dxa"/>
            <w:tcBorders>
              <w:top w:val="single" w:color="auto" w:sz="2" w:space="0"/>
              <w:left w:val="nil"/>
              <w:bottom w:val="single" w:color="auto" w:sz="2" w:space="0"/>
              <w:right w:val="single" w:color="auto" w:sz="2" w:space="0"/>
            </w:tcBorders>
            <w:vAlign w:val="center"/>
          </w:tcPr>
          <w:p w14:paraId="54A8C5AC">
            <w:pPr>
              <w:pStyle w:val="234"/>
              <w:keepNext w:val="0"/>
              <w:keepLines w:val="0"/>
              <w:pageBreakBefore w:val="0"/>
              <w:widowControl w:val="0"/>
              <w:kinsoku/>
              <w:wordWrap/>
              <w:overflowPunct/>
              <w:topLinePunct w:val="0"/>
              <w:bidi w:val="0"/>
              <w:spacing w:after="0" w:line="200" w:lineRule="exact"/>
              <w:ind w:firstLine="0" w:firstLineChars="0"/>
              <w:jc w:val="center"/>
              <w:rPr>
                <w:rFonts w:hint="eastAsia" w:hAnsi="宋体"/>
                <w:sz w:val="18"/>
                <w:szCs w:val="18"/>
              </w:rPr>
            </w:pPr>
            <w:r>
              <w:rPr>
                <w:rFonts w:hint="eastAsia" w:hAnsi="宋体"/>
                <w:sz w:val="18"/>
                <w:szCs w:val="18"/>
              </w:rPr>
              <w:t>维护情况</w:t>
            </w:r>
          </w:p>
        </w:tc>
        <w:tc>
          <w:tcPr>
            <w:tcW w:w="7455" w:type="dxa"/>
            <w:gridSpan w:val="2"/>
            <w:tcBorders>
              <w:top w:val="single" w:color="auto" w:sz="2" w:space="0"/>
              <w:left w:val="single" w:color="auto" w:sz="2" w:space="0"/>
              <w:bottom w:val="single" w:color="auto" w:sz="2" w:space="0"/>
              <w:right w:val="single" w:color="auto" w:sz="8" w:space="0"/>
            </w:tcBorders>
            <w:vAlign w:val="center"/>
          </w:tcPr>
          <w:p w14:paraId="69B43DE9">
            <w:pPr>
              <w:pStyle w:val="234"/>
              <w:keepNext w:val="0"/>
              <w:keepLines w:val="0"/>
              <w:pageBreakBefore w:val="0"/>
              <w:widowControl w:val="0"/>
              <w:kinsoku/>
              <w:wordWrap/>
              <w:overflowPunct/>
              <w:topLinePunct w:val="0"/>
              <w:bidi w:val="0"/>
              <w:spacing w:after="0" w:line="200" w:lineRule="exact"/>
              <w:ind w:firstLine="0" w:firstLineChars="0"/>
              <w:jc w:val="left"/>
              <w:rPr>
                <w:rFonts w:hint="eastAsia" w:hAnsi="宋体"/>
                <w:sz w:val="18"/>
                <w:szCs w:val="18"/>
              </w:rPr>
            </w:pPr>
            <w:r>
              <w:rPr>
                <w:rFonts w:hint="eastAsia" w:hAnsi="宋体"/>
                <w:sz w:val="18"/>
                <w:szCs w:val="18"/>
              </w:rPr>
              <w:t>无需修复□    已修复□    无法修复□    处理措施：</w:t>
            </w:r>
            <w:r>
              <w:rPr>
                <w:rFonts w:hint="eastAsia" w:hAnsi="宋体"/>
                <w:sz w:val="18"/>
                <w:szCs w:val="18"/>
                <w:u w:val="single"/>
              </w:rPr>
              <w:t xml:space="preserve">                            </w:t>
            </w:r>
          </w:p>
        </w:tc>
      </w:tr>
      <w:tr w14:paraId="3ABBE30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8" w:hRule="atLeast"/>
        </w:trPr>
        <w:tc>
          <w:tcPr>
            <w:tcW w:w="1181" w:type="dxa"/>
            <w:vMerge w:val="continue"/>
            <w:tcBorders>
              <w:left w:val="single" w:color="auto" w:sz="8" w:space="0"/>
              <w:right w:val="single" w:color="auto" w:sz="2" w:space="0"/>
            </w:tcBorders>
            <w:vAlign w:val="center"/>
          </w:tcPr>
          <w:p w14:paraId="76D42516">
            <w:pPr>
              <w:pStyle w:val="234"/>
              <w:keepNext w:val="0"/>
              <w:keepLines w:val="0"/>
              <w:pageBreakBefore w:val="0"/>
              <w:widowControl w:val="0"/>
              <w:kinsoku/>
              <w:wordWrap/>
              <w:overflowPunct/>
              <w:topLinePunct w:val="0"/>
              <w:bidi w:val="0"/>
              <w:spacing w:after="0" w:line="200" w:lineRule="exact"/>
              <w:ind w:firstLine="0" w:firstLineChars="0"/>
              <w:jc w:val="center"/>
              <w:rPr>
                <w:rFonts w:hint="eastAsia" w:hAnsi="宋体"/>
                <w:sz w:val="18"/>
                <w:szCs w:val="18"/>
              </w:rPr>
            </w:pPr>
          </w:p>
        </w:tc>
        <w:tc>
          <w:tcPr>
            <w:tcW w:w="1183" w:type="dxa"/>
            <w:tcBorders>
              <w:top w:val="single" w:color="auto" w:sz="2" w:space="0"/>
              <w:left w:val="nil"/>
              <w:bottom w:val="single" w:color="auto" w:sz="2" w:space="0"/>
              <w:right w:val="single" w:color="auto" w:sz="2" w:space="0"/>
            </w:tcBorders>
            <w:vAlign w:val="center"/>
          </w:tcPr>
          <w:p w14:paraId="233CC584">
            <w:pPr>
              <w:pStyle w:val="234"/>
              <w:keepNext w:val="0"/>
              <w:keepLines w:val="0"/>
              <w:pageBreakBefore w:val="0"/>
              <w:widowControl w:val="0"/>
              <w:kinsoku/>
              <w:wordWrap/>
              <w:overflowPunct/>
              <w:topLinePunct w:val="0"/>
              <w:bidi w:val="0"/>
              <w:spacing w:after="0" w:line="200" w:lineRule="exact"/>
              <w:ind w:firstLine="0" w:firstLineChars="0"/>
              <w:jc w:val="center"/>
              <w:rPr>
                <w:rFonts w:hint="eastAsia" w:hAnsi="宋体"/>
                <w:sz w:val="18"/>
                <w:szCs w:val="18"/>
              </w:rPr>
            </w:pPr>
            <w:r>
              <w:rPr>
                <w:rFonts w:hint="eastAsia" w:hAnsi="宋体"/>
                <w:sz w:val="18"/>
                <w:szCs w:val="18"/>
              </w:rPr>
              <w:t>蓄电池</w:t>
            </w:r>
          </w:p>
          <w:p w14:paraId="439FACB6">
            <w:pPr>
              <w:pStyle w:val="234"/>
              <w:keepNext w:val="0"/>
              <w:keepLines w:val="0"/>
              <w:pageBreakBefore w:val="0"/>
              <w:widowControl w:val="0"/>
              <w:kinsoku/>
              <w:wordWrap/>
              <w:overflowPunct/>
              <w:topLinePunct w:val="0"/>
              <w:bidi w:val="0"/>
              <w:spacing w:after="0" w:line="200" w:lineRule="exact"/>
              <w:ind w:firstLine="0" w:firstLineChars="0"/>
              <w:jc w:val="center"/>
              <w:rPr>
                <w:rFonts w:hint="eastAsia" w:hAnsi="宋体"/>
                <w:sz w:val="18"/>
                <w:szCs w:val="18"/>
              </w:rPr>
            </w:pPr>
            <w:r>
              <w:rPr>
                <w:rFonts w:hint="eastAsia" w:hAnsi="宋体"/>
                <w:sz w:val="18"/>
                <w:szCs w:val="18"/>
              </w:rPr>
              <w:t>(如有)</w:t>
            </w:r>
          </w:p>
        </w:tc>
        <w:tc>
          <w:tcPr>
            <w:tcW w:w="7455" w:type="dxa"/>
            <w:gridSpan w:val="2"/>
            <w:tcBorders>
              <w:top w:val="single" w:color="auto" w:sz="2" w:space="0"/>
              <w:left w:val="single" w:color="auto" w:sz="2" w:space="0"/>
              <w:bottom w:val="single" w:color="auto" w:sz="2" w:space="0"/>
              <w:right w:val="single" w:color="auto" w:sz="8" w:space="0"/>
            </w:tcBorders>
            <w:vAlign w:val="center"/>
          </w:tcPr>
          <w:p w14:paraId="68EB8CB8">
            <w:pPr>
              <w:pStyle w:val="234"/>
              <w:keepNext w:val="0"/>
              <w:keepLines w:val="0"/>
              <w:pageBreakBefore w:val="0"/>
              <w:widowControl w:val="0"/>
              <w:kinsoku/>
              <w:wordWrap/>
              <w:overflowPunct/>
              <w:topLinePunct w:val="0"/>
              <w:bidi w:val="0"/>
              <w:spacing w:after="0" w:line="200" w:lineRule="exact"/>
              <w:ind w:firstLine="0" w:firstLineChars="0"/>
              <w:jc w:val="left"/>
              <w:rPr>
                <w:rFonts w:hint="eastAsia" w:hAnsi="宋体"/>
                <w:sz w:val="18"/>
                <w:szCs w:val="18"/>
              </w:rPr>
            </w:pPr>
            <w:r>
              <w:rPr>
                <w:rFonts w:hint="eastAsia" w:hAnsi="宋体"/>
                <w:sz w:val="18"/>
                <w:szCs w:val="18"/>
              </w:rPr>
              <w:t>表面清洁（是□    否□）</w:t>
            </w:r>
          </w:p>
          <w:p w14:paraId="5FB1955C">
            <w:pPr>
              <w:pStyle w:val="234"/>
              <w:keepNext w:val="0"/>
              <w:keepLines w:val="0"/>
              <w:pageBreakBefore w:val="0"/>
              <w:widowControl w:val="0"/>
              <w:kinsoku/>
              <w:wordWrap/>
              <w:overflowPunct/>
              <w:topLinePunct w:val="0"/>
              <w:bidi w:val="0"/>
              <w:spacing w:after="0" w:line="200" w:lineRule="exact"/>
              <w:ind w:firstLine="0" w:firstLineChars="0"/>
              <w:jc w:val="left"/>
              <w:rPr>
                <w:rFonts w:hint="eastAsia" w:hAnsi="宋体"/>
                <w:sz w:val="18"/>
                <w:szCs w:val="18"/>
              </w:rPr>
            </w:pPr>
            <w:r>
              <w:rPr>
                <w:rFonts w:hint="eastAsia" w:hAnsi="宋体"/>
                <w:sz w:val="18"/>
                <w:szCs w:val="18"/>
              </w:rPr>
              <w:t>蓄电池正常给电（是□    否□）</w:t>
            </w:r>
          </w:p>
        </w:tc>
      </w:tr>
      <w:tr w14:paraId="6B66FC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90" w:hRule="atLeast"/>
        </w:trPr>
        <w:tc>
          <w:tcPr>
            <w:tcW w:w="1181" w:type="dxa"/>
            <w:vMerge w:val="continue"/>
            <w:tcBorders>
              <w:left w:val="single" w:color="auto" w:sz="8" w:space="0"/>
              <w:right w:val="single" w:color="auto" w:sz="2" w:space="0"/>
            </w:tcBorders>
            <w:vAlign w:val="center"/>
          </w:tcPr>
          <w:p w14:paraId="0D2F1B42">
            <w:pPr>
              <w:pStyle w:val="234"/>
              <w:keepNext w:val="0"/>
              <w:keepLines w:val="0"/>
              <w:pageBreakBefore w:val="0"/>
              <w:widowControl w:val="0"/>
              <w:kinsoku/>
              <w:wordWrap/>
              <w:overflowPunct/>
              <w:topLinePunct w:val="0"/>
              <w:bidi w:val="0"/>
              <w:spacing w:after="0" w:line="200" w:lineRule="exact"/>
              <w:ind w:firstLine="0" w:firstLineChars="0"/>
              <w:jc w:val="center"/>
              <w:rPr>
                <w:rFonts w:hint="eastAsia" w:hAnsi="宋体"/>
                <w:sz w:val="18"/>
                <w:szCs w:val="18"/>
              </w:rPr>
            </w:pPr>
          </w:p>
        </w:tc>
        <w:tc>
          <w:tcPr>
            <w:tcW w:w="1183" w:type="dxa"/>
            <w:tcBorders>
              <w:top w:val="single" w:color="auto" w:sz="2" w:space="0"/>
              <w:left w:val="nil"/>
              <w:bottom w:val="single" w:color="auto" w:sz="2" w:space="0"/>
              <w:right w:val="single" w:color="auto" w:sz="2" w:space="0"/>
            </w:tcBorders>
            <w:vAlign w:val="center"/>
          </w:tcPr>
          <w:p w14:paraId="6335724A">
            <w:pPr>
              <w:pStyle w:val="234"/>
              <w:keepNext w:val="0"/>
              <w:keepLines w:val="0"/>
              <w:pageBreakBefore w:val="0"/>
              <w:widowControl w:val="0"/>
              <w:kinsoku/>
              <w:wordWrap/>
              <w:overflowPunct/>
              <w:topLinePunct w:val="0"/>
              <w:bidi w:val="0"/>
              <w:spacing w:after="0" w:line="200" w:lineRule="exact"/>
              <w:ind w:firstLine="0" w:firstLineChars="0"/>
              <w:jc w:val="center"/>
              <w:rPr>
                <w:rFonts w:hint="eastAsia" w:hAnsi="宋体"/>
                <w:sz w:val="18"/>
                <w:szCs w:val="18"/>
              </w:rPr>
            </w:pPr>
            <w:r>
              <w:rPr>
                <w:rFonts w:hint="eastAsia" w:hAnsi="宋体"/>
                <w:sz w:val="18"/>
                <w:szCs w:val="18"/>
              </w:rPr>
              <w:t>维护情况</w:t>
            </w:r>
          </w:p>
        </w:tc>
        <w:tc>
          <w:tcPr>
            <w:tcW w:w="7455" w:type="dxa"/>
            <w:gridSpan w:val="2"/>
            <w:tcBorders>
              <w:top w:val="single" w:color="auto" w:sz="2" w:space="0"/>
              <w:left w:val="single" w:color="auto" w:sz="2" w:space="0"/>
              <w:bottom w:val="single" w:color="auto" w:sz="2" w:space="0"/>
              <w:right w:val="single" w:color="auto" w:sz="8" w:space="0"/>
            </w:tcBorders>
            <w:vAlign w:val="center"/>
          </w:tcPr>
          <w:p w14:paraId="146E6D62">
            <w:pPr>
              <w:pStyle w:val="234"/>
              <w:keepNext w:val="0"/>
              <w:keepLines w:val="0"/>
              <w:pageBreakBefore w:val="0"/>
              <w:widowControl w:val="0"/>
              <w:kinsoku/>
              <w:wordWrap/>
              <w:overflowPunct/>
              <w:topLinePunct w:val="0"/>
              <w:bidi w:val="0"/>
              <w:spacing w:after="0" w:line="200" w:lineRule="exact"/>
              <w:ind w:firstLine="0" w:firstLineChars="0"/>
              <w:jc w:val="left"/>
              <w:rPr>
                <w:rFonts w:hint="eastAsia" w:hAnsi="宋体"/>
                <w:sz w:val="18"/>
                <w:szCs w:val="18"/>
              </w:rPr>
            </w:pPr>
            <w:r>
              <w:rPr>
                <w:rFonts w:hint="eastAsia" w:hAnsi="宋体"/>
                <w:sz w:val="18"/>
                <w:szCs w:val="18"/>
              </w:rPr>
              <w:t>无需修复□    已修复□    无法修复□    处理措施：</w:t>
            </w:r>
            <w:r>
              <w:rPr>
                <w:rFonts w:hint="eastAsia" w:hAnsi="宋体"/>
                <w:sz w:val="18"/>
                <w:szCs w:val="18"/>
                <w:u w:val="single"/>
              </w:rPr>
              <w:t xml:space="preserve">                           </w:t>
            </w:r>
          </w:p>
        </w:tc>
      </w:tr>
      <w:tr w14:paraId="0E57396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46" w:hRule="atLeast"/>
        </w:trPr>
        <w:tc>
          <w:tcPr>
            <w:tcW w:w="1181" w:type="dxa"/>
            <w:vMerge w:val="continue"/>
            <w:tcBorders>
              <w:left w:val="single" w:color="auto" w:sz="8" w:space="0"/>
              <w:right w:val="single" w:color="auto" w:sz="2" w:space="0"/>
            </w:tcBorders>
            <w:vAlign w:val="center"/>
          </w:tcPr>
          <w:p w14:paraId="29948DD2">
            <w:pPr>
              <w:pStyle w:val="234"/>
              <w:keepNext w:val="0"/>
              <w:keepLines w:val="0"/>
              <w:pageBreakBefore w:val="0"/>
              <w:widowControl w:val="0"/>
              <w:kinsoku/>
              <w:wordWrap/>
              <w:overflowPunct/>
              <w:topLinePunct w:val="0"/>
              <w:bidi w:val="0"/>
              <w:spacing w:after="0" w:line="200" w:lineRule="exact"/>
              <w:ind w:firstLine="0" w:firstLineChars="0"/>
              <w:jc w:val="center"/>
              <w:rPr>
                <w:rFonts w:hint="eastAsia" w:hAnsi="宋体"/>
                <w:sz w:val="18"/>
                <w:szCs w:val="18"/>
              </w:rPr>
            </w:pPr>
          </w:p>
        </w:tc>
        <w:tc>
          <w:tcPr>
            <w:tcW w:w="1183" w:type="dxa"/>
            <w:tcBorders>
              <w:top w:val="single" w:color="auto" w:sz="2" w:space="0"/>
              <w:left w:val="nil"/>
              <w:bottom w:val="single" w:color="auto" w:sz="2" w:space="0"/>
              <w:right w:val="single" w:color="auto" w:sz="2" w:space="0"/>
            </w:tcBorders>
            <w:vAlign w:val="center"/>
          </w:tcPr>
          <w:p w14:paraId="6B7BD343">
            <w:pPr>
              <w:pStyle w:val="234"/>
              <w:keepNext w:val="0"/>
              <w:keepLines w:val="0"/>
              <w:pageBreakBefore w:val="0"/>
              <w:widowControl w:val="0"/>
              <w:kinsoku/>
              <w:wordWrap/>
              <w:overflowPunct/>
              <w:topLinePunct w:val="0"/>
              <w:bidi w:val="0"/>
              <w:spacing w:after="0" w:line="200" w:lineRule="exact"/>
              <w:ind w:firstLine="0" w:firstLineChars="0"/>
              <w:jc w:val="center"/>
              <w:rPr>
                <w:rFonts w:hint="eastAsia" w:hAnsi="宋体"/>
                <w:sz w:val="18"/>
                <w:szCs w:val="18"/>
              </w:rPr>
            </w:pPr>
            <w:r>
              <w:rPr>
                <w:rFonts w:hint="eastAsia" w:hAnsi="宋体"/>
                <w:sz w:val="18"/>
                <w:szCs w:val="18"/>
              </w:rPr>
              <w:t>太阳能板</w:t>
            </w:r>
          </w:p>
          <w:p w14:paraId="43118954">
            <w:pPr>
              <w:pStyle w:val="234"/>
              <w:keepNext w:val="0"/>
              <w:keepLines w:val="0"/>
              <w:pageBreakBefore w:val="0"/>
              <w:widowControl w:val="0"/>
              <w:kinsoku/>
              <w:wordWrap/>
              <w:overflowPunct/>
              <w:topLinePunct w:val="0"/>
              <w:bidi w:val="0"/>
              <w:spacing w:after="0" w:line="200" w:lineRule="exact"/>
              <w:ind w:firstLine="0" w:firstLineChars="0"/>
              <w:jc w:val="center"/>
              <w:rPr>
                <w:rFonts w:hint="eastAsia" w:hAnsi="宋体"/>
                <w:sz w:val="18"/>
                <w:szCs w:val="18"/>
              </w:rPr>
            </w:pPr>
            <w:r>
              <w:rPr>
                <w:rFonts w:hint="eastAsia" w:hAnsi="宋体"/>
                <w:sz w:val="18"/>
                <w:szCs w:val="18"/>
              </w:rPr>
              <w:t>(如有)</w:t>
            </w:r>
          </w:p>
        </w:tc>
        <w:tc>
          <w:tcPr>
            <w:tcW w:w="7455" w:type="dxa"/>
            <w:gridSpan w:val="2"/>
            <w:tcBorders>
              <w:top w:val="single" w:color="auto" w:sz="2" w:space="0"/>
              <w:left w:val="single" w:color="auto" w:sz="2" w:space="0"/>
              <w:bottom w:val="single" w:color="auto" w:sz="2" w:space="0"/>
              <w:right w:val="single" w:color="auto" w:sz="8" w:space="0"/>
            </w:tcBorders>
            <w:vAlign w:val="center"/>
          </w:tcPr>
          <w:p w14:paraId="7511D6D2">
            <w:pPr>
              <w:pStyle w:val="234"/>
              <w:keepNext w:val="0"/>
              <w:keepLines w:val="0"/>
              <w:pageBreakBefore w:val="0"/>
              <w:widowControl w:val="0"/>
              <w:kinsoku/>
              <w:wordWrap/>
              <w:overflowPunct/>
              <w:topLinePunct w:val="0"/>
              <w:bidi w:val="0"/>
              <w:spacing w:after="0" w:line="200" w:lineRule="exact"/>
              <w:ind w:firstLine="0" w:firstLineChars="0"/>
              <w:jc w:val="left"/>
              <w:rPr>
                <w:rFonts w:hint="eastAsia" w:hAnsi="宋体"/>
                <w:sz w:val="18"/>
                <w:szCs w:val="18"/>
              </w:rPr>
            </w:pPr>
            <w:r>
              <w:rPr>
                <w:rFonts w:hint="eastAsia" w:hAnsi="宋体"/>
                <w:sz w:val="18"/>
                <w:szCs w:val="18"/>
              </w:rPr>
              <w:t>外观完好（是□    否□）</w:t>
            </w:r>
          </w:p>
          <w:p w14:paraId="486B23AF">
            <w:pPr>
              <w:pStyle w:val="234"/>
              <w:keepNext w:val="0"/>
              <w:keepLines w:val="0"/>
              <w:pageBreakBefore w:val="0"/>
              <w:widowControl w:val="0"/>
              <w:kinsoku/>
              <w:wordWrap/>
              <w:overflowPunct/>
              <w:topLinePunct w:val="0"/>
              <w:bidi w:val="0"/>
              <w:spacing w:after="0" w:line="200" w:lineRule="exact"/>
              <w:ind w:firstLine="0" w:firstLineChars="0"/>
              <w:jc w:val="left"/>
              <w:rPr>
                <w:rFonts w:hint="eastAsia" w:hAnsi="宋体"/>
                <w:sz w:val="18"/>
                <w:szCs w:val="18"/>
              </w:rPr>
            </w:pPr>
            <w:r>
              <w:rPr>
                <w:rFonts w:hint="eastAsia" w:hAnsi="宋体"/>
                <w:sz w:val="18"/>
                <w:szCs w:val="18"/>
              </w:rPr>
              <w:t>表面清洁（是□    否□）</w:t>
            </w:r>
          </w:p>
          <w:p w14:paraId="12CE45C4">
            <w:pPr>
              <w:pStyle w:val="234"/>
              <w:keepNext w:val="0"/>
              <w:keepLines w:val="0"/>
              <w:pageBreakBefore w:val="0"/>
              <w:widowControl w:val="0"/>
              <w:kinsoku/>
              <w:wordWrap/>
              <w:overflowPunct/>
              <w:topLinePunct w:val="0"/>
              <w:bidi w:val="0"/>
              <w:spacing w:after="0" w:line="200" w:lineRule="exact"/>
              <w:ind w:firstLine="0" w:firstLineChars="0"/>
              <w:jc w:val="left"/>
              <w:rPr>
                <w:rFonts w:hint="eastAsia" w:hAnsi="宋体"/>
                <w:sz w:val="18"/>
                <w:szCs w:val="18"/>
              </w:rPr>
            </w:pPr>
            <w:r>
              <w:rPr>
                <w:rFonts w:hint="eastAsia" w:hAnsi="宋体"/>
                <w:sz w:val="18"/>
                <w:szCs w:val="18"/>
              </w:rPr>
              <w:t>无遮挡物（是□    否□）</w:t>
            </w:r>
          </w:p>
        </w:tc>
      </w:tr>
      <w:tr w14:paraId="03C76AC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90" w:hRule="atLeast"/>
        </w:trPr>
        <w:tc>
          <w:tcPr>
            <w:tcW w:w="1181" w:type="dxa"/>
            <w:vMerge w:val="continue"/>
            <w:tcBorders>
              <w:left w:val="single" w:color="auto" w:sz="8" w:space="0"/>
              <w:bottom w:val="single" w:color="auto" w:sz="2" w:space="0"/>
              <w:right w:val="single" w:color="auto" w:sz="2" w:space="0"/>
            </w:tcBorders>
            <w:vAlign w:val="center"/>
          </w:tcPr>
          <w:p w14:paraId="43423661">
            <w:pPr>
              <w:pStyle w:val="234"/>
              <w:keepNext w:val="0"/>
              <w:keepLines w:val="0"/>
              <w:pageBreakBefore w:val="0"/>
              <w:widowControl w:val="0"/>
              <w:kinsoku/>
              <w:wordWrap/>
              <w:overflowPunct/>
              <w:topLinePunct w:val="0"/>
              <w:bidi w:val="0"/>
              <w:spacing w:after="0" w:line="200" w:lineRule="exact"/>
              <w:ind w:firstLine="0" w:firstLineChars="0"/>
              <w:jc w:val="center"/>
              <w:rPr>
                <w:rFonts w:hint="eastAsia" w:hAnsi="宋体"/>
                <w:sz w:val="18"/>
                <w:szCs w:val="18"/>
              </w:rPr>
            </w:pPr>
          </w:p>
        </w:tc>
        <w:tc>
          <w:tcPr>
            <w:tcW w:w="1183" w:type="dxa"/>
            <w:tcBorders>
              <w:top w:val="single" w:color="auto" w:sz="2" w:space="0"/>
              <w:left w:val="nil"/>
              <w:bottom w:val="single" w:color="auto" w:sz="2" w:space="0"/>
              <w:right w:val="single" w:color="auto" w:sz="2" w:space="0"/>
            </w:tcBorders>
            <w:vAlign w:val="center"/>
          </w:tcPr>
          <w:p w14:paraId="5E2CFAC8">
            <w:pPr>
              <w:pStyle w:val="234"/>
              <w:keepNext w:val="0"/>
              <w:keepLines w:val="0"/>
              <w:pageBreakBefore w:val="0"/>
              <w:widowControl w:val="0"/>
              <w:kinsoku/>
              <w:wordWrap/>
              <w:overflowPunct/>
              <w:topLinePunct w:val="0"/>
              <w:bidi w:val="0"/>
              <w:spacing w:after="0" w:line="200" w:lineRule="exact"/>
              <w:ind w:firstLine="0" w:firstLineChars="0"/>
              <w:jc w:val="center"/>
              <w:rPr>
                <w:rFonts w:hint="eastAsia" w:hAnsi="宋体"/>
                <w:sz w:val="18"/>
                <w:szCs w:val="18"/>
              </w:rPr>
            </w:pPr>
            <w:r>
              <w:rPr>
                <w:rFonts w:hint="eastAsia" w:hAnsi="宋体"/>
                <w:sz w:val="18"/>
                <w:szCs w:val="18"/>
              </w:rPr>
              <w:t>维护情况</w:t>
            </w:r>
          </w:p>
        </w:tc>
        <w:tc>
          <w:tcPr>
            <w:tcW w:w="7455" w:type="dxa"/>
            <w:gridSpan w:val="2"/>
            <w:tcBorders>
              <w:top w:val="single" w:color="auto" w:sz="2" w:space="0"/>
              <w:left w:val="single" w:color="auto" w:sz="2" w:space="0"/>
              <w:bottom w:val="single" w:color="auto" w:sz="2" w:space="0"/>
              <w:right w:val="single" w:color="auto" w:sz="8" w:space="0"/>
            </w:tcBorders>
            <w:vAlign w:val="center"/>
          </w:tcPr>
          <w:p w14:paraId="7E9DB8CC">
            <w:pPr>
              <w:pStyle w:val="234"/>
              <w:keepNext w:val="0"/>
              <w:keepLines w:val="0"/>
              <w:pageBreakBefore w:val="0"/>
              <w:widowControl w:val="0"/>
              <w:kinsoku/>
              <w:wordWrap/>
              <w:overflowPunct/>
              <w:topLinePunct w:val="0"/>
              <w:bidi w:val="0"/>
              <w:spacing w:after="0" w:line="200" w:lineRule="exact"/>
              <w:ind w:firstLine="0" w:firstLineChars="0"/>
              <w:jc w:val="left"/>
              <w:rPr>
                <w:rFonts w:hint="eastAsia" w:hAnsi="宋体"/>
                <w:sz w:val="18"/>
                <w:szCs w:val="18"/>
              </w:rPr>
            </w:pPr>
            <w:r>
              <w:rPr>
                <w:rFonts w:hint="eastAsia" w:hAnsi="宋体"/>
                <w:sz w:val="18"/>
                <w:szCs w:val="18"/>
              </w:rPr>
              <w:t>无需修复□    已修复□    无法修复□    处理措施：</w:t>
            </w:r>
            <w:r>
              <w:rPr>
                <w:rFonts w:hint="eastAsia" w:hAnsi="宋体"/>
                <w:sz w:val="18"/>
                <w:szCs w:val="18"/>
                <w:u w:val="single"/>
              </w:rPr>
              <w:t xml:space="preserve">                           </w:t>
            </w:r>
          </w:p>
        </w:tc>
      </w:tr>
      <w:tr w14:paraId="4755AE3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90" w:hRule="atLeast"/>
        </w:trPr>
        <w:tc>
          <w:tcPr>
            <w:tcW w:w="1181" w:type="dxa"/>
            <w:vMerge w:val="restart"/>
            <w:tcBorders>
              <w:left w:val="single" w:color="auto" w:sz="8" w:space="0"/>
              <w:right w:val="single" w:color="auto" w:sz="2" w:space="0"/>
            </w:tcBorders>
            <w:vAlign w:val="center"/>
          </w:tcPr>
          <w:p w14:paraId="6B396975">
            <w:pPr>
              <w:pStyle w:val="234"/>
              <w:keepNext w:val="0"/>
              <w:keepLines w:val="0"/>
              <w:pageBreakBefore w:val="0"/>
              <w:widowControl w:val="0"/>
              <w:kinsoku/>
              <w:wordWrap/>
              <w:overflowPunct/>
              <w:topLinePunct w:val="0"/>
              <w:bidi w:val="0"/>
              <w:spacing w:after="0" w:line="200" w:lineRule="exact"/>
              <w:ind w:firstLine="0" w:firstLineChars="0"/>
              <w:jc w:val="center"/>
              <w:rPr>
                <w:rFonts w:hint="eastAsia" w:hAnsi="宋体"/>
                <w:sz w:val="18"/>
                <w:szCs w:val="18"/>
              </w:rPr>
            </w:pPr>
            <w:r>
              <w:rPr>
                <w:rFonts w:hint="eastAsia" w:hAnsi="宋体"/>
                <w:sz w:val="18"/>
                <w:szCs w:val="18"/>
              </w:rPr>
              <w:t>配套装置</w:t>
            </w:r>
          </w:p>
          <w:p w14:paraId="2066BCEA">
            <w:pPr>
              <w:pStyle w:val="234"/>
              <w:keepNext w:val="0"/>
              <w:keepLines w:val="0"/>
              <w:pageBreakBefore w:val="0"/>
              <w:widowControl w:val="0"/>
              <w:kinsoku/>
              <w:wordWrap/>
              <w:overflowPunct/>
              <w:topLinePunct w:val="0"/>
              <w:bidi w:val="0"/>
              <w:spacing w:after="0" w:line="200" w:lineRule="exact"/>
              <w:ind w:firstLine="0" w:firstLineChars="0"/>
              <w:jc w:val="center"/>
              <w:rPr>
                <w:rFonts w:hint="eastAsia" w:hAnsi="宋体"/>
                <w:sz w:val="18"/>
                <w:szCs w:val="18"/>
              </w:rPr>
            </w:pPr>
            <w:r>
              <w:rPr>
                <w:rFonts w:hint="eastAsia" w:hAnsi="宋体"/>
                <w:sz w:val="18"/>
                <w:szCs w:val="18"/>
              </w:rPr>
              <w:t>(防护设施)</w:t>
            </w:r>
          </w:p>
        </w:tc>
        <w:tc>
          <w:tcPr>
            <w:tcW w:w="1183" w:type="dxa"/>
            <w:tcBorders>
              <w:top w:val="single" w:color="auto" w:sz="2" w:space="0"/>
              <w:left w:val="nil"/>
              <w:bottom w:val="single" w:color="auto" w:sz="2" w:space="0"/>
              <w:right w:val="single" w:color="auto" w:sz="2" w:space="0"/>
            </w:tcBorders>
            <w:vAlign w:val="center"/>
          </w:tcPr>
          <w:p w14:paraId="206A27CA">
            <w:pPr>
              <w:pStyle w:val="234"/>
              <w:keepNext w:val="0"/>
              <w:keepLines w:val="0"/>
              <w:pageBreakBefore w:val="0"/>
              <w:widowControl w:val="0"/>
              <w:kinsoku/>
              <w:wordWrap/>
              <w:overflowPunct/>
              <w:topLinePunct w:val="0"/>
              <w:bidi w:val="0"/>
              <w:spacing w:after="0" w:line="200" w:lineRule="exact"/>
              <w:ind w:firstLine="0" w:firstLineChars="0"/>
              <w:jc w:val="center"/>
              <w:rPr>
                <w:rFonts w:hint="eastAsia" w:hAnsi="宋体"/>
                <w:sz w:val="18"/>
                <w:szCs w:val="18"/>
              </w:rPr>
            </w:pPr>
            <w:r>
              <w:rPr>
                <w:rFonts w:hint="eastAsia" w:hAnsi="宋体"/>
                <w:sz w:val="18"/>
                <w:szCs w:val="18"/>
              </w:rPr>
              <w:t>防护状态</w:t>
            </w:r>
          </w:p>
        </w:tc>
        <w:tc>
          <w:tcPr>
            <w:tcW w:w="7455" w:type="dxa"/>
            <w:gridSpan w:val="2"/>
            <w:tcBorders>
              <w:top w:val="single" w:color="auto" w:sz="2" w:space="0"/>
              <w:left w:val="single" w:color="auto" w:sz="2" w:space="0"/>
              <w:bottom w:val="single" w:color="auto" w:sz="2" w:space="0"/>
              <w:right w:val="single" w:color="auto" w:sz="8" w:space="0"/>
            </w:tcBorders>
            <w:vAlign w:val="center"/>
          </w:tcPr>
          <w:p w14:paraId="23852E80">
            <w:pPr>
              <w:pStyle w:val="234"/>
              <w:keepNext w:val="0"/>
              <w:keepLines w:val="0"/>
              <w:pageBreakBefore w:val="0"/>
              <w:widowControl w:val="0"/>
              <w:kinsoku/>
              <w:wordWrap/>
              <w:overflowPunct/>
              <w:topLinePunct w:val="0"/>
              <w:bidi w:val="0"/>
              <w:spacing w:after="0" w:line="200" w:lineRule="exact"/>
              <w:ind w:firstLine="0" w:firstLineChars="0"/>
              <w:jc w:val="left"/>
              <w:rPr>
                <w:rFonts w:hint="eastAsia" w:hAnsi="宋体"/>
                <w:sz w:val="18"/>
                <w:szCs w:val="18"/>
              </w:rPr>
            </w:pPr>
            <w:r>
              <w:rPr>
                <w:rFonts w:hAnsi="宋体"/>
                <w:sz w:val="18"/>
                <w:szCs w:val="18"/>
              </w:rPr>
              <w:t>完好</w:t>
            </w:r>
            <w:r>
              <w:rPr>
                <w:rFonts w:hint="eastAsia" w:hAnsi="宋体"/>
                <w:sz w:val="18"/>
                <w:szCs w:val="18"/>
              </w:rPr>
              <w:t>□</w:t>
            </w:r>
            <w:r>
              <w:rPr>
                <w:rFonts w:hAnsi="宋体"/>
                <w:sz w:val="18"/>
                <w:szCs w:val="18"/>
              </w:rPr>
              <w:t xml:space="preserve">    破损</w:t>
            </w:r>
            <w:r>
              <w:rPr>
                <w:rFonts w:hint="eastAsia" w:hAnsi="宋体"/>
                <w:sz w:val="18"/>
                <w:szCs w:val="18"/>
              </w:rPr>
              <w:t>□</w:t>
            </w:r>
            <w:r>
              <w:rPr>
                <w:rFonts w:hAnsi="宋体"/>
                <w:sz w:val="18"/>
                <w:szCs w:val="18"/>
              </w:rPr>
              <w:t xml:space="preserve">    </w:t>
            </w:r>
            <w:r>
              <w:rPr>
                <w:rFonts w:hint="eastAsia" w:hAnsi="宋体"/>
                <w:sz w:val="18"/>
                <w:szCs w:val="18"/>
              </w:rPr>
              <w:t>损</w:t>
            </w:r>
            <w:r>
              <w:rPr>
                <w:rFonts w:hAnsi="宋体"/>
                <w:sz w:val="18"/>
                <w:szCs w:val="18"/>
              </w:rPr>
              <w:t>毁</w:t>
            </w:r>
            <w:r>
              <w:rPr>
                <w:rFonts w:hint="eastAsia" w:hAnsi="宋体"/>
                <w:sz w:val="18"/>
                <w:szCs w:val="18"/>
              </w:rPr>
              <w:t>□</w:t>
            </w:r>
          </w:p>
        </w:tc>
      </w:tr>
      <w:tr w14:paraId="6A34D46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683" w:hRule="atLeast"/>
        </w:trPr>
        <w:tc>
          <w:tcPr>
            <w:tcW w:w="1181" w:type="dxa"/>
            <w:vMerge w:val="continue"/>
            <w:tcBorders>
              <w:left w:val="single" w:color="auto" w:sz="8" w:space="0"/>
              <w:right w:val="single" w:color="auto" w:sz="2" w:space="0"/>
            </w:tcBorders>
            <w:vAlign w:val="center"/>
          </w:tcPr>
          <w:p w14:paraId="3D09DD15">
            <w:pPr>
              <w:pStyle w:val="234"/>
              <w:keepNext w:val="0"/>
              <w:keepLines w:val="0"/>
              <w:pageBreakBefore w:val="0"/>
              <w:widowControl w:val="0"/>
              <w:kinsoku/>
              <w:wordWrap/>
              <w:overflowPunct/>
              <w:topLinePunct w:val="0"/>
              <w:bidi w:val="0"/>
              <w:spacing w:after="0" w:line="200" w:lineRule="exact"/>
              <w:ind w:firstLine="0" w:firstLineChars="0"/>
              <w:jc w:val="center"/>
              <w:rPr>
                <w:rFonts w:hint="eastAsia" w:hAnsi="宋体"/>
                <w:sz w:val="18"/>
                <w:szCs w:val="18"/>
              </w:rPr>
            </w:pPr>
          </w:p>
        </w:tc>
        <w:tc>
          <w:tcPr>
            <w:tcW w:w="1183" w:type="dxa"/>
            <w:tcBorders>
              <w:top w:val="single" w:color="auto" w:sz="2" w:space="0"/>
              <w:left w:val="nil"/>
              <w:bottom w:val="single" w:color="auto" w:sz="2" w:space="0"/>
              <w:right w:val="single" w:color="auto" w:sz="2" w:space="0"/>
            </w:tcBorders>
            <w:vAlign w:val="center"/>
          </w:tcPr>
          <w:p w14:paraId="3E734BB1">
            <w:pPr>
              <w:pStyle w:val="234"/>
              <w:keepNext w:val="0"/>
              <w:keepLines w:val="0"/>
              <w:pageBreakBefore w:val="0"/>
              <w:widowControl w:val="0"/>
              <w:kinsoku/>
              <w:wordWrap/>
              <w:overflowPunct/>
              <w:topLinePunct w:val="0"/>
              <w:bidi w:val="0"/>
              <w:spacing w:after="0" w:line="200" w:lineRule="exact"/>
              <w:ind w:firstLine="0" w:firstLineChars="0"/>
              <w:jc w:val="center"/>
              <w:rPr>
                <w:rFonts w:hint="eastAsia" w:hAnsi="宋体"/>
                <w:sz w:val="18"/>
                <w:szCs w:val="18"/>
              </w:rPr>
            </w:pPr>
            <w:r>
              <w:rPr>
                <w:rFonts w:hint="eastAsia" w:hAnsi="宋体"/>
                <w:sz w:val="18"/>
                <w:szCs w:val="18"/>
              </w:rPr>
              <w:t>巡检内容</w:t>
            </w:r>
          </w:p>
        </w:tc>
        <w:tc>
          <w:tcPr>
            <w:tcW w:w="7455" w:type="dxa"/>
            <w:gridSpan w:val="2"/>
            <w:tcBorders>
              <w:top w:val="single" w:color="auto" w:sz="2" w:space="0"/>
              <w:left w:val="single" w:color="auto" w:sz="2" w:space="0"/>
              <w:bottom w:val="single" w:color="auto" w:sz="2" w:space="0"/>
              <w:right w:val="single" w:color="auto" w:sz="8" w:space="0"/>
            </w:tcBorders>
            <w:vAlign w:val="center"/>
          </w:tcPr>
          <w:p w14:paraId="27E9A763">
            <w:pPr>
              <w:pStyle w:val="234"/>
              <w:keepNext w:val="0"/>
              <w:keepLines w:val="0"/>
              <w:pageBreakBefore w:val="0"/>
              <w:widowControl w:val="0"/>
              <w:kinsoku/>
              <w:wordWrap/>
              <w:overflowPunct/>
              <w:topLinePunct w:val="0"/>
              <w:bidi w:val="0"/>
              <w:spacing w:after="0" w:line="200" w:lineRule="exact"/>
              <w:ind w:firstLine="0" w:firstLineChars="0"/>
              <w:jc w:val="left"/>
              <w:rPr>
                <w:rFonts w:hint="eastAsia" w:hAnsi="宋体"/>
                <w:sz w:val="18"/>
                <w:szCs w:val="18"/>
              </w:rPr>
            </w:pPr>
            <w:r>
              <w:rPr>
                <w:rFonts w:hint="eastAsia" w:hAnsi="宋体"/>
                <w:sz w:val="18"/>
                <w:szCs w:val="18"/>
              </w:rPr>
              <w:t>环境无变化（是□    否□）</w:t>
            </w:r>
          </w:p>
          <w:p w14:paraId="50D2593B">
            <w:pPr>
              <w:pStyle w:val="234"/>
              <w:keepNext w:val="0"/>
              <w:keepLines w:val="0"/>
              <w:pageBreakBefore w:val="0"/>
              <w:widowControl w:val="0"/>
              <w:kinsoku/>
              <w:wordWrap/>
              <w:overflowPunct/>
              <w:topLinePunct w:val="0"/>
              <w:bidi w:val="0"/>
              <w:spacing w:after="0" w:line="200" w:lineRule="exact"/>
              <w:ind w:firstLine="0" w:firstLineChars="0"/>
              <w:jc w:val="left"/>
              <w:rPr>
                <w:rFonts w:hint="eastAsia" w:hAnsi="宋体"/>
                <w:sz w:val="18"/>
                <w:szCs w:val="18"/>
              </w:rPr>
            </w:pPr>
            <w:r>
              <w:rPr>
                <w:rFonts w:hint="eastAsia" w:hAnsi="宋体"/>
                <w:sz w:val="18"/>
                <w:szCs w:val="18"/>
              </w:rPr>
              <w:t>仪表防护箱体外观完好（是□    否□）</w:t>
            </w:r>
          </w:p>
          <w:p w14:paraId="68E9AB03">
            <w:pPr>
              <w:pStyle w:val="234"/>
              <w:keepNext w:val="0"/>
              <w:keepLines w:val="0"/>
              <w:pageBreakBefore w:val="0"/>
              <w:widowControl w:val="0"/>
              <w:kinsoku/>
              <w:wordWrap/>
              <w:overflowPunct/>
              <w:topLinePunct w:val="0"/>
              <w:bidi w:val="0"/>
              <w:spacing w:after="0" w:line="200" w:lineRule="exact"/>
              <w:ind w:firstLine="0" w:firstLineChars="0"/>
              <w:jc w:val="left"/>
              <w:rPr>
                <w:rFonts w:hint="eastAsia" w:hAnsi="宋体"/>
                <w:sz w:val="18"/>
                <w:szCs w:val="18"/>
              </w:rPr>
            </w:pPr>
            <w:r>
              <w:rPr>
                <w:rFonts w:hint="eastAsia" w:hAnsi="宋体"/>
                <w:sz w:val="18"/>
                <w:szCs w:val="18"/>
              </w:rPr>
              <w:t>连接线缆保护套完好（是□    否□）</w:t>
            </w:r>
          </w:p>
          <w:p w14:paraId="189A0F7E">
            <w:pPr>
              <w:pStyle w:val="234"/>
              <w:keepNext w:val="0"/>
              <w:keepLines w:val="0"/>
              <w:pageBreakBefore w:val="0"/>
              <w:widowControl w:val="0"/>
              <w:kinsoku/>
              <w:wordWrap/>
              <w:overflowPunct/>
              <w:topLinePunct w:val="0"/>
              <w:bidi w:val="0"/>
              <w:spacing w:after="0" w:line="200" w:lineRule="exact"/>
              <w:ind w:firstLine="0" w:firstLineChars="0"/>
              <w:jc w:val="left"/>
              <w:rPr>
                <w:rFonts w:hint="eastAsia" w:hAnsi="宋体"/>
                <w:sz w:val="18"/>
                <w:szCs w:val="18"/>
              </w:rPr>
            </w:pPr>
            <w:r>
              <w:rPr>
                <w:rFonts w:hint="eastAsia" w:hAnsi="宋体"/>
                <w:sz w:val="18"/>
                <w:szCs w:val="18"/>
              </w:rPr>
              <w:t>接地线牢固（是□    否□）</w:t>
            </w:r>
          </w:p>
          <w:p w14:paraId="1CB297F0">
            <w:pPr>
              <w:pStyle w:val="234"/>
              <w:keepNext w:val="0"/>
              <w:keepLines w:val="0"/>
              <w:pageBreakBefore w:val="0"/>
              <w:widowControl w:val="0"/>
              <w:kinsoku/>
              <w:wordWrap/>
              <w:overflowPunct/>
              <w:topLinePunct w:val="0"/>
              <w:bidi w:val="0"/>
              <w:spacing w:after="0" w:line="200" w:lineRule="exact"/>
              <w:ind w:firstLine="0" w:firstLineChars="0"/>
              <w:jc w:val="left"/>
              <w:rPr>
                <w:rFonts w:hint="eastAsia" w:hAnsi="宋体"/>
                <w:sz w:val="18"/>
                <w:szCs w:val="18"/>
              </w:rPr>
            </w:pPr>
            <w:r>
              <w:rPr>
                <w:rFonts w:hint="eastAsia" w:hAnsi="宋体"/>
                <w:sz w:val="18"/>
                <w:szCs w:val="18"/>
              </w:rPr>
              <w:t>避雷单元完好（是□    否□）（如有）</w:t>
            </w:r>
          </w:p>
          <w:p w14:paraId="682B8FB4">
            <w:pPr>
              <w:pStyle w:val="234"/>
              <w:keepNext w:val="0"/>
              <w:keepLines w:val="0"/>
              <w:pageBreakBefore w:val="0"/>
              <w:widowControl w:val="0"/>
              <w:kinsoku/>
              <w:wordWrap/>
              <w:overflowPunct/>
              <w:topLinePunct w:val="0"/>
              <w:bidi w:val="0"/>
              <w:spacing w:after="0" w:line="200" w:lineRule="exact"/>
              <w:ind w:firstLine="0" w:firstLineChars="0"/>
              <w:jc w:val="left"/>
              <w:rPr>
                <w:rFonts w:hint="eastAsia" w:hAnsi="宋体"/>
                <w:sz w:val="18"/>
                <w:szCs w:val="18"/>
              </w:rPr>
            </w:pPr>
            <w:r>
              <w:rPr>
                <w:rFonts w:hint="eastAsia" w:hAnsi="宋体"/>
                <w:sz w:val="18"/>
                <w:szCs w:val="18"/>
              </w:rPr>
              <w:t>重复接地体牢固、接地电阻＜10</w:t>
            </w:r>
            <w:r>
              <w:rPr>
                <w:rFonts w:hint="eastAsia"/>
              </w:rPr>
              <w:t>Ω</w:t>
            </w:r>
            <w:r>
              <w:rPr>
                <w:rFonts w:hint="eastAsia" w:hAnsi="宋体"/>
                <w:sz w:val="18"/>
                <w:szCs w:val="18"/>
              </w:rPr>
              <w:t>（如有）（是□    否□）</w:t>
            </w:r>
          </w:p>
        </w:tc>
      </w:tr>
      <w:tr w14:paraId="0AF0B51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90" w:hRule="atLeast"/>
        </w:trPr>
        <w:tc>
          <w:tcPr>
            <w:tcW w:w="1181" w:type="dxa"/>
            <w:vMerge w:val="continue"/>
            <w:tcBorders>
              <w:left w:val="single" w:color="auto" w:sz="8" w:space="0"/>
              <w:bottom w:val="single" w:color="auto" w:sz="2" w:space="0"/>
              <w:right w:val="single" w:color="auto" w:sz="2" w:space="0"/>
            </w:tcBorders>
            <w:vAlign w:val="center"/>
          </w:tcPr>
          <w:p w14:paraId="5C3B6561">
            <w:pPr>
              <w:pStyle w:val="234"/>
              <w:keepNext w:val="0"/>
              <w:keepLines w:val="0"/>
              <w:pageBreakBefore w:val="0"/>
              <w:widowControl w:val="0"/>
              <w:kinsoku/>
              <w:wordWrap/>
              <w:overflowPunct/>
              <w:topLinePunct w:val="0"/>
              <w:bidi w:val="0"/>
              <w:spacing w:after="0" w:line="200" w:lineRule="exact"/>
              <w:ind w:firstLine="0" w:firstLineChars="0"/>
              <w:jc w:val="center"/>
              <w:rPr>
                <w:rFonts w:hint="eastAsia" w:hAnsi="宋体"/>
                <w:sz w:val="18"/>
                <w:szCs w:val="18"/>
              </w:rPr>
            </w:pPr>
          </w:p>
        </w:tc>
        <w:tc>
          <w:tcPr>
            <w:tcW w:w="1183" w:type="dxa"/>
            <w:tcBorders>
              <w:top w:val="single" w:color="auto" w:sz="2" w:space="0"/>
              <w:left w:val="nil"/>
              <w:bottom w:val="single" w:color="auto" w:sz="2" w:space="0"/>
              <w:right w:val="single" w:color="auto" w:sz="2" w:space="0"/>
            </w:tcBorders>
            <w:vAlign w:val="center"/>
          </w:tcPr>
          <w:p w14:paraId="6DAD31E5">
            <w:pPr>
              <w:pStyle w:val="234"/>
              <w:keepNext w:val="0"/>
              <w:keepLines w:val="0"/>
              <w:pageBreakBefore w:val="0"/>
              <w:widowControl w:val="0"/>
              <w:kinsoku/>
              <w:wordWrap/>
              <w:overflowPunct/>
              <w:topLinePunct w:val="0"/>
              <w:bidi w:val="0"/>
              <w:spacing w:after="0" w:line="200" w:lineRule="exact"/>
              <w:ind w:firstLine="0" w:firstLineChars="0"/>
              <w:jc w:val="center"/>
              <w:rPr>
                <w:rFonts w:hint="eastAsia" w:hAnsi="宋体"/>
                <w:sz w:val="18"/>
                <w:szCs w:val="18"/>
              </w:rPr>
            </w:pPr>
            <w:r>
              <w:rPr>
                <w:rFonts w:hint="eastAsia" w:hAnsi="宋体"/>
                <w:sz w:val="18"/>
                <w:szCs w:val="18"/>
              </w:rPr>
              <w:t>维护情况</w:t>
            </w:r>
          </w:p>
        </w:tc>
        <w:tc>
          <w:tcPr>
            <w:tcW w:w="7455" w:type="dxa"/>
            <w:gridSpan w:val="2"/>
            <w:tcBorders>
              <w:top w:val="single" w:color="auto" w:sz="2" w:space="0"/>
              <w:left w:val="single" w:color="auto" w:sz="2" w:space="0"/>
              <w:bottom w:val="single" w:color="auto" w:sz="2" w:space="0"/>
              <w:right w:val="single" w:color="auto" w:sz="8" w:space="0"/>
            </w:tcBorders>
            <w:vAlign w:val="center"/>
          </w:tcPr>
          <w:p w14:paraId="28602178">
            <w:pPr>
              <w:pStyle w:val="234"/>
              <w:keepNext w:val="0"/>
              <w:keepLines w:val="0"/>
              <w:pageBreakBefore w:val="0"/>
              <w:widowControl w:val="0"/>
              <w:kinsoku/>
              <w:wordWrap/>
              <w:overflowPunct/>
              <w:topLinePunct w:val="0"/>
              <w:bidi w:val="0"/>
              <w:spacing w:after="0" w:line="200" w:lineRule="exact"/>
              <w:ind w:firstLine="0" w:firstLineChars="0"/>
              <w:jc w:val="left"/>
              <w:rPr>
                <w:rFonts w:hint="eastAsia" w:hAnsi="宋体"/>
                <w:sz w:val="18"/>
                <w:szCs w:val="18"/>
              </w:rPr>
            </w:pPr>
            <w:r>
              <w:rPr>
                <w:rFonts w:hint="eastAsia" w:hAnsi="宋体"/>
                <w:sz w:val="18"/>
                <w:szCs w:val="18"/>
              </w:rPr>
              <w:t>无需修复□    已修复□    无法修复□    处理措施：</w:t>
            </w:r>
            <w:r>
              <w:rPr>
                <w:rFonts w:hint="eastAsia" w:hAnsi="宋体"/>
                <w:sz w:val="18"/>
                <w:szCs w:val="18"/>
                <w:u w:val="single"/>
              </w:rPr>
              <w:t xml:space="preserve">                           </w:t>
            </w:r>
          </w:p>
        </w:tc>
      </w:tr>
      <w:tr w14:paraId="2548582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8" w:hRule="atLeast"/>
        </w:trPr>
        <w:tc>
          <w:tcPr>
            <w:tcW w:w="1181" w:type="dxa"/>
            <w:tcBorders>
              <w:top w:val="single" w:color="auto" w:sz="2" w:space="0"/>
              <w:left w:val="single" w:color="auto" w:sz="8" w:space="0"/>
              <w:bottom w:val="single" w:color="auto" w:sz="2" w:space="0"/>
              <w:right w:val="single" w:color="auto" w:sz="2" w:space="0"/>
            </w:tcBorders>
            <w:vAlign w:val="center"/>
          </w:tcPr>
          <w:p w14:paraId="442E7399">
            <w:pPr>
              <w:pStyle w:val="234"/>
              <w:keepNext w:val="0"/>
              <w:keepLines w:val="0"/>
              <w:pageBreakBefore w:val="0"/>
              <w:widowControl w:val="0"/>
              <w:kinsoku/>
              <w:wordWrap/>
              <w:overflowPunct/>
              <w:topLinePunct w:val="0"/>
              <w:bidi w:val="0"/>
              <w:spacing w:after="0" w:line="200" w:lineRule="exact"/>
              <w:ind w:firstLine="0" w:firstLineChars="0"/>
              <w:jc w:val="center"/>
              <w:rPr>
                <w:rFonts w:hint="eastAsia" w:hAnsi="宋体"/>
                <w:sz w:val="18"/>
                <w:szCs w:val="18"/>
              </w:rPr>
            </w:pPr>
            <w:r>
              <w:rPr>
                <w:rFonts w:hint="eastAsia" w:hAnsi="宋体"/>
                <w:sz w:val="18"/>
                <w:szCs w:val="18"/>
              </w:rPr>
              <w:t>巡检维护</w:t>
            </w:r>
          </w:p>
          <w:p w14:paraId="451590D2">
            <w:pPr>
              <w:pStyle w:val="234"/>
              <w:keepNext w:val="0"/>
              <w:keepLines w:val="0"/>
              <w:pageBreakBefore w:val="0"/>
              <w:widowControl w:val="0"/>
              <w:kinsoku/>
              <w:wordWrap/>
              <w:overflowPunct/>
              <w:topLinePunct w:val="0"/>
              <w:bidi w:val="0"/>
              <w:spacing w:after="0" w:line="200" w:lineRule="exact"/>
              <w:ind w:firstLine="0" w:firstLineChars="0"/>
              <w:jc w:val="center"/>
              <w:rPr>
                <w:rFonts w:hint="eastAsia" w:hAnsi="宋体"/>
                <w:sz w:val="18"/>
                <w:szCs w:val="18"/>
              </w:rPr>
            </w:pPr>
            <w:r>
              <w:rPr>
                <w:rFonts w:hint="eastAsia" w:hAnsi="宋体"/>
                <w:sz w:val="18"/>
                <w:szCs w:val="18"/>
              </w:rPr>
              <w:t>情况综述</w:t>
            </w:r>
          </w:p>
        </w:tc>
        <w:tc>
          <w:tcPr>
            <w:tcW w:w="8638" w:type="dxa"/>
            <w:gridSpan w:val="3"/>
            <w:tcBorders>
              <w:top w:val="single" w:color="auto" w:sz="2" w:space="0"/>
              <w:left w:val="nil"/>
              <w:bottom w:val="single" w:color="auto" w:sz="2" w:space="0"/>
              <w:right w:val="single" w:color="auto" w:sz="8" w:space="0"/>
            </w:tcBorders>
            <w:vAlign w:val="center"/>
          </w:tcPr>
          <w:p w14:paraId="676192C4">
            <w:pPr>
              <w:pStyle w:val="234"/>
              <w:keepNext w:val="0"/>
              <w:keepLines w:val="0"/>
              <w:pageBreakBefore w:val="0"/>
              <w:widowControl w:val="0"/>
              <w:kinsoku/>
              <w:wordWrap/>
              <w:overflowPunct/>
              <w:topLinePunct w:val="0"/>
              <w:bidi w:val="0"/>
              <w:spacing w:after="0" w:line="200" w:lineRule="exact"/>
              <w:ind w:firstLine="0" w:firstLineChars="0"/>
              <w:rPr>
                <w:rFonts w:hint="eastAsia" w:hAnsi="宋体"/>
                <w:sz w:val="18"/>
                <w:szCs w:val="18"/>
              </w:rPr>
            </w:pPr>
            <w:r>
              <w:rPr>
                <w:rFonts w:hint="eastAsia" w:hAnsi="宋体"/>
                <w:sz w:val="18"/>
                <w:szCs w:val="18"/>
              </w:rPr>
              <w:t>取水计量监测站点运行状态评述，采取的处理措施，建议，可另附巡检照片。</w:t>
            </w:r>
          </w:p>
        </w:tc>
      </w:tr>
      <w:tr w14:paraId="2AD5F4A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31" w:hRule="atLeast"/>
        </w:trPr>
        <w:tc>
          <w:tcPr>
            <w:tcW w:w="9819" w:type="dxa"/>
            <w:gridSpan w:val="4"/>
            <w:tcBorders>
              <w:top w:val="single" w:color="auto" w:sz="2" w:space="0"/>
              <w:left w:val="single" w:color="auto" w:sz="8" w:space="0"/>
              <w:bottom w:val="single" w:color="auto" w:sz="8" w:space="0"/>
              <w:right w:val="single" w:color="auto" w:sz="8" w:space="0"/>
            </w:tcBorders>
            <w:vAlign w:val="center"/>
          </w:tcPr>
          <w:p w14:paraId="636B6A32">
            <w:pPr>
              <w:pStyle w:val="234"/>
              <w:keepNext w:val="0"/>
              <w:keepLines w:val="0"/>
              <w:pageBreakBefore w:val="0"/>
              <w:widowControl w:val="0"/>
              <w:kinsoku/>
              <w:wordWrap/>
              <w:overflowPunct/>
              <w:topLinePunct w:val="0"/>
              <w:bidi w:val="0"/>
              <w:spacing w:after="0" w:line="200" w:lineRule="exact"/>
              <w:ind w:firstLine="0" w:firstLineChars="0"/>
              <w:rPr>
                <w:rFonts w:hint="eastAsia" w:hAnsi="宋体"/>
                <w:sz w:val="18"/>
                <w:szCs w:val="18"/>
              </w:rPr>
            </w:pPr>
            <w:r>
              <w:rPr>
                <w:rFonts w:hint="eastAsia" w:hAnsi="宋体"/>
                <w:sz w:val="18"/>
                <w:szCs w:val="18"/>
              </w:rPr>
              <w:t>巡检人员签字：</w:t>
            </w:r>
          </w:p>
        </w:tc>
      </w:tr>
    </w:tbl>
    <w:p w14:paraId="080C3C7C">
      <w:pPr>
        <w:pStyle w:val="80"/>
        <w:keepNext w:val="0"/>
        <w:keepLines w:val="0"/>
        <w:pageBreakBefore w:val="0"/>
        <w:kinsoku/>
        <w:wordWrap/>
        <w:overflowPunct/>
        <w:topLinePunct w:val="0"/>
        <w:bidi w:val="0"/>
        <w:spacing w:before="0" w:after="156" w:line="200" w:lineRule="exact"/>
        <w:sectPr>
          <w:pgSz w:w="11906" w:h="16838"/>
          <w:pgMar w:top="1928" w:right="1134" w:bottom="1134" w:left="1134" w:header="1418" w:footer="1134" w:gutter="284"/>
          <w:cols w:space="425" w:num="1"/>
          <w:formProt w:val="0"/>
          <w:docGrid w:type="lines" w:linePitch="312" w:charSpace="0"/>
        </w:sectPr>
      </w:pPr>
    </w:p>
    <w:p w14:paraId="5F59B5BC">
      <w:pPr>
        <w:pStyle w:val="80"/>
        <w:spacing w:before="0" w:after="156" w:line="240" w:lineRule="auto"/>
      </w:pPr>
      <w:r>
        <w:br w:type="textWrapping"/>
      </w:r>
      <w:bookmarkStart w:id="117" w:name="_Toc240896223"/>
      <w:r>
        <w:rPr>
          <w:rFonts w:hint="eastAsia"/>
        </w:rPr>
        <w:t>（资料性）</w:t>
      </w:r>
      <w:r>
        <w:br w:type="textWrapping"/>
      </w:r>
      <w:r>
        <w:rPr>
          <w:rFonts w:hint="eastAsia"/>
        </w:rPr>
        <w:t>系统平台巡检维护记录表样式</w:t>
      </w:r>
      <w:bookmarkEnd w:id="117"/>
    </w:p>
    <w:p w14:paraId="0F9DCDE2">
      <w:pPr>
        <w:pStyle w:val="60"/>
        <w:ind w:firstLine="420"/>
      </w:pPr>
      <w:r>
        <w:rPr>
          <w:rFonts w:hint="eastAsia"/>
        </w:rPr>
        <w:t>系统平台巡检维护记录表样式见表C</w:t>
      </w:r>
      <w:r>
        <w:t>.1</w:t>
      </w:r>
      <w:r>
        <w:rPr>
          <w:rFonts w:hint="eastAsia"/>
        </w:rPr>
        <w:t>。</w:t>
      </w:r>
    </w:p>
    <w:p w14:paraId="33F00FC0">
      <w:pPr>
        <w:pStyle w:val="81"/>
        <w:numPr>
          <w:ilvl w:val="1"/>
          <w:numId w:val="46"/>
        </w:numPr>
        <w:spacing w:before="156" w:after="156"/>
      </w:pPr>
      <w:bookmarkStart w:id="118" w:name="_Toc1224460847"/>
      <w:r>
        <w:rPr>
          <w:rFonts w:hint="eastAsia"/>
        </w:rPr>
        <w:t xml:space="preserve"> 系统平台巡检维护记录表</w:t>
      </w:r>
      <w:bookmarkEnd w:id="118"/>
    </w:p>
    <w:tbl>
      <w:tblPr>
        <w:tblStyle w:val="29"/>
        <w:tblW w:w="9564" w:type="dxa"/>
        <w:tblInd w:w="135"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131"/>
        <w:gridCol w:w="1134"/>
        <w:gridCol w:w="2410"/>
        <w:gridCol w:w="4889"/>
      </w:tblGrid>
      <w:tr w14:paraId="6DAEAE7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510" w:hRule="atLeast"/>
        </w:trPr>
        <w:tc>
          <w:tcPr>
            <w:tcW w:w="4675" w:type="dxa"/>
            <w:gridSpan w:val="3"/>
            <w:tcBorders>
              <w:top w:val="single" w:color="auto" w:sz="8" w:space="0"/>
              <w:left w:val="single" w:color="auto" w:sz="8" w:space="0"/>
              <w:bottom w:val="single" w:color="auto" w:sz="2" w:space="0"/>
              <w:right w:val="single" w:color="auto" w:sz="2" w:space="0"/>
            </w:tcBorders>
            <w:vAlign w:val="center"/>
          </w:tcPr>
          <w:p w14:paraId="1B98F884">
            <w:pPr>
              <w:pStyle w:val="234"/>
              <w:widowControl w:val="0"/>
              <w:spacing w:after="0"/>
              <w:ind w:firstLine="0" w:firstLineChars="0"/>
              <w:jc w:val="left"/>
              <w:rPr>
                <w:rFonts w:hint="eastAsia" w:hAnsi="宋体"/>
                <w:sz w:val="18"/>
                <w:szCs w:val="18"/>
              </w:rPr>
            </w:pPr>
            <w:r>
              <w:rPr>
                <w:rFonts w:hint="eastAsia" w:hAnsi="宋体"/>
                <w:sz w:val="18"/>
                <w:szCs w:val="18"/>
              </w:rPr>
              <w:t>运维管理单位：</w:t>
            </w:r>
          </w:p>
        </w:tc>
        <w:tc>
          <w:tcPr>
            <w:tcW w:w="4889" w:type="dxa"/>
            <w:tcBorders>
              <w:top w:val="single" w:color="auto" w:sz="8" w:space="0"/>
              <w:left w:val="nil"/>
              <w:bottom w:val="single" w:color="auto" w:sz="2" w:space="0"/>
              <w:right w:val="single" w:color="auto" w:sz="8" w:space="0"/>
            </w:tcBorders>
            <w:vAlign w:val="center"/>
          </w:tcPr>
          <w:p w14:paraId="5682A988">
            <w:pPr>
              <w:pStyle w:val="234"/>
              <w:widowControl w:val="0"/>
              <w:spacing w:after="0"/>
              <w:ind w:firstLine="0" w:firstLineChars="0"/>
              <w:jc w:val="left"/>
              <w:rPr>
                <w:rFonts w:hint="eastAsia" w:hAnsi="宋体"/>
                <w:sz w:val="18"/>
                <w:szCs w:val="18"/>
              </w:rPr>
            </w:pPr>
            <w:r>
              <w:rPr>
                <w:rFonts w:hint="eastAsia" w:hAnsi="宋体"/>
                <w:sz w:val="18"/>
                <w:szCs w:val="18"/>
              </w:rPr>
              <w:t>巡检维护日期：            年         月        日</w:t>
            </w:r>
          </w:p>
        </w:tc>
      </w:tr>
      <w:tr w14:paraId="028278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atLeast"/>
        </w:trPr>
        <w:tc>
          <w:tcPr>
            <w:tcW w:w="9564" w:type="dxa"/>
            <w:gridSpan w:val="4"/>
            <w:tcBorders>
              <w:top w:val="single" w:color="auto" w:sz="2" w:space="0"/>
              <w:left w:val="single" w:color="auto" w:sz="8" w:space="0"/>
              <w:bottom w:val="single" w:color="auto" w:sz="2" w:space="0"/>
              <w:right w:val="single" w:color="auto" w:sz="8" w:space="0"/>
            </w:tcBorders>
            <w:vAlign w:val="center"/>
          </w:tcPr>
          <w:p w14:paraId="616889FC">
            <w:pPr>
              <w:pStyle w:val="234"/>
              <w:widowControl w:val="0"/>
              <w:spacing w:after="0"/>
              <w:ind w:firstLine="0" w:firstLineChars="0"/>
              <w:jc w:val="center"/>
              <w:rPr>
                <w:rFonts w:hint="eastAsia" w:hAnsi="宋体"/>
                <w:sz w:val="18"/>
                <w:szCs w:val="18"/>
              </w:rPr>
            </w:pPr>
            <w:r>
              <w:rPr>
                <w:rFonts w:hint="eastAsia" w:hAnsi="宋体"/>
                <w:b/>
                <w:bCs/>
                <w:sz w:val="18"/>
                <w:szCs w:val="18"/>
              </w:rPr>
              <w:t>巡检维护内容</w:t>
            </w:r>
          </w:p>
        </w:tc>
      </w:tr>
      <w:tr w14:paraId="0402668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atLeast"/>
        </w:trPr>
        <w:tc>
          <w:tcPr>
            <w:tcW w:w="1131" w:type="dxa"/>
            <w:vMerge w:val="restart"/>
            <w:tcBorders>
              <w:left w:val="single" w:color="auto" w:sz="8" w:space="0"/>
              <w:right w:val="single" w:color="auto" w:sz="2" w:space="0"/>
            </w:tcBorders>
            <w:vAlign w:val="center"/>
          </w:tcPr>
          <w:p w14:paraId="52EE7199">
            <w:pPr>
              <w:pStyle w:val="234"/>
              <w:widowControl w:val="0"/>
              <w:spacing w:after="0"/>
              <w:ind w:firstLine="0" w:firstLineChars="0"/>
              <w:jc w:val="center"/>
              <w:rPr>
                <w:rFonts w:hint="eastAsia" w:hAnsi="宋体"/>
                <w:sz w:val="18"/>
                <w:szCs w:val="18"/>
              </w:rPr>
            </w:pPr>
            <w:r>
              <w:rPr>
                <w:rFonts w:hint="eastAsia" w:hAnsi="宋体"/>
                <w:sz w:val="18"/>
                <w:szCs w:val="18"/>
              </w:rPr>
              <w:t>软件功能</w:t>
            </w:r>
          </w:p>
        </w:tc>
        <w:tc>
          <w:tcPr>
            <w:tcW w:w="1134" w:type="dxa"/>
            <w:tcBorders>
              <w:top w:val="single" w:color="auto" w:sz="2" w:space="0"/>
              <w:left w:val="nil"/>
              <w:bottom w:val="single" w:color="auto" w:sz="2" w:space="0"/>
              <w:right w:val="single" w:color="auto" w:sz="2" w:space="0"/>
            </w:tcBorders>
            <w:vAlign w:val="center"/>
          </w:tcPr>
          <w:p w14:paraId="2088EB20">
            <w:pPr>
              <w:pStyle w:val="234"/>
              <w:widowControl w:val="0"/>
              <w:spacing w:after="0"/>
              <w:ind w:firstLine="0" w:firstLineChars="0"/>
              <w:jc w:val="center"/>
              <w:rPr>
                <w:rFonts w:hint="eastAsia" w:hAnsi="宋体"/>
                <w:sz w:val="18"/>
                <w:szCs w:val="18"/>
              </w:rPr>
            </w:pPr>
            <w:r>
              <w:rPr>
                <w:rFonts w:hint="eastAsia" w:hAnsi="宋体"/>
                <w:sz w:val="18"/>
                <w:szCs w:val="18"/>
              </w:rPr>
              <w:t>功能状态</w:t>
            </w:r>
          </w:p>
        </w:tc>
        <w:tc>
          <w:tcPr>
            <w:tcW w:w="7299" w:type="dxa"/>
            <w:gridSpan w:val="2"/>
            <w:tcBorders>
              <w:top w:val="single" w:color="auto" w:sz="2" w:space="0"/>
              <w:left w:val="single" w:color="auto" w:sz="2" w:space="0"/>
              <w:bottom w:val="single" w:color="auto" w:sz="2" w:space="0"/>
              <w:right w:val="single" w:color="auto" w:sz="8" w:space="0"/>
            </w:tcBorders>
            <w:vAlign w:val="center"/>
          </w:tcPr>
          <w:p w14:paraId="3FB0FDB9">
            <w:pPr>
              <w:pStyle w:val="234"/>
              <w:widowControl w:val="0"/>
              <w:spacing w:after="0"/>
              <w:ind w:firstLine="0" w:firstLineChars="0"/>
              <w:jc w:val="left"/>
              <w:rPr>
                <w:rFonts w:hint="eastAsia" w:hAnsi="宋体"/>
                <w:sz w:val="18"/>
                <w:szCs w:val="18"/>
              </w:rPr>
            </w:pPr>
            <w:r>
              <w:rPr>
                <w:rFonts w:hint="eastAsia" w:hAnsi="宋体"/>
                <w:sz w:val="18"/>
                <w:szCs w:val="18"/>
              </w:rPr>
              <w:t>正常□    异常□（</w:t>
            </w:r>
            <w:r>
              <w:rPr>
                <w:rFonts w:hint="eastAsia" w:hAnsi="宋体"/>
                <w:sz w:val="18"/>
                <w:szCs w:val="18"/>
                <w:u w:val="single"/>
              </w:rPr>
              <w:t>异常情况，如数据乱码、系统闪退、指令无效等</w:t>
            </w:r>
            <w:r>
              <w:rPr>
                <w:rFonts w:hint="eastAsia" w:hAnsi="宋体"/>
                <w:sz w:val="18"/>
                <w:szCs w:val="18"/>
              </w:rPr>
              <w:t>）</w:t>
            </w:r>
          </w:p>
        </w:tc>
      </w:tr>
      <w:tr w14:paraId="6221A94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atLeast"/>
        </w:trPr>
        <w:tc>
          <w:tcPr>
            <w:tcW w:w="1131" w:type="dxa"/>
            <w:vMerge w:val="continue"/>
            <w:tcBorders>
              <w:left w:val="single" w:color="auto" w:sz="8" w:space="0"/>
              <w:right w:val="single" w:color="auto" w:sz="2" w:space="0"/>
            </w:tcBorders>
            <w:vAlign w:val="center"/>
          </w:tcPr>
          <w:p w14:paraId="2A3B6199">
            <w:pPr>
              <w:pStyle w:val="234"/>
              <w:widowControl w:val="0"/>
              <w:spacing w:after="0"/>
              <w:ind w:firstLine="0" w:firstLineChars="0"/>
              <w:jc w:val="center"/>
              <w:rPr>
                <w:rFonts w:hint="eastAsia" w:hAnsi="宋体"/>
                <w:sz w:val="18"/>
                <w:szCs w:val="18"/>
              </w:rPr>
            </w:pPr>
          </w:p>
        </w:tc>
        <w:tc>
          <w:tcPr>
            <w:tcW w:w="1134" w:type="dxa"/>
            <w:tcBorders>
              <w:top w:val="single" w:color="auto" w:sz="2" w:space="0"/>
              <w:left w:val="nil"/>
              <w:bottom w:val="single" w:color="auto" w:sz="2" w:space="0"/>
              <w:right w:val="single" w:color="auto" w:sz="2" w:space="0"/>
            </w:tcBorders>
            <w:vAlign w:val="center"/>
          </w:tcPr>
          <w:p w14:paraId="431BF01E">
            <w:pPr>
              <w:pStyle w:val="234"/>
              <w:widowControl w:val="0"/>
              <w:spacing w:after="0"/>
              <w:ind w:firstLine="0" w:firstLineChars="0"/>
              <w:jc w:val="center"/>
              <w:rPr>
                <w:rFonts w:hint="eastAsia" w:hAnsi="宋体"/>
                <w:sz w:val="18"/>
                <w:szCs w:val="18"/>
              </w:rPr>
            </w:pPr>
            <w:r>
              <w:rPr>
                <w:rFonts w:hAnsi="宋体"/>
                <w:sz w:val="18"/>
                <w:szCs w:val="18"/>
              </w:rPr>
              <w:t>巡检</w:t>
            </w:r>
            <w:r>
              <w:rPr>
                <w:rFonts w:hint="eastAsia" w:hAnsi="宋体"/>
                <w:sz w:val="18"/>
                <w:szCs w:val="18"/>
              </w:rPr>
              <w:t>内容</w:t>
            </w:r>
          </w:p>
        </w:tc>
        <w:tc>
          <w:tcPr>
            <w:tcW w:w="7299" w:type="dxa"/>
            <w:gridSpan w:val="2"/>
            <w:tcBorders>
              <w:top w:val="single" w:color="auto" w:sz="2" w:space="0"/>
              <w:left w:val="single" w:color="auto" w:sz="2" w:space="0"/>
              <w:bottom w:val="single" w:color="auto" w:sz="2" w:space="0"/>
              <w:right w:val="single" w:color="auto" w:sz="8" w:space="0"/>
            </w:tcBorders>
            <w:vAlign w:val="center"/>
          </w:tcPr>
          <w:p w14:paraId="0F255EB4">
            <w:pPr>
              <w:pStyle w:val="234"/>
              <w:widowControl w:val="0"/>
              <w:spacing w:after="0"/>
              <w:ind w:firstLine="0" w:firstLineChars="0"/>
              <w:jc w:val="left"/>
              <w:rPr>
                <w:rFonts w:hint="eastAsia" w:hAnsi="宋体"/>
                <w:sz w:val="18"/>
                <w:szCs w:val="18"/>
              </w:rPr>
            </w:pPr>
            <w:r>
              <w:rPr>
                <w:rFonts w:hint="eastAsia" w:hAnsi="宋体"/>
                <w:sz w:val="18"/>
                <w:szCs w:val="18"/>
              </w:rPr>
              <w:t>空间可用（是□    否□）</w:t>
            </w:r>
          </w:p>
          <w:p w14:paraId="3840D86A">
            <w:pPr>
              <w:pStyle w:val="234"/>
              <w:widowControl w:val="0"/>
              <w:spacing w:after="0"/>
              <w:ind w:firstLine="0" w:firstLineChars="0"/>
              <w:jc w:val="left"/>
              <w:rPr>
                <w:rFonts w:hint="eastAsia" w:hAnsi="宋体"/>
                <w:sz w:val="18"/>
                <w:szCs w:val="18"/>
              </w:rPr>
            </w:pPr>
            <w:r>
              <w:rPr>
                <w:rFonts w:hint="eastAsia" w:hAnsi="宋体"/>
                <w:sz w:val="18"/>
                <w:szCs w:val="18"/>
              </w:rPr>
              <w:t>日志无报错（是□    否□）</w:t>
            </w:r>
          </w:p>
          <w:p w14:paraId="173A6329">
            <w:pPr>
              <w:pStyle w:val="234"/>
              <w:widowControl w:val="0"/>
              <w:spacing w:after="0"/>
              <w:ind w:firstLine="0" w:firstLineChars="0"/>
              <w:jc w:val="left"/>
              <w:rPr>
                <w:rFonts w:hint="eastAsia" w:hAnsi="宋体"/>
                <w:sz w:val="18"/>
                <w:szCs w:val="18"/>
              </w:rPr>
            </w:pPr>
            <w:r>
              <w:rPr>
                <w:rFonts w:hint="eastAsia" w:hAnsi="宋体"/>
                <w:sz w:val="18"/>
                <w:szCs w:val="18"/>
              </w:rPr>
              <w:t>数据库已更新（是□    否□）</w:t>
            </w:r>
          </w:p>
          <w:p w14:paraId="21D777F5">
            <w:pPr>
              <w:pStyle w:val="234"/>
              <w:widowControl w:val="0"/>
              <w:spacing w:after="0"/>
              <w:ind w:firstLine="0" w:firstLineChars="0"/>
              <w:jc w:val="left"/>
              <w:rPr>
                <w:rFonts w:hint="eastAsia" w:hAnsi="宋体"/>
                <w:sz w:val="18"/>
                <w:szCs w:val="18"/>
              </w:rPr>
            </w:pPr>
            <w:r>
              <w:rPr>
                <w:rFonts w:hint="eastAsia" w:hAnsi="宋体"/>
                <w:sz w:val="18"/>
                <w:szCs w:val="18"/>
              </w:rPr>
              <w:t>软件已备份（是□    否□）</w:t>
            </w:r>
          </w:p>
        </w:tc>
      </w:tr>
      <w:tr w14:paraId="4F6B97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atLeast"/>
        </w:trPr>
        <w:tc>
          <w:tcPr>
            <w:tcW w:w="1131" w:type="dxa"/>
            <w:vMerge w:val="continue"/>
            <w:tcBorders>
              <w:left w:val="single" w:color="auto" w:sz="8" w:space="0"/>
              <w:bottom w:val="single" w:color="auto" w:sz="2" w:space="0"/>
              <w:right w:val="single" w:color="auto" w:sz="2" w:space="0"/>
            </w:tcBorders>
            <w:vAlign w:val="center"/>
          </w:tcPr>
          <w:p w14:paraId="54757CE7">
            <w:pPr>
              <w:pStyle w:val="234"/>
              <w:widowControl w:val="0"/>
              <w:spacing w:after="0"/>
              <w:ind w:firstLine="0" w:firstLineChars="0"/>
              <w:jc w:val="center"/>
              <w:rPr>
                <w:rFonts w:hint="eastAsia" w:hAnsi="宋体"/>
                <w:sz w:val="18"/>
                <w:szCs w:val="18"/>
              </w:rPr>
            </w:pPr>
          </w:p>
        </w:tc>
        <w:tc>
          <w:tcPr>
            <w:tcW w:w="1134" w:type="dxa"/>
            <w:tcBorders>
              <w:top w:val="single" w:color="auto" w:sz="2" w:space="0"/>
              <w:left w:val="nil"/>
              <w:bottom w:val="single" w:color="auto" w:sz="2" w:space="0"/>
              <w:right w:val="single" w:color="auto" w:sz="2" w:space="0"/>
            </w:tcBorders>
            <w:vAlign w:val="center"/>
          </w:tcPr>
          <w:p w14:paraId="3A457AC4">
            <w:pPr>
              <w:pStyle w:val="234"/>
              <w:widowControl w:val="0"/>
              <w:spacing w:after="0"/>
              <w:ind w:firstLine="0" w:firstLineChars="0"/>
              <w:jc w:val="center"/>
              <w:rPr>
                <w:rFonts w:hint="eastAsia" w:hAnsi="宋体"/>
                <w:sz w:val="18"/>
                <w:szCs w:val="18"/>
              </w:rPr>
            </w:pPr>
            <w:r>
              <w:rPr>
                <w:rFonts w:hAnsi="宋体"/>
                <w:sz w:val="18"/>
                <w:szCs w:val="18"/>
              </w:rPr>
              <w:t>维护</w:t>
            </w:r>
            <w:r>
              <w:rPr>
                <w:rFonts w:hint="eastAsia" w:hAnsi="宋体"/>
                <w:sz w:val="18"/>
                <w:szCs w:val="18"/>
              </w:rPr>
              <w:t>情况</w:t>
            </w:r>
          </w:p>
        </w:tc>
        <w:tc>
          <w:tcPr>
            <w:tcW w:w="7299" w:type="dxa"/>
            <w:gridSpan w:val="2"/>
            <w:tcBorders>
              <w:top w:val="single" w:color="auto" w:sz="2" w:space="0"/>
              <w:left w:val="single" w:color="auto" w:sz="2" w:space="0"/>
              <w:bottom w:val="single" w:color="auto" w:sz="2" w:space="0"/>
              <w:right w:val="single" w:color="auto" w:sz="8" w:space="0"/>
            </w:tcBorders>
            <w:vAlign w:val="center"/>
          </w:tcPr>
          <w:p w14:paraId="16838AAC">
            <w:pPr>
              <w:pStyle w:val="234"/>
              <w:widowControl w:val="0"/>
              <w:spacing w:after="0"/>
              <w:ind w:firstLine="0" w:firstLineChars="0"/>
              <w:jc w:val="left"/>
              <w:rPr>
                <w:rFonts w:hint="eastAsia" w:hAnsi="宋体"/>
                <w:sz w:val="18"/>
                <w:szCs w:val="18"/>
              </w:rPr>
            </w:pPr>
            <w:r>
              <w:rPr>
                <w:rFonts w:hint="eastAsia" w:hAnsi="宋体"/>
                <w:sz w:val="18"/>
                <w:szCs w:val="18"/>
              </w:rPr>
              <w:t>无需修复□    已修复□    无法修复□    处理措施：</w:t>
            </w:r>
            <w:r>
              <w:rPr>
                <w:rFonts w:hint="eastAsia" w:hAnsi="宋体"/>
                <w:sz w:val="18"/>
                <w:szCs w:val="18"/>
                <w:u w:val="single"/>
              </w:rPr>
              <w:t xml:space="preserve">                            </w:t>
            </w:r>
          </w:p>
        </w:tc>
      </w:tr>
      <w:tr w14:paraId="38EA06B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atLeast"/>
        </w:trPr>
        <w:tc>
          <w:tcPr>
            <w:tcW w:w="1131" w:type="dxa"/>
            <w:tcBorders>
              <w:top w:val="single" w:color="auto" w:sz="2" w:space="0"/>
              <w:left w:val="single" w:color="auto" w:sz="8" w:space="0"/>
              <w:bottom w:val="single" w:color="auto" w:sz="2" w:space="0"/>
              <w:right w:val="single" w:color="auto" w:sz="2" w:space="0"/>
            </w:tcBorders>
            <w:vAlign w:val="center"/>
          </w:tcPr>
          <w:p w14:paraId="71BB0327">
            <w:pPr>
              <w:pStyle w:val="234"/>
              <w:widowControl w:val="0"/>
              <w:spacing w:after="0"/>
              <w:ind w:firstLine="0" w:firstLineChars="0"/>
              <w:jc w:val="center"/>
              <w:rPr>
                <w:rFonts w:hint="eastAsia" w:hAnsi="宋体"/>
                <w:sz w:val="18"/>
                <w:szCs w:val="18"/>
              </w:rPr>
            </w:pPr>
            <w:r>
              <w:rPr>
                <w:rFonts w:hint="eastAsia" w:hAnsi="宋体"/>
                <w:sz w:val="18"/>
                <w:szCs w:val="18"/>
              </w:rPr>
              <w:t>巡检维护</w:t>
            </w:r>
          </w:p>
          <w:p w14:paraId="2E74E7A7">
            <w:pPr>
              <w:pStyle w:val="234"/>
              <w:widowControl w:val="0"/>
              <w:spacing w:after="0"/>
              <w:ind w:firstLine="0" w:firstLineChars="0"/>
              <w:jc w:val="center"/>
              <w:rPr>
                <w:rFonts w:hint="eastAsia" w:hAnsi="宋体"/>
                <w:sz w:val="18"/>
                <w:szCs w:val="18"/>
              </w:rPr>
            </w:pPr>
            <w:r>
              <w:rPr>
                <w:rFonts w:hint="eastAsia" w:hAnsi="宋体"/>
                <w:sz w:val="18"/>
                <w:szCs w:val="18"/>
              </w:rPr>
              <w:t>情况综述</w:t>
            </w:r>
          </w:p>
        </w:tc>
        <w:tc>
          <w:tcPr>
            <w:tcW w:w="8433" w:type="dxa"/>
            <w:gridSpan w:val="3"/>
            <w:tcBorders>
              <w:top w:val="single" w:color="auto" w:sz="2" w:space="0"/>
              <w:left w:val="nil"/>
              <w:bottom w:val="single" w:color="auto" w:sz="2" w:space="0"/>
              <w:right w:val="single" w:color="auto" w:sz="8" w:space="0"/>
            </w:tcBorders>
            <w:vAlign w:val="center"/>
          </w:tcPr>
          <w:p w14:paraId="55E7CE81">
            <w:pPr>
              <w:pStyle w:val="234"/>
              <w:widowControl w:val="0"/>
              <w:spacing w:after="0"/>
              <w:ind w:firstLine="0" w:firstLineChars="0"/>
              <w:jc w:val="left"/>
              <w:rPr>
                <w:rFonts w:hint="eastAsia" w:hAnsi="宋体"/>
                <w:sz w:val="18"/>
                <w:szCs w:val="18"/>
              </w:rPr>
            </w:pPr>
            <w:r>
              <w:rPr>
                <w:rFonts w:hint="eastAsia" w:hAnsi="宋体"/>
                <w:sz w:val="18"/>
                <w:szCs w:val="18"/>
              </w:rPr>
              <w:t>系统平台运行状态评述，采取的处理措施，建议，可另附巡检照片。</w:t>
            </w:r>
          </w:p>
        </w:tc>
      </w:tr>
      <w:tr w14:paraId="72C44D3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atLeast"/>
        </w:trPr>
        <w:tc>
          <w:tcPr>
            <w:tcW w:w="9564" w:type="dxa"/>
            <w:gridSpan w:val="4"/>
            <w:tcBorders>
              <w:top w:val="single" w:color="auto" w:sz="2" w:space="0"/>
              <w:left w:val="single" w:color="auto" w:sz="8" w:space="0"/>
              <w:bottom w:val="single" w:color="auto" w:sz="2" w:space="0"/>
              <w:right w:val="single" w:color="auto" w:sz="8" w:space="0"/>
            </w:tcBorders>
            <w:vAlign w:val="center"/>
          </w:tcPr>
          <w:p w14:paraId="0510DB93">
            <w:pPr>
              <w:pStyle w:val="234"/>
              <w:widowControl w:val="0"/>
              <w:spacing w:after="0"/>
              <w:ind w:firstLine="0" w:firstLineChars="0"/>
              <w:jc w:val="left"/>
              <w:rPr>
                <w:rFonts w:hint="eastAsia" w:hAnsi="宋体"/>
                <w:sz w:val="18"/>
                <w:szCs w:val="18"/>
              </w:rPr>
            </w:pPr>
            <w:r>
              <w:rPr>
                <w:rFonts w:hint="eastAsia" w:hAnsi="宋体"/>
                <w:sz w:val="18"/>
                <w:szCs w:val="18"/>
              </w:rPr>
              <w:t>巡检人员签字：</w:t>
            </w:r>
          </w:p>
        </w:tc>
      </w:tr>
    </w:tbl>
    <w:p w14:paraId="0094278A">
      <w:pPr>
        <w:pStyle w:val="80"/>
        <w:numPr>
          <w:ilvl w:val="0"/>
          <w:numId w:val="0"/>
        </w:numPr>
        <w:spacing w:before="0" w:after="156" w:line="240" w:lineRule="auto"/>
        <w:sectPr>
          <w:pgSz w:w="11906" w:h="16838"/>
          <w:pgMar w:top="1928" w:right="1134" w:bottom="1134" w:left="1134" w:header="1418" w:footer="1134" w:gutter="284"/>
          <w:cols w:space="425" w:num="1"/>
          <w:formProt w:val="0"/>
          <w:docGrid w:type="lines" w:linePitch="312" w:charSpace="0"/>
        </w:sectPr>
      </w:pPr>
    </w:p>
    <w:p w14:paraId="6FD46896">
      <w:pPr>
        <w:pStyle w:val="80"/>
        <w:numPr>
          <w:ilvl w:val="0"/>
          <w:numId w:val="47"/>
        </w:numPr>
        <w:spacing w:before="0" w:after="156" w:line="240" w:lineRule="auto"/>
      </w:pPr>
      <w:r>
        <w:br w:type="textWrapping"/>
      </w:r>
      <w:bookmarkStart w:id="119" w:name="_Toc145357833"/>
      <w:bookmarkStart w:id="120" w:name="_Toc240896224"/>
      <w:r>
        <w:rPr>
          <w:rFonts w:hint="eastAsia"/>
        </w:rPr>
        <w:t>（资料性）</w:t>
      </w:r>
      <w:r>
        <w:br w:type="textWrapping"/>
      </w:r>
      <w:r>
        <w:rPr>
          <w:rFonts w:hint="eastAsia"/>
        </w:rPr>
        <w:t>取水计量监测站点故障处置记录表样式</w:t>
      </w:r>
      <w:bookmarkEnd w:id="119"/>
      <w:bookmarkEnd w:id="120"/>
    </w:p>
    <w:p w14:paraId="42BD48B0">
      <w:pPr>
        <w:pStyle w:val="60"/>
        <w:ind w:firstLine="420"/>
      </w:pPr>
      <w:r>
        <w:rPr>
          <w:rFonts w:hint="eastAsia"/>
        </w:rPr>
        <w:t>取水计量监测站点故障处置记录样式表见表D.</w:t>
      </w:r>
      <w:r>
        <w:t>1</w:t>
      </w:r>
      <w:r>
        <w:rPr>
          <w:rFonts w:hint="eastAsia"/>
        </w:rPr>
        <w:t>。</w:t>
      </w:r>
    </w:p>
    <w:p w14:paraId="729A6E10">
      <w:pPr>
        <w:pStyle w:val="81"/>
        <w:numPr>
          <w:ilvl w:val="1"/>
          <w:numId w:val="48"/>
        </w:numPr>
        <w:spacing w:before="156" w:after="156"/>
      </w:pPr>
      <w:bookmarkStart w:id="121" w:name="_Toc290827025"/>
      <w:bookmarkStart w:id="122" w:name="OLE_LINK1"/>
      <w:r>
        <w:rPr>
          <w:rFonts w:hint="eastAsia"/>
        </w:rPr>
        <w:t xml:space="preserve"> 取水计量监测站点故障处置记录表</w:t>
      </w:r>
      <w:bookmarkEnd w:id="121"/>
    </w:p>
    <w:bookmarkEnd w:id="122"/>
    <w:tbl>
      <w:tblPr>
        <w:tblStyle w:val="29"/>
        <w:tblW w:w="95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879"/>
        <w:gridCol w:w="695"/>
        <w:gridCol w:w="634"/>
        <w:gridCol w:w="938"/>
        <w:gridCol w:w="710"/>
        <w:gridCol w:w="1709"/>
        <w:gridCol w:w="1471"/>
        <w:gridCol w:w="1059"/>
        <w:gridCol w:w="785"/>
      </w:tblGrid>
      <w:tr w14:paraId="3A741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69" w:type="dxa"/>
            <w:gridSpan w:val="2"/>
            <w:tcBorders>
              <w:top w:val="single" w:color="auto" w:sz="8" w:space="0"/>
              <w:left w:val="single" w:color="auto" w:sz="8" w:space="0"/>
              <w:bottom w:val="single" w:color="auto" w:sz="4" w:space="0"/>
              <w:right w:val="single" w:color="auto" w:sz="4" w:space="0"/>
            </w:tcBorders>
            <w:vAlign w:val="center"/>
          </w:tcPr>
          <w:p w14:paraId="297D4BC2">
            <w:pPr>
              <w:pStyle w:val="234"/>
              <w:widowControl w:val="0"/>
              <w:spacing w:after="0"/>
              <w:ind w:firstLine="0" w:firstLineChars="0"/>
              <w:jc w:val="center"/>
              <w:rPr>
                <w:rFonts w:hint="eastAsia" w:hAnsi="宋体"/>
                <w:sz w:val="18"/>
                <w:szCs w:val="18"/>
              </w:rPr>
            </w:pPr>
            <w:r>
              <w:rPr>
                <w:rFonts w:hint="eastAsia" w:hAnsi="宋体"/>
                <w:sz w:val="18"/>
                <w:szCs w:val="18"/>
              </w:rPr>
              <w:t>取水计量监测站点名称</w:t>
            </w:r>
          </w:p>
        </w:tc>
        <w:tc>
          <w:tcPr>
            <w:tcW w:w="4686" w:type="dxa"/>
            <w:gridSpan w:val="5"/>
            <w:tcBorders>
              <w:top w:val="single" w:color="auto" w:sz="8" w:space="0"/>
              <w:left w:val="nil"/>
              <w:bottom w:val="single" w:color="auto" w:sz="4" w:space="0"/>
              <w:right w:val="single" w:color="auto" w:sz="4" w:space="0"/>
            </w:tcBorders>
            <w:vAlign w:val="center"/>
          </w:tcPr>
          <w:p w14:paraId="46D01357">
            <w:pPr>
              <w:pStyle w:val="234"/>
              <w:widowControl w:val="0"/>
              <w:spacing w:after="0"/>
              <w:ind w:firstLine="0" w:firstLineChars="0"/>
              <w:jc w:val="center"/>
              <w:rPr>
                <w:rFonts w:hint="eastAsia" w:hAnsi="宋体"/>
                <w:sz w:val="18"/>
                <w:szCs w:val="18"/>
              </w:rPr>
            </w:pPr>
          </w:p>
        </w:tc>
        <w:tc>
          <w:tcPr>
            <w:tcW w:w="1471" w:type="dxa"/>
            <w:tcBorders>
              <w:top w:val="single" w:color="auto" w:sz="8" w:space="0"/>
              <w:left w:val="nil"/>
              <w:bottom w:val="single" w:color="auto" w:sz="4" w:space="0"/>
              <w:right w:val="single" w:color="auto" w:sz="4" w:space="0"/>
            </w:tcBorders>
            <w:vAlign w:val="center"/>
          </w:tcPr>
          <w:p w14:paraId="3782BD7C">
            <w:pPr>
              <w:pStyle w:val="234"/>
              <w:widowControl w:val="0"/>
              <w:spacing w:after="0"/>
              <w:ind w:firstLine="0" w:firstLineChars="0"/>
              <w:jc w:val="center"/>
              <w:rPr>
                <w:rFonts w:hint="eastAsia" w:hAnsi="宋体"/>
                <w:sz w:val="18"/>
                <w:szCs w:val="18"/>
              </w:rPr>
            </w:pPr>
            <w:r>
              <w:rPr>
                <w:rFonts w:hint="eastAsia" w:hAnsi="宋体"/>
                <w:sz w:val="18"/>
                <w:szCs w:val="18"/>
              </w:rPr>
              <w:t>取水计量监测站点编码</w:t>
            </w:r>
          </w:p>
        </w:tc>
        <w:tc>
          <w:tcPr>
            <w:tcW w:w="1844" w:type="dxa"/>
            <w:gridSpan w:val="2"/>
            <w:tcBorders>
              <w:top w:val="single" w:color="auto" w:sz="8" w:space="0"/>
              <w:left w:val="nil"/>
              <w:bottom w:val="single" w:color="auto" w:sz="4" w:space="0"/>
              <w:right w:val="single" w:color="auto" w:sz="8" w:space="0"/>
            </w:tcBorders>
            <w:vAlign w:val="center"/>
          </w:tcPr>
          <w:p w14:paraId="2DABFF76">
            <w:pPr>
              <w:pStyle w:val="234"/>
              <w:widowControl w:val="0"/>
              <w:spacing w:after="0"/>
              <w:ind w:firstLine="0" w:firstLineChars="0"/>
              <w:jc w:val="center"/>
              <w:rPr>
                <w:rFonts w:hint="eastAsia" w:hAnsi="宋体"/>
                <w:sz w:val="18"/>
                <w:szCs w:val="18"/>
              </w:rPr>
            </w:pPr>
          </w:p>
        </w:tc>
      </w:tr>
      <w:tr w14:paraId="200BB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69" w:type="dxa"/>
            <w:gridSpan w:val="2"/>
            <w:tcBorders>
              <w:top w:val="single" w:color="auto" w:sz="4" w:space="0"/>
              <w:left w:val="single" w:color="auto" w:sz="8" w:space="0"/>
              <w:bottom w:val="single" w:color="auto" w:sz="4" w:space="0"/>
              <w:right w:val="single" w:color="auto" w:sz="4" w:space="0"/>
            </w:tcBorders>
            <w:vAlign w:val="center"/>
          </w:tcPr>
          <w:p w14:paraId="13480CC0">
            <w:pPr>
              <w:pStyle w:val="234"/>
              <w:widowControl w:val="0"/>
              <w:spacing w:after="0"/>
              <w:ind w:firstLine="0" w:firstLineChars="0"/>
              <w:jc w:val="center"/>
              <w:rPr>
                <w:rFonts w:hint="eastAsia" w:hAnsi="宋体"/>
                <w:sz w:val="18"/>
                <w:szCs w:val="18"/>
              </w:rPr>
            </w:pPr>
            <w:r>
              <w:rPr>
                <w:rFonts w:hint="eastAsia" w:hAnsi="宋体"/>
                <w:sz w:val="18"/>
                <w:szCs w:val="18"/>
              </w:rPr>
              <w:t>运维管理单位</w:t>
            </w:r>
          </w:p>
        </w:tc>
        <w:tc>
          <w:tcPr>
            <w:tcW w:w="8001" w:type="dxa"/>
            <w:gridSpan w:val="8"/>
            <w:tcBorders>
              <w:top w:val="single" w:color="auto" w:sz="4" w:space="0"/>
              <w:left w:val="nil"/>
              <w:bottom w:val="single" w:color="auto" w:sz="4" w:space="0"/>
              <w:right w:val="single" w:color="auto" w:sz="8" w:space="0"/>
            </w:tcBorders>
            <w:vAlign w:val="center"/>
          </w:tcPr>
          <w:p w14:paraId="6AF6FB18">
            <w:pPr>
              <w:pStyle w:val="234"/>
              <w:widowControl w:val="0"/>
              <w:spacing w:after="0"/>
              <w:ind w:firstLine="0" w:firstLineChars="0"/>
              <w:jc w:val="center"/>
              <w:rPr>
                <w:rFonts w:hint="eastAsia" w:hAnsi="宋体"/>
                <w:sz w:val="18"/>
                <w:szCs w:val="18"/>
              </w:rPr>
            </w:pPr>
          </w:p>
        </w:tc>
      </w:tr>
      <w:tr w14:paraId="73EA3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69" w:type="dxa"/>
            <w:gridSpan w:val="2"/>
            <w:tcBorders>
              <w:top w:val="single" w:color="auto" w:sz="4" w:space="0"/>
              <w:left w:val="single" w:color="auto" w:sz="8" w:space="0"/>
              <w:bottom w:val="single" w:color="auto" w:sz="4" w:space="0"/>
              <w:right w:val="single" w:color="auto" w:sz="4" w:space="0"/>
            </w:tcBorders>
            <w:vAlign w:val="center"/>
          </w:tcPr>
          <w:p w14:paraId="06D3EC44">
            <w:pPr>
              <w:pStyle w:val="234"/>
              <w:widowControl w:val="0"/>
              <w:spacing w:after="0"/>
              <w:ind w:firstLine="0" w:firstLineChars="0"/>
              <w:jc w:val="center"/>
              <w:rPr>
                <w:rFonts w:hint="eastAsia" w:hAnsi="宋体"/>
                <w:sz w:val="18"/>
                <w:szCs w:val="18"/>
              </w:rPr>
            </w:pPr>
            <w:r>
              <w:rPr>
                <w:rFonts w:hint="eastAsia" w:hAnsi="宋体"/>
                <w:sz w:val="18"/>
                <w:szCs w:val="18"/>
              </w:rPr>
              <w:t>故障申报人</w:t>
            </w:r>
          </w:p>
        </w:tc>
        <w:tc>
          <w:tcPr>
            <w:tcW w:w="1329" w:type="dxa"/>
            <w:gridSpan w:val="2"/>
            <w:tcBorders>
              <w:top w:val="single" w:color="auto" w:sz="4" w:space="0"/>
              <w:left w:val="nil"/>
              <w:bottom w:val="single" w:color="auto" w:sz="4" w:space="0"/>
              <w:right w:val="single" w:color="auto" w:sz="4" w:space="0"/>
            </w:tcBorders>
            <w:vAlign w:val="center"/>
          </w:tcPr>
          <w:p w14:paraId="0B1BB384">
            <w:pPr>
              <w:pStyle w:val="234"/>
              <w:widowControl w:val="0"/>
              <w:spacing w:after="0"/>
              <w:ind w:firstLine="0" w:firstLineChars="0"/>
              <w:jc w:val="center"/>
              <w:rPr>
                <w:rFonts w:hint="eastAsia" w:hAnsi="宋体"/>
                <w:sz w:val="18"/>
                <w:szCs w:val="18"/>
              </w:rPr>
            </w:pPr>
          </w:p>
        </w:tc>
        <w:tc>
          <w:tcPr>
            <w:tcW w:w="1648" w:type="dxa"/>
            <w:gridSpan w:val="2"/>
            <w:tcBorders>
              <w:top w:val="single" w:color="auto" w:sz="4" w:space="0"/>
              <w:left w:val="nil"/>
              <w:bottom w:val="single" w:color="auto" w:sz="4" w:space="0"/>
              <w:right w:val="single" w:color="auto" w:sz="4" w:space="0"/>
            </w:tcBorders>
            <w:vAlign w:val="center"/>
          </w:tcPr>
          <w:p w14:paraId="40C27504">
            <w:pPr>
              <w:pStyle w:val="234"/>
              <w:widowControl w:val="0"/>
              <w:spacing w:after="0"/>
              <w:ind w:firstLine="0" w:firstLineChars="0"/>
              <w:jc w:val="center"/>
              <w:rPr>
                <w:rFonts w:hint="eastAsia" w:hAnsi="宋体"/>
                <w:sz w:val="18"/>
                <w:szCs w:val="18"/>
              </w:rPr>
            </w:pPr>
            <w:r>
              <w:rPr>
                <w:rFonts w:hint="eastAsia" w:hAnsi="宋体"/>
                <w:sz w:val="18"/>
                <w:szCs w:val="18"/>
              </w:rPr>
              <w:t>申报人联系电话</w:t>
            </w:r>
          </w:p>
        </w:tc>
        <w:tc>
          <w:tcPr>
            <w:tcW w:w="1709" w:type="dxa"/>
            <w:tcBorders>
              <w:top w:val="single" w:color="auto" w:sz="4" w:space="0"/>
              <w:left w:val="nil"/>
              <w:bottom w:val="single" w:color="auto" w:sz="4" w:space="0"/>
              <w:right w:val="single" w:color="auto" w:sz="4" w:space="0"/>
            </w:tcBorders>
            <w:vAlign w:val="center"/>
          </w:tcPr>
          <w:p w14:paraId="7F0FFEC7">
            <w:pPr>
              <w:pStyle w:val="234"/>
              <w:widowControl w:val="0"/>
              <w:spacing w:after="0"/>
              <w:ind w:firstLine="0" w:firstLineChars="0"/>
              <w:jc w:val="center"/>
              <w:rPr>
                <w:rFonts w:hint="eastAsia" w:hAnsi="宋体"/>
                <w:sz w:val="18"/>
                <w:szCs w:val="18"/>
              </w:rPr>
            </w:pPr>
          </w:p>
        </w:tc>
        <w:tc>
          <w:tcPr>
            <w:tcW w:w="1471" w:type="dxa"/>
            <w:tcBorders>
              <w:top w:val="single" w:color="auto" w:sz="4" w:space="0"/>
              <w:left w:val="nil"/>
              <w:bottom w:val="single" w:color="auto" w:sz="4" w:space="0"/>
              <w:right w:val="single" w:color="auto" w:sz="4" w:space="0"/>
            </w:tcBorders>
            <w:vAlign w:val="center"/>
          </w:tcPr>
          <w:p w14:paraId="23AE20D0">
            <w:pPr>
              <w:pStyle w:val="234"/>
              <w:widowControl w:val="0"/>
              <w:spacing w:after="0"/>
              <w:ind w:firstLine="0" w:firstLineChars="0"/>
              <w:jc w:val="center"/>
              <w:rPr>
                <w:rFonts w:hint="eastAsia" w:hAnsi="宋体"/>
                <w:sz w:val="18"/>
                <w:szCs w:val="18"/>
              </w:rPr>
            </w:pPr>
            <w:r>
              <w:rPr>
                <w:rFonts w:hint="eastAsia" w:hAnsi="宋体"/>
                <w:sz w:val="18"/>
                <w:szCs w:val="18"/>
              </w:rPr>
              <w:t>故障申报时间</w:t>
            </w:r>
          </w:p>
        </w:tc>
        <w:tc>
          <w:tcPr>
            <w:tcW w:w="1844" w:type="dxa"/>
            <w:gridSpan w:val="2"/>
            <w:tcBorders>
              <w:top w:val="single" w:color="auto" w:sz="4" w:space="0"/>
              <w:left w:val="nil"/>
              <w:bottom w:val="single" w:color="auto" w:sz="4" w:space="0"/>
              <w:right w:val="single" w:color="auto" w:sz="8" w:space="0"/>
            </w:tcBorders>
            <w:vAlign w:val="center"/>
          </w:tcPr>
          <w:p w14:paraId="6A2DA39A">
            <w:pPr>
              <w:pStyle w:val="234"/>
              <w:widowControl w:val="0"/>
              <w:spacing w:after="0"/>
              <w:ind w:firstLine="0" w:firstLineChars="0"/>
              <w:jc w:val="center"/>
              <w:rPr>
                <w:rFonts w:hint="eastAsia" w:hAnsi="宋体"/>
                <w:sz w:val="18"/>
                <w:szCs w:val="18"/>
              </w:rPr>
            </w:pPr>
          </w:p>
        </w:tc>
      </w:tr>
      <w:tr w14:paraId="2081A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69" w:type="dxa"/>
            <w:gridSpan w:val="2"/>
            <w:tcBorders>
              <w:top w:val="single" w:color="auto" w:sz="4" w:space="0"/>
              <w:left w:val="single" w:color="auto" w:sz="8" w:space="0"/>
              <w:bottom w:val="single" w:color="auto" w:sz="4" w:space="0"/>
              <w:right w:val="single" w:color="auto" w:sz="4" w:space="0"/>
            </w:tcBorders>
            <w:vAlign w:val="center"/>
          </w:tcPr>
          <w:p w14:paraId="7B6F639A">
            <w:pPr>
              <w:pStyle w:val="234"/>
              <w:widowControl w:val="0"/>
              <w:spacing w:after="0"/>
              <w:ind w:firstLine="0" w:firstLineChars="0"/>
              <w:jc w:val="center"/>
              <w:rPr>
                <w:rFonts w:hint="eastAsia" w:hAnsi="宋体"/>
                <w:sz w:val="18"/>
                <w:szCs w:val="18"/>
              </w:rPr>
            </w:pPr>
            <w:r>
              <w:rPr>
                <w:rFonts w:hint="eastAsia" w:hAnsi="宋体"/>
                <w:sz w:val="18"/>
                <w:szCs w:val="18"/>
              </w:rPr>
              <w:t>故障受理人</w:t>
            </w:r>
          </w:p>
        </w:tc>
        <w:tc>
          <w:tcPr>
            <w:tcW w:w="1329" w:type="dxa"/>
            <w:gridSpan w:val="2"/>
            <w:tcBorders>
              <w:top w:val="single" w:color="auto" w:sz="4" w:space="0"/>
              <w:left w:val="nil"/>
              <w:bottom w:val="single" w:color="auto" w:sz="4" w:space="0"/>
              <w:right w:val="single" w:color="auto" w:sz="4" w:space="0"/>
            </w:tcBorders>
            <w:vAlign w:val="center"/>
          </w:tcPr>
          <w:p w14:paraId="7B4D17CF">
            <w:pPr>
              <w:pStyle w:val="234"/>
              <w:widowControl w:val="0"/>
              <w:spacing w:after="0"/>
              <w:ind w:firstLine="0" w:firstLineChars="0"/>
              <w:jc w:val="center"/>
              <w:rPr>
                <w:rFonts w:hint="eastAsia" w:hAnsi="宋体"/>
                <w:sz w:val="18"/>
                <w:szCs w:val="18"/>
              </w:rPr>
            </w:pPr>
          </w:p>
        </w:tc>
        <w:tc>
          <w:tcPr>
            <w:tcW w:w="1648" w:type="dxa"/>
            <w:gridSpan w:val="2"/>
            <w:tcBorders>
              <w:top w:val="single" w:color="auto" w:sz="4" w:space="0"/>
              <w:left w:val="nil"/>
              <w:bottom w:val="single" w:color="auto" w:sz="4" w:space="0"/>
              <w:right w:val="single" w:color="auto" w:sz="4" w:space="0"/>
            </w:tcBorders>
            <w:vAlign w:val="center"/>
          </w:tcPr>
          <w:p w14:paraId="57974C9F">
            <w:pPr>
              <w:pStyle w:val="234"/>
              <w:widowControl w:val="0"/>
              <w:spacing w:after="0"/>
              <w:ind w:firstLine="0" w:firstLineChars="0"/>
              <w:jc w:val="center"/>
              <w:rPr>
                <w:rFonts w:hint="eastAsia" w:hAnsi="宋体"/>
                <w:sz w:val="18"/>
                <w:szCs w:val="18"/>
              </w:rPr>
            </w:pPr>
            <w:r>
              <w:rPr>
                <w:rFonts w:hint="eastAsia" w:hAnsi="宋体"/>
                <w:sz w:val="18"/>
                <w:szCs w:val="18"/>
              </w:rPr>
              <w:t>受理人联系电话</w:t>
            </w:r>
          </w:p>
        </w:tc>
        <w:tc>
          <w:tcPr>
            <w:tcW w:w="1709" w:type="dxa"/>
            <w:tcBorders>
              <w:top w:val="single" w:color="auto" w:sz="4" w:space="0"/>
              <w:left w:val="nil"/>
              <w:bottom w:val="single" w:color="auto" w:sz="4" w:space="0"/>
              <w:right w:val="single" w:color="auto" w:sz="4" w:space="0"/>
            </w:tcBorders>
            <w:vAlign w:val="center"/>
          </w:tcPr>
          <w:p w14:paraId="6263434E">
            <w:pPr>
              <w:pStyle w:val="234"/>
              <w:widowControl w:val="0"/>
              <w:spacing w:after="0"/>
              <w:ind w:firstLine="0" w:firstLineChars="0"/>
              <w:jc w:val="center"/>
              <w:rPr>
                <w:rFonts w:hint="eastAsia" w:hAnsi="宋体"/>
                <w:sz w:val="18"/>
                <w:szCs w:val="18"/>
              </w:rPr>
            </w:pPr>
          </w:p>
        </w:tc>
        <w:tc>
          <w:tcPr>
            <w:tcW w:w="1471" w:type="dxa"/>
            <w:tcBorders>
              <w:top w:val="single" w:color="auto" w:sz="4" w:space="0"/>
              <w:left w:val="nil"/>
              <w:bottom w:val="single" w:color="auto" w:sz="4" w:space="0"/>
              <w:right w:val="single" w:color="auto" w:sz="4" w:space="0"/>
            </w:tcBorders>
            <w:vAlign w:val="center"/>
          </w:tcPr>
          <w:p w14:paraId="1519F57C">
            <w:pPr>
              <w:pStyle w:val="234"/>
              <w:widowControl w:val="0"/>
              <w:spacing w:after="0"/>
              <w:ind w:firstLine="0" w:firstLineChars="0"/>
              <w:jc w:val="center"/>
              <w:rPr>
                <w:rFonts w:hint="eastAsia" w:hAnsi="宋体"/>
                <w:sz w:val="18"/>
                <w:szCs w:val="18"/>
              </w:rPr>
            </w:pPr>
            <w:r>
              <w:rPr>
                <w:rFonts w:hint="eastAsia" w:hAnsi="宋体"/>
                <w:sz w:val="18"/>
                <w:szCs w:val="18"/>
              </w:rPr>
              <w:t>故障受理时间</w:t>
            </w:r>
          </w:p>
        </w:tc>
        <w:tc>
          <w:tcPr>
            <w:tcW w:w="1844" w:type="dxa"/>
            <w:gridSpan w:val="2"/>
            <w:tcBorders>
              <w:top w:val="single" w:color="auto" w:sz="4" w:space="0"/>
              <w:left w:val="nil"/>
              <w:bottom w:val="single" w:color="auto" w:sz="4" w:space="0"/>
              <w:right w:val="single" w:color="auto" w:sz="8" w:space="0"/>
            </w:tcBorders>
            <w:vAlign w:val="center"/>
          </w:tcPr>
          <w:p w14:paraId="1FEB49F9">
            <w:pPr>
              <w:pStyle w:val="234"/>
              <w:widowControl w:val="0"/>
              <w:spacing w:after="0"/>
              <w:ind w:firstLine="0" w:firstLineChars="0"/>
              <w:jc w:val="center"/>
              <w:rPr>
                <w:rFonts w:hint="eastAsia" w:hAnsi="宋体"/>
                <w:sz w:val="18"/>
                <w:szCs w:val="18"/>
              </w:rPr>
            </w:pPr>
          </w:p>
        </w:tc>
      </w:tr>
      <w:tr w14:paraId="05854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46" w:type="dxa"/>
            <w:gridSpan w:val="6"/>
            <w:tcBorders>
              <w:top w:val="single" w:color="auto" w:sz="4" w:space="0"/>
              <w:left w:val="single" w:color="auto" w:sz="8" w:space="0"/>
              <w:bottom w:val="single" w:color="auto" w:sz="4" w:space="0"/>
              <w:right w:val="single" w:color="auto" w:sz="4" w:space="0"/>
            </w:tcBorders>
            <w:vAlign w:val="center"/>
          </w:tcPr>
          <w:p w14:paraId="2979B06E">
            <w:pPr>
              <w:pStyle w:val="234"/>
              <w:widowControl w:val="0"/>
              <w:spacing w:after="0"/>
              <w:ind w:firstLine="0" w:firstLineChars="0"/>
              <w:jc w:val="center"/>
              <w:rPr>
                <w:rFonts w:hint="eastAsia" w:hAnsi="宋体"/>
                <w:sz w:val="18"/>
                <w:szCs w:val="18"/>
              </w:rPr>
            </w:pPr>
            <w:r>
              <w:rPr>
                <w:rFonts w:hint="eastAsia" w:hAnsi="宋体"/>
                <w:sz w:val="18"/>
                <w:szCs w:val="18"/>
              </w:rPr>
              <w:t>故障发生时的累积水量（m³）</w:t>
            </w:r>
          </w:p>
        </w:tc>
        <w:tc>
          <w:tcPr>
            <w:tcW w:w="5024" w:type="dxa"/>
            <w:gridSpan w:val="4"/>
            <w:tcBorders>
              <w:top w:val="single" w:color="auto" w:sz="4" w:space="0"/>
              <w:left w:val="nil"/>
              <w:bottom w:val="single" w:color="auto" w:sz="4" w:space="0"/>
              <w:right w:val="single" w:color="auto" w:sz="8" w:space="0"/>
            </w:tcBorders>
            <w:vAlign w:val="center"/>
          </w:tcPr>
          <w:p w14:paraId="3C723C6F">
            <w:pPr>
              <w:pStyle w:val="234"/>
              <w:widowControl w:val="0"/>
              <w:spacing w:after="0"/>
              <w:ind w:firstLine="0" w:firstLineChars="0"/>
              <w:jc w:val="center"/>
              <w:rPr>
                <w:rFonts w:hint="eastAsia" w:hAnsi="宋体"/>
                <w:sz w:val="18"/>
                <w:szCs w:val="18"/>
              </w:rPr>
            </w:pPr>
          </w:p>
        </w:tc>
      </w:tr>
      <w:tr w14:paraId="62D07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70" w:type="dxa"/>
            <w:gridSpan w:val="10"/>
            <w:tcBorders>
              <w:top w:val="single" w:color="auto" w:sz="4" w:space="0"/>
              <w:left w:val="single" w:color="auto" w:sz="8" w:space="0"/>
              <w:bottom w:val="single" w:color="auto" w:sz="4" w:space="0"/>
              <w:right w:val="single" w:color="auto" w:sz="8" w:space="0"/>
            </w:tcBorders>
            <w:vAlign w:val="center"/>
          </w:tcPr>
          <w:p w14:paraId="65A6FF7F">
            <w:pPr>
              <w:pStyle w:val="234"/>
              <w:widowControl w:val="0"/>
              <w:spacing w:after="0"/>
              <w:ind w:firstLine="0" w:firstLineChars="0"/>
              <w:jc w:val="left"/>
              <w:rPr>
                <w:rFonts w:hint="eastAsia" w:hAnsi="宋体"/>
                <w:sz w:val="18"/>
                <w:szCs w:val="18"/>
              </w:rPr>
            </w:pPr>
            <w:r>
              <w:rPr>
                <w:rFonts w:hint="eastAsia" w:hAnsi="宋体"/>
                <w:sz w:val="18"/>
                <w:szCs w:val="18"/>
              </w:rPr>
              <w:t>故障类型： □重大故障    □一般故障</w:t>
            </w:r>
          </w:p>
          <w:p w14:paraId="52A49742">
            <w:pPr>
              <w:pStyle w:val="234"/>
              <w:widowControl w:val="0"/>
              <w:spacing w:after="0"/>
              <w:ind w:firstLine="0" w:firstLineChars="0"/>
              <w:jc w:val="left"/>
              <w:rPr>
                <w:rFonts w:hint="eastAsia" w:hAnsi="宋体"/>
                <w:sz w:val="18"/>
                <w:szCs w:val="18"/>
              </w:rPr>
            </w:pPr>
            <w:r>
              <w:rPr>
                <w:rFonts w:hint="eastAsia" w:hAnsi="宋体"/>
                <w:sz w:val="18"/>
                <w:szCs w:val="18"/>
              </w:rPr>
              <w:t>故障描述：</w:t>
            </w:r>
          </w:p>
          <w:p w14:paraId="0F4B9CF1">
            <w:pPr>
              <w:pStyle w:val="234"/>
              <w:widowControl w:val="0"/>
              <w:spacing w:after="0"/>
              <w:ind w:firstLine="0" w:firstLineChars="0"/>
              <w:rPr>
                <w:rFonts w:hint="eastAsia" w:hAnsi="宋体"/>
                <w:sz w:val="18"/>
                <w:szCs w:val="18"/>
              </w:rPr>
            </w:pPr>
          </w:p>
        </w:tc>
      </w:tr>
      <w:tr w14:paraId="0EB66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69" w:type="dxa"/>
            <w:gridSpan w:val="2"/>
            <w:tcBorders>
              <w:top w:val="single" w:color="auto" w:sz="4" w:space="0"/>
              <w:left w:val="single" w:color="auto" w:sz="8" w:space="0"/>
              <w:bottom w:val="single" w:color="auto" w:sz="4" w:space="0"/>
              <w:right w:val="single" w:color="auto" w:sz="4" w:space="0"/>
            </w:tcBorders>
            <w:vAlign w:val="center"/>
          </w:tcPr>
          <w:p w14:paraId="721195F5">
            <w:pPr>
              <w:pStyle w:val="234"/>
              <w:widowControl w:val="0"/>
              <w:spacing w:after="0"/>
              <w:ind w:firstLine="0" w:firstLineChars="0"/>
              <w:jc w:val="center"/>
              <w:rPr>
                <w:rFonts w:hint="eastAsia" w:hAnsi="宋体"/>
                <w:sz w:val="18"/>
                <w:szCs w:val="18"/>
              </w:rPr>
            </w:pPr>
            <w:r>
              <w:rPr>
                <w:rFonts w:hint="eastAsia" w:hAnsi="宋体"/>
                <w:sz w:val="18"/>
                <w:szCs w:val="18"/>
              </w:rPr>
              <w:t>故障处置分配：</w:t>
            </w:r>
          </w:p>
        </w:tc>
        <w:tc>
          <w:tcPr>
            <w:tcW w:w="8001" w:type="dxa"/>
            <w:gridSpan w:val="8"/>
            <w:tcBorders>
              <w:top w:val="single" w:color="auto" w:sz="4" w:space="0"/>
              <w:left w:val="nil"/>
              <w:bottom w:val="single" w:color="auto" w:sz="4" w:space="0"/>
              <w:right w:val="single" w:color="auto" w:sz="8" w:space="0"/>
            </w:tcBorders>
            <w:vAlign w:val="center"/>
          </w:tcPr>
          <w:p w14:paraId="27B2BAD6">
            <w:pPr>
              <w:pStyle w:val="234"/>
              <w:widowControl w:val="0"/>
              <w:spacing w:after="0"/>
              <w:ind w:firstLine="0" w:firstLineChars="0"/>
              <w:jc w:val="center"/>
              <w:rPr>
                <w:rFonts w:hint="eastAsia" w:hAnsi="宋体"/>
                <w:sz w:val="18"/>
                <w:szCs w:val="18"/>
              </w:rPr>
            </w:pPr>
            <w:r>
              <w:rPr>
                <w:rFonts w:hint="eastAsia" w:hAnsi="宋体"/>
                <w:sz w:val="18"/>
                <w:szCs w:val="18"/>
              </w:rPr>
              <w:t xml:space="preserve">□远程技术支持    □现场故障处置   </w:t>
            </w:r>
          </w:p>
        </w:tc>
      </w:tr>
      <w:tr w14:paraId="66AF7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70" w:type="dxa"/>
            <w:gridSpan w:val="10"/>
            <w:tcBorders>
              <w:top w:val="single" w:color="auto" w:sz="4" w:space="0"/>
              <w:left w:val="single" w:color="auto" w:sz="8" w:space="0"/>
              <w:bottom w:val="single" w:color="auto" w:sz="4" w:space="0"/>
              <w:right w:val="single" w:color="auto" w:sz="8" w:space="0"/>
            </w:tcBorders>
            <w:vAlign w:val="center"/>
          </w:tcPr>
          <w:p w14:paraId="079B2A39">
            <w:pPr>
              <w:pStyle w:val="234"/>
              <w:widowControl w:val="0"/>
              <w:spacing w:after="0"/>
              <w:ind w:firstLine="0" w:firstLineChars="0"/>
              <w:jc w:val="left"/>
              <w:rPr>
                <w:rFonts w:hint="eastAsia" w:hAnsi="宋体"/>
                <w:sz w:val="18"/>
                <w:szCs w:val="18"/>
              </w:rPr>
            </w:pPr>
            <w:r>
              <w:rPr>
                <w:rFonts w:hint="eastAsia" w:hAnsi="宋体"/>
                <w:sz w:val="18"/>
                <w:szCs w:val="18"/>
              </w:rPr>
              <w:t>故障处置总时长（小时）：                          故障修复时间：</w:t>
            </w:r>
          </w:p>
        </w:tc>
      </w:tr>
      <w:tr w14:paraId="07C56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70" w:type="dxa"/>
            <w:gridSpan w:val="10"/>
            <w:tcBorders>
              <w:top w:val="single" w:color="auto" w:sz="4" w:space="0"/>
              <w:left w:val="single" w:color="auto" w:sz="8" w:space="0"/>
              <w:bottom w:val="single" w:color="auto" w:sz="4" w:space="0"/>
              <w:right w:val="single" w:color="auto" w:sz="8" w:space="0"/>
            </w:tcBorders>
            <w:vAlign w:val="center"/>
          </w:tcPr>
          <w:p w14:paraId="7476AC85">
            <w:pPr>
              <w:pStyle w:val="234"/>
              <w:widowControl w:val="0"/>
              <w:spacing w:after="0"/>
              <w:ind w:firstLine="0" w:firstLineChars="0"/>
              <w:jc w:val="left"/>
              <w:rPr>
                <w:rFonts w:hint="eastAsia" w:hAnsi="宋体"/>
                <w:sz w:val="18"/>
                <w:szCs w:val="18"/>
              </w:rPr>
            </w:pPr>
            <w:r>
              <w:rPr>
                <w:rFonts w:hint="eastAsia" w:hAnsi="宋体"/>
                <w:sz w:val="18"/>
                <w:szCs w:val="18"/>
              </w:rPr>
              <w:t>故障处置结果：□故障处理完成    □故障暂时解决    □等待观察    □故障未解决</w:t>
            </w:r>
          </w:p>
        </w:tc>
      </w:tr>
      <w:tr w14:paraId="32F07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70" w:type="dxa"/>
            <w:gridSpan w:val="10"/>
            <w:tcBorders>
              <w:top w:val="single" w:color="auto" w:sz="4" w:space="0"/>
              <w:left w:val="single" w:color="auto" w:sz="8" w:space="0"/>
              <w:bottom w:val="single" w:color="auto" w:sz="4" w:space="0"/>
              <w:right w:val="single" w:color="auto" w:sz="8" w:space="0"/>
            </w:tcBorders>
            <w:vAlign w:val="center"/>
          </w:tcPr>
          <w:p w14:paraId="3C1E3BDB">
            <w:pPr>
              <w:pStyle w:val="234"/>
              <w:widowControl w:val="0"/>
              <w:spacing w:after="0"/>
              <w:ind w:firstLine="0" w:firstLineChars="0"/>
              <w:jc w:val="left"/>
              <w:rPr>
                <w:rFonts w:hint="eastAsia" w:hAnsi="宋体"/>
                <w:sz w:val="18"/>
                <w:szCs w:val="18"/>
              </w:rPr>
            </w:pPr>
            <w:r>
              <w:rPr>
                <w:rFonts w:hint="eastAsia" w:hAnsi="宋体"/>
                <w:sz w:val="18"/>
                <w:szCs w:val="18"/>
              </w:rPr>
              <w:t>故障处理和分析：（故障处理人员填写）</w:t>
            </w:r>
          </w:p>
          <w:p w14:paraId="6EEB1AEB">
            <w:pPr>
              <w:pStyle w:val="234"/>
              <w:widowControl w:val="0"/>
              <w:spacing w:after="0"/>
              <w:ind w:firstLine="0" w:firstLineChars="0"/>
              <w:jc w:val="left"/>
              <w:rPr>
                <w:rFonts w:hint="eastAsia" w:hAnsi="宋体"/>
                <w:sz w:val="18"/>
                <w:szCs w:val="18"/>
              </w:rPr>
            </w:pPr>
          </w:p>
          <w:p w14:paraId="4C74ABD2">
            <w:pPr>
              <w:pStyle w:val="234"/>
              <w:widowControl w:val="0"/>
              <w:spacing w:after="0"/>
              <w:ind w:firstLine="0" w:firstLineChars="0"/>
              <w:jc w:val="left"/>
              <w:rPr>
                <w:rFonts w:hint="eastAsia" w:hAnsi="宋体"/>
                <w:sz w:val="18"/>
                <w:szCs w:val="18"/>
              </w:rPr>
            </w:pPr>
          </w:p>
        </w:tc>
      </w:tr>
      <w:tr w14:paraId="696B9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70" w:type="dxa"/>
            <w:gridSpan w:val="10"/>
            <w:tcBorders>
              <w:top w:val="single" w:color="auto" w:sz="4" w:space="0"/>
              <w:left w:val="single" w:color="auto" w:sz="8" w:space="0"/>
              <w:bottom w:val="single" w:color="auto" w:sz="4" w:space="0"/>
              <w:right w:val="single" w:color="auto" w:sz="8" w:space="0"/>
            </w:tcBorders>
            <w:vAlign w:val="center"/>
          </w:tcPr>
          <w:p w14:paraId="4E8F80E2">
            <w:pPr>
              <w:pStyle w:val="234"/>
              <w:widowControl w:val="0"/>
              <w:spacing w:after="0"/>
              <w:ind w:firstLine="0" w:firstLineChars="0"/>
              <w:jc w:val="left"/>
              <w:rPr>
                <w:rFonts w:hint="eastAsia" w:hAnsi="宋体"/>
                <w:sz w:val="18"/>
                <w:szCs w:val="18"/>
              </w:rPr>
            </w:pPr>
            <w:r>
              <w:rPr>
                <w:rFonts w:hint="eastAsia" w:hAnsi="宋体"/>
                <w:sz w:val="18"/>
                <w:szCs w:val="18"/>
              </w:rPr>
              <w:t>以下内容现场故障处置或备件更换时填写：</w:t>
            </w:r>
          </w:p>
          <w:p w14:paraId="09D271FC">
            <w:pPr>
              <w:pStyle w:val="234"/>
              <w:widowControl w:val="0"/>
              <w:spacing w:after="0"/>
              <w:ind w:firstLine="0" w:firstLineChars="0"/>
              <w:jc w:val="left"/>
              <w:rPr>
                <w:rFonts w:hint="eastAsia" w:hAnsi="宋体"/>
                <w:sz w:val="18"/>
                <w:szCs w:val="18"/>
              </w:rPr>
            </w:pPr>
            <w:r>
              <w:rPr>
                <w:rFonts w:hint="eastAsia" w:hAnsi="宋体"/>
                <w:sz w:val="18"/>
                <w:szCs w:val="18"/>
              </w:rPr>
              <w:t>故障部件：□取水计量设施（器具）    □遥测终端    □供电设施    □防护设施    □其他__________</w:t>
            </w:r>
          </w:p>
        </w:tc>
      </w:tr>
      <w:tr w14:paraId="65164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0" w:type="dxa"/>
            <w:vMerge w:val="restart"/>
            <w:tcBorders>
              <w:top w:val="nil"/>
              <w:left w:val="single" w:color="auto" w:sz="8" w:space="0"/>
              <w:bottom w:val="single" w:color="auto" w:sz="4" w:space="0"/>
              <w:right w:val="single" w:color="auto" w:sz="4" w:space="0"/>
            </w:tcBorders>
            <w:vAlign w:val="center"/>
          </w:tcPr>
          <w:p w14:paraId="5F388EE2">
            <w:pPr>
              <w:pStyle w:val="234"/>
              <w:widowControl w:val="0"/>
              <w:spacing w:after="0"/>
              <w:ind w:firstLine="0" w:firstLineChars="0"/>
              <w:jc w:val="center"/>
              <w:rPr>
                <w:rFonts w:hint="eastAsia" w:hAnsi="宋体"/>
                <w:sz w:val="18"/>
                <w:szCs w:val="18"/>
              </w:rPr>
            </w:pPr>
            <w:r>
              <w:rPr>
                <w:rFonts w:hint="eastAsia" w:hAnsi="宋体"/>
                <w:sz w:val="18"/>
                <w:szCs w:val="18"/>
              </w:rPr>
              <w:t>坏件</w:t>
            </w:r>
          </w:p>
          <w:p w14:paraId="17CE4B19">
            <w:pPr>
              <w:pStyle w:val="234"/>
              <w:widowControl w:val="0"/>
              <w:spacing w:after="0"/>
              <w:ind w:firstLine="0" w:firstLineChars="0"/>
              <w:jc w:val="center"/>
              <w:rPr>
                <w:rFonts w:hint="eastAsia" w:hAnsi="宋体"/>
                <w:sz w:val="18"/>
                <w:szCs w:val="18"/>
              </w:rPr>
            </w:pPr>
            <w:r>
              <w:rPr>
                <w:rFonts w:hint="eastAsia" w:hAnsi="宋体"/>
                <w:sz w:val="18"/>
                <w:szCs w:val="18"/>
              </w:rPr>
              <w:t>记录</w:t>
            </w:r>
          </w:p>
        </w:tc>
        <w:tc>
          <w:tcPr>
            <w:tcW w:w="1574" w:type="dxa"/>
            <w:gridSpan w:val="2"/>
            <w:tcBorders>
              <w:top w:val="single" w:color="auto" w:sz="4" w:space="0"/>
              <w:left w:val="nil"/>
              <w:bottom w:val="single" w:color="auto" w:sz="4" w:space="0"/>
              <w:right w:val="single" w:color="auto" w:sz="4" w:space="0"/>
            </w:tcBorders>
            <w:vAlign w:val="center"/>
          </w:tcPr>
          <w:p w14:paraId="6023AD23">
            <w:pPr>
              <w:pStyle w:val="234"/>
              <w:widowControl w:val="0"/>
              <w:spacing w:after="0"/>
              <w:ind w:firstLine="0" w:firstLineChars="0"/>
              <w:jc w:val="center"/>
              <w:rPr>
                <w:rFonts w:hint="eastAsia" w:hAnsi="宋体"/>
                <w:sz w:val="18"/>
                <w:szCs w:val="18"/>
              </w:rPr>
            </w:pPr>
            <w:r>
              <w:rPr>
                <w:rFonts w:hint="eastAsia" w:hAnsi="宋体"/>
                <w:sz w:val="18"/>
                <w:szCs w:val="18"/>
              </w:rPr>
              <w:t>设备名称</w:t>
            </w:r>
          </w:p>
        </w:tc>
        <w:tc>
          <w:tcPr>
            <w:tcW w:w="1572" w:type="dxa"/>
            <w:gridSpan w:val="2"/>
            <w:tcBorders>
              <w:top w:val="single" w:color="auto" w:sz="4" w:space="0"/>
              <w:left w:val="nil"/>
              <w:bottom w:val="single" w:color="auto" w:sz="4" w:space="0"/>
              <w:right w:val="single" w:color="auto" w:sz="4" w:space="0"/>
            </w:tcBorders>
            <w:vAlign w:val="center"/>
          </w:tcPr>
          <w:p w14:paraId="53B5F440">
            <w:pPr>
              <w:pStyle w:val="234"/>
              <w:widowControl w:val="0"/>
              <w:spacing w:after="0"/>
              <w:ind w:firstLine="0" w:firstLineChars="0"/>
              <w:jc w:val="center"/>
              <w:rPr>
                <w:rFonts w:hint="eastAsia" w:hAnsi="宋体"/>
                <w:sz w:val="18"/>
                <w:szCs w:val="18"/>
              </w:rPr>
            </w:pPr>
            <w:r>
              <w:rPr>
                <w:rFonts w:hint="eastAsia" w:hAnsi="宋体"/>
                <w:sz w:val="18"/>
                <w:szCs w:val="18"/>
              </w:rPr>
              <w:t>设备型号</w:t>
            </w:r>
          </w:p>
        </w:tc>
        <w:tc>
          <w:tcPr>
            <w:tcW w:w="710" w:type="dxa"/>
            <w:tcBorders>
              <w:top w:val="single" w:color="auto" w:sz="4" w:space="0"/>
              <w:left w:val="nil"/>
              <w:bottom w:val="single" w:color="auto" w:sz="4" w:space="0"/>
              <w:right w:val="single" w:color="auto" w:sz="4" w:space="0"/>
            </w:tcBorders>
            <w:vAlign w:val="center"/>
          </w:tcPr>
          <w:p w14:paraId="0668219B">
            <w:pPr>
              <w:pStyle w:val="234"/>
              <w:widowControl w:val="0"/>
              <w:spacing w:after="0"/>
              <w:ind w:firstLine="0" w:firstLineChars="0"/>
              <w:jc w:val="center"/>
              <w:rPr>
                <w:rFonts w:hint="eastAsia" w:hAnsi="宋体"/>
                <w:sz w:val="18"/>
                <w:szCs w:val="18"/>
              </w:rPr>
            </w:pPr>
            <w:r>
              <w:rPr>
                <w:rFonts w:hint="eastAsia" w:hAnsi="宋体"/>
                <w:sz w:val="18"/>
                <w:szCs w:val="18"/>
              </w:rPr>
              <w:t>数量</w:t>
            </w:r>
          </w:p>
        </w:tc>
        <w:tc>
          <w:tcPr>
            <w:tcW w:w="1709" w:type="dxa"/>
            <w:tcBorders>
              <w:top w:val="single" w:color="auto" w:sz="4" w:space="0"/>
              <w:left w:val="nil"/>
              <w:bottom w:val="single" w:color="auto" w:sz="4" w:space="0"/>
              <w:right w:val="single" w:color="auto" w:sz="4" w:space="0"/>
            </w:tcBorders>
            <w:vAlign w:val="center"/>
          </w:tcPr>
          <w:p w14:paraId="63DDEF6E">
            <w:pPr>
              <w:pStyle w:val="234"/>
              <w:widowControl w:val="0"/>
              <w:spacing w:after="0"/>
              <w:ind w:firstLine="0" w:firstLineChars="0"/>
              <w:jc w:val="center"/>
              <w:rPr>
                <w:rFonts w:hint="eastAsia" w:hAnsi="宋体"/>
                <w:sz w:val="18"/>
                <w:szCs w:val="18"/>
              </w:rPr>
            </w:pPr>
            <w:r>
              <w:rPr>
                <w:rFonts w:hint="eastAsia" w:hAnsi="宋体"/>
                <w:sz w:val="18"/>
                <w:szCs w:val="18"/>
              </w:rPr>
              <w:t>更换设备名称</w:t>
            </w:r>
          </w:p>
        </w:tc>
        <w:tc>
          <w:tcPr>
            <w:tcW w:w="2530" w:type="dxa"/>
            <w:gridSpan w:val="2"/>
            <w:tcBorders>
              <w:top w:val="single" w:color="auto" w:sz="4" w:space="0"/>
              <w:left w:val="nil"/>
              <w:bottom w:val="single" w:color="auto" w:sz="4" w:space="0"/>
              <w:right w:val="single" w:color="auto" w:sz="4" w:space="0"/>
            </w:tcBorders>
            <w:vAlign w:val="center"/>
          </w:tcPr>
          <w:p w14:paraId="54372AAC">
            <w:pPr>
              <w:pStyle w:val="234"/>
              <w:widowControl w:val="0"/>
              <w:spacing w:after="0"/>
              <w:ind w:firstLine="0" w:firstLineChars="0"/>
              <w:jc w:val="center"/>
              <w:rPr>
                <w:rFonts w:hint="eastAsia" w:hAnsi="宋体"/>
                <w:sz w:val="18"/>
                <w:szCs w:val="18"/>
              </w:rPr>
            </w:pPr>
            <w:r>
              <w:rPr>
                <w:rFonts w:hint="eastAsia" w:hAnsi="宋体"/>
                <w:sz w:val="18"/>
                <w:szCs w:val="18"/>
              </w:rPr>
              <w:t>更换设备型号</w:t>
            </w:r>
          </w:p>
        </w:tc>
        <w:tc>
          <w:tcPr>
            <w:tcW w:w="785" w:type="dxa"/>
            <w:tcBorders>
              <w:top w:val="single" w:color="auto" w:sz="4" w:space="0"/>
              <w:left w:val="nil"/>
              <w:bottom w:val="single" w:color="auto" w:sz="4" w:space="0"/>
              <w:right w:val="single" w:color="auto" w:sz="8" w:space="0"/>
            </w:tcBorders>
            <w:vAlign w:val="center"/>
          </w:tcPr>
          <w:p w14:paraId="636CEEE9">
            <w:pPr>
              <w:pStyle w:val="234"/>
              <w:widowControl w:val="0"/>
              <w:spacing w:after="0"/>
              <w:ind w:firstLine="0" w:firstLineChars="0"/>
              <w:jc w:val="center"/>
              <w:rPr>
                <w:rFonts w:hint="eastAsia" w:hAnsi="宋体"/>
                <w:sz w:val="18"/>
                <w:szCs w:val="18"/>
              </w:rPr>
            </w:pPr>
            <w:r>
              <w:rPr>
                <w:rFonts w:hint="eastAsia" w:hAnsi="宋体"/>
                <w:sz w:val="18"/>
                <w:szCs w:val="18"/>
              </w:rPr>
              <w:t>数量</w:t>
            </w:r>
          </w:p>
        </w:tc>
      </w:tr>
      <w:tr w14:paraId="625A2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0" w:type="dxa"/>
            <w:vMerge w:val="continue"/>
            <w:tcBorders>
              <w:top w:val="nil"/>
              <w:left w:val="single" w:color="auto" w:sz="8" w:space="0"/>
              <w:bottom w:val="single" w:color="auto" w:sz="4" w:space="0"/>
              <w:right w:val="single" w:color="auto" w:sz="4" w:space="0"/>
            </w:tcBorders>
            <w:vAlign w:val="center"/>
          </w:tcPr>
          <w:p w14:paraId="228C04AD">
            <w:pPr>
              <w:widowControl/>
              <w:adjustRightInd/>
              <w:spacing w:line="240" w:lineRule="auto"/>
              <w:jc w:val="left"/>
              <w:rPr>
                <w:rFonts w:hint="eastAsia" w:ascii="宋体" w:hAnsi="宋体"/>
                <w:sz w:val="18"/>
                <w:szCs w:val="18"/>
              </w:rPr>
            </w:pPr>
          </w:p>
        </w:tc>
        <w:tc>
          <w:tcPr>
            <w:tcW w:w="1574" w:type="dxa"/>
            <w:gridSpan w:val="2"/>
            <w:tcBorders>
              <w:top w:val="single" w:color="auto" w:sz="4" w:space="0"/>
              <w:left w:val="nil"/>
              <w:bottom w:val="single" w:color="auto" w:sz="4" w:space="0"/>
              <w:right w:val="single" w:color="auto" w:sz="4" w:space="0"/>
            </w:tcBorders>
            <w:vAlign w:val="center"/>
          </w:tcPr>
          <w:p w14:paraId="709C2149">
            <w:pPr>
              <w:pStyle w:val="234"/>
              <w:widowControl w:val="0"/>
              <w:spacing w:after="0"/>
              <w:ind w:firstLine="0" w:firstLineChars="0"/>
              <w:jc w:val="center"/>
              <w:rPr>
                <w:rFonts w:hint="eastAsia" w:hAnsi="宋体"/>
                <w:sz w:val="18"/>
                <w:szCs w:val="18"/>
              </w:rPr>
            </w:pPr>
          </w:p>
        </w:tc>
        <w:tc>
          <w:tcPr>
            <w:tcW w:w="1572" w:type="dxa"/>
            <w:gridSpan w:val="2"/>
            <w:tcBorders>
              <w:top w:val="single" w:color="auto" w:sz="4" w:space="0"/>
              <w:left w:val="nil"/>
              <w:bottom w:val="single" w:color="auto" w:sz="4" w:space="0"/>
              <w:right w:val="single" w:color="auto" w:sz="4" w:space="0"/>
            </w:tcBorders>
            <w:vAlign w:val="center"/>
          </w:tcPr>
          <w:p w14:paraId="30B5CF74">
            <w:pPr>
              <w:pStyle w:val="234"/>
              <w:widowControl w:val="0"/>
              <w:spacing w:after="0"/>
              <w:ind w:firstLine="0" w:firstLineChars="0"/>
              <w:jc w:val="center"/>
              <w:rPr>
                <w:rFonts w:hint="eastAsia" w:hAnsi="宋体"/>
                <w:sz w:val="18"/>
                <w:szCs w:val="18"/>
              </w:rPr>
            </w:pPr>
          </w:p>
        </w:tc>
        <w:tc>
          <w:tcPr>
            <w:tcW w:w="710" w:type="dxa"/>
            <w:tcBorders>
              <w:top w:val="single" w:color="auto" w:sz="4" w:space="0"/>
              <w:left w:val="nil"/>
              <w:bottom w:val="single" w:color="auto" w:sz="4" w:space="0"/>
              <w:right w:val="single" w:color="auto" w:sz="4" w:space="0"/>
            </w:tcBorders>
            <w:vAlign w:val="center"/>
          </w:tcPr>
          <w:p w14:paraId="49E45833">
            <w:pPr>
              <w:pStyle w:val="234"/>
              <w:widowControl w:val="0"/>
              <w:spacing w:after="0"/>
              <w:ind w:firstLine="0" w:firstLineChars="0"/>
              <w:jc w:val="center"/>
              <w:rPr>
                <w:rFonts w:hint="eastAsia" w:hAnsi="宋体"/>
                <w:sz w:val="18"/>
                <w:szCs w:val="18"/>
              </w:rPr>
            </w:pPr>
          </w:p>
        </w:tc>
        <w:tc>
          <w:tcPr>
            <w:tcW w:w="1709" w:type="dxa"/>
            <w:tcBorders>
              <w:top w:val="single" w:color="auto" w:sz="4" w:space="0"/>
              <w:left w:val="nil"/>
              <w:bottom w:val="single" w:color="auto" w:sz="4" w:space="0"/>
              <w:right w:val="single" w:color="auto" w:sz="4" w:space="0"/>
            </w:tcBorders>
            <w:vAlign w:val="center"/>
          </w:tcPr>
          <w:p w14:paraId="58188C2B">
            <w:pPr>
              <w:pStyle w:val="234"/>
              <w:widowControl w:val="0"/>
              <w:spacing w:after="0"/>
              <w:ind w:firstLine="0" w:firstLineChars="0"/>
              <w:jc w:val="center"/>
              <w:rPr>
                <w:rFonts w:hint="eastAsia" w:hAnsi="宋体"/>
                <w:sz w:val="18"/>
                <w:szCs w:val="18"/>
              </w:rPr>
            </w:pPr>
          </w:p>
        </w:tc>
        <w:tc>
          <w:tcPr>
            <w:tcW w:w="2530" w:type="dxa"/>
            <w:gridSpan w:val="2"/>
            <w:tcBorders>
              <w:top w:val="single" w:color="auto" w:sz="4" w:space="0"/>
              <w:left w:val="nil"/>
              <w:bottom w:val="single" w:color="auto" w:sz="4" w:space="0"/>
              <w:right w:val="single" w:color="auto" w:sz="4" w:space="0"/>
            </w:tcBorders>
            <w:vAlign w:val="center"/>
          </w:tcPr>
          <w:p w14:paraId="40C64030">
            <w:pPr>
              <w:pStyle w:val="234"/>
              <w:widowControl w:val="0"/>
              <w:spacing w:after="0"/>
              <w:ind w:firstLine="0" w:firstLineChars="0"/>
              <w:jc w:val="center"/>
              <w:rPr>
                <w:rFonts w:hint="eastAsia" w:hAnsi="宋体"/>
                <w:sz w:val="18"/>
                <w:szCs w:val="18"/>
              </w:rPr>
            </w:pPr>
          </w:p>
        </w:tc>
        <w:tc>
          <w:tcPr>
            <w:tcW w:w="785" w:type="dxa"/>
            <w:tcBorders>
              <w:top w:val="single" w:color="auto" w:sz="4" w:space="0"/>
              <w:left w:val="nil"/>
              <w:bottom w:val="single" w:color="auto" w:sz="4" w:space="0"/>
              <w:right w:val="single" w:color="auto" w:sz="8" w:space="0"/>
            </w:tcBorders>
            <w:vAlign w:val="center"/>
          </w:tcPr>
          <w:p w14:paraId="109940DD">
            <w:pPr>
              <w:pStyle w:val="234"/>
              <w:widowControl w:val="0"/>
              <w:spacing w:after="0"/>
              <w:ind w:firstLine="0" w:firstLineChars="0"/>
              <w:jc w:val="center"/>
              <w:rPr>
                <w:rFonts w:hint="eastAsia" w:hAnsi="宋体"/>
                <w:sz w:val="18"/>
                <w:szCs w:val="18"/>
              </w:rPr>
            </w:pPr>
          </w:p>
        </w:tc>
      </w:tr>
      <w:tr w14:paraId="54D3C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0" w:type="dxa"/>
            <w:vMerge w:val="continue"/>
            <w:tcBorders>
              <w:top w:val="nil"/>
              <w:left w:val="single" w:color="auto" w:sz="8" w:space="0"/>
              <w:bottom w:val="single" w:color="auto" w:sz="4" w:space="0"/>
              <w:right w:val="single" w:color="auto" w:sz="4" w:space="0"/>
            </w:tcBorders>
            <w:vAlign w:val="center"/>
          </w:tcPr>
          <w:p w14:paraId="378193D2">
            <w:pPr>
              <w:widowControl/>
              <w:adjustRightInd/>
              <w:spacing w:line="240" w:lineRule="auto"/>
              <w:jc w:val="left"/>
              <w:rPr>
                <w:rFonts w:hint="eastAsia" w:ascii="宋体" w:hAnsi="宋体"/>
                <w:sz w:val="18"/>
                <w:szCs w:val="18"/>
              </w:rPr>
            </w:pPr>
          </w:p>
        </w:tc>
        <w:tc>
          <w:tcPr>
            <w:tcW w:w="1574" w:type="dxa"/>
            <w:gridSpan w:val="2"/>
            <w:tcBorders>
              <w:top w:val="single" w:color="auto" w:sz="4" w:space="0"/>
              <w:left w:val="nil"/>
              <w:bottom w:val="single" w:color="auto" w:sz="4" w:space="0"/>
              <w:right w:val="single" w:color="auto" w:sz="4" w:space="0"/>
            </w:tcBorders>
            <w:vAlign w:val="center"/>
          </w:tcPr>
          <w:p w14:paraId="01109FCE">
            <w:pPr>
              <w:pStyle w:val="234"/>
              <w:widowControl w:val="0"/>
              <w:spacing w:after="0"/>
              <w:ind w:firstLine="0" w:firstLineChars="0"/>
              <w:jc w:val="center"/>
              <w:rPr>
                <w:rFonts w:hint="eastAsia" w:hAnsi="宋体"/>
                <w:sz w:val="18"/>
                <w:szCs w:val="18"/>
              </w:rPr>
            </w:pPr>
          </w:p>
        </w:tc>
        <w:tc>
          <w:tcPr>
            <w:tcW w:w="1572" w:type="dxa"/>
            <w:gridSpan w:val="2"/>
            <w:tcBorders>
              <w:top w:val="single" w:color="auto" w:sz="4" w:space="0"/>
              <w:left w:val="nil"/>
              <w:bottom w:val="single" w:color="auto" w:sz="4" w:space="0"/>
              <w:right w:val="single" w:color="auto" w:sz="4" w:space="0"/>
            </w:tcBorders>
            <w:vAlign w:val="center"/>
          </w:tcPr>
          <w:p w14:paraId="75CF645F">
            <w:pPr>
              <w:pStyle w:val="234"/>
              <w:widowControl w:val="0"/>
              <w:spacing w:after="0"/>
              <w:ind w:firstLine="0" w:firstLineChars="0"/>
              <w:jc w:val="center"/>
              <w:rPr>
                <w:rFonts w:hint="eastAsia" w:hAnsi="宋体"/>
                <w:sz w:val="18"/>
                <w:szCs w:val="18"/>
              </w:rPr>
            </w:pPr>
          </w:p>
        </w:tc>
        <w:tc>
          <w:tcPr>
            <w:tcW w:w="710" w:type="dxa"/>
            <w:tcBorders>
              <w:top w:val="single" w:color="auto" w:sz="4" w:space="0"/>
              <w:left w:val="nil"/>
              <w:bottom w:val="single" w:color="auto" w:sz="4" w:space="0"/>
              <w:right w:val="single" w:color="auto" w:sz="4" w:space="0"/>
            </w:tcBorders>
            <w:vAlign w:val="center"/>
          </w:tcPr>
          <w:p w14:paraId="304A75BE">
            <w:pPr>
              <w:pStyle w:val="234"/>
              <w:widowControl w:val="0"/>
              <w:spacing w:after="0"/>
              <w:ind w:firstLine="0" w:firstLineChars="0"/>
              <w:jc w:val="center"/>
              <w:rPr>
                <w:rFonts w:hint="eastAsia" w:hAnsi="宋体"/>
                <w:sz w:val="18"/>
                <w:szCs w:val="18"/>
              </w:rPr>
            </w:pPr>
          </w:p>
        </w:tc>
        <w:tc>
          <w:tcPr>
            <w:tcW w:w="1709" w:type="dxa"/>
            <w:tcBorders>
              <w:top w:val="single" w:color="auto" w:sz="4" w:space="0"/>
              <w:left w:val="nil"/>
              <w:bottom w:val="single" w:color="auto" w:sz="4" w:space="0"/>
              <w:right w:val="single" w:color="auto" w:sz="4" w:space="0"/>
            </w:tcBorders>
            <w:vAlign w:val="center"/>
          </w:tcPr>
          <w:p w14:paraId="3393C853">
            <w:pPr>
              <w:pStyle w:val="234"/>
              <w:widowControl w:val="0"/>
              <w:spacing w:after="0"/>
              <w:ind w:firstLine="0" w:firstLineChars="0"/>
              <w:jc w:val="center"/>
              <w:rPr>
                <w:rFonts w:hint="eastAsia" w:hAnsi="宋体"/>
                <w:sz w:val="18"/>
                <w:szCs w:val="18"/>
              </w:rPr>
            </w:pPr>
          </w:p>
        </w:tc>
        <w:tc>
          <w:tcPr>
            <w:tcW w:w="2530" w:type="dxa"/>
            <w:gridSpan w:val="2"/>
            <w:tcBorders>
              <w:top w:val="single" w:color="auto" w:sz="4" w:space="0"/>
              <w:left w:val="nil"/>
              <w:bottom w:val="single" w:color="auto" w:sz="4" w:space="0"/>
              <w:right w:val="single" w:color="auto" w:sz="4" w:space="0"/>
            </w:tcBorders>
            <w:vAlign w:val="center"/>
          </w:tcPr>
          <w:p w14:paraId="4778EAE0">
            <w:pPr>
              <w:pStyle w:val="234"/>
              <w:widowControl w:val="0"/>
              <w:spacing w:after="0"/>
              <w:ind w:firstLine="0" w:firstLineChars="0"/>
              <w:jc w:val="center"/>
              <w:rPr>
                <w:rFonts w:hint="eastAsia" w:hAnsi="宋体"/>
                <w:sz w:val="18"/>
                <w:szCs w:val="18"/>
              </w:rPr>
            </w:pPr>
          </w:p>
        </w:tc>
        <w:tc>
          <w:tcPr>
            <w:tcW w:w="785" w:type="dxa"/>
            <w:tcBorders>
              <w:top w:val="single" w:color="auto" w:sz="4" w:space="0"/>
              <w:left w:val="nil"/>
              <w:bottom w:val="single" w:color="auto" w:sz="4" w:space="0"/>
              <w:right w:val="single" w:color="auto" w:sz="8" w:space="0"/>
            </w:tcBorders>
            <w:vAlign w:val="center"/>
          </w:tcPr>
          <w:p w14:paraId="04D75B3C">
            <w:pPr>
              <w:pStyle w:val="234"/>
              <w:widowControl w:val="0"/>
              <w:spacing w:after="0"/>
              <w:ind w:firstLine="0" w:firstLineChars="0"/>
              <w:jc w:val="center"/>
              <w:rPr>
                <w:rFonts w:hint="eastAsia" w:hAnsi="宋体"/>
                <w:sz w:val="18"/>
                <w:szCs w:val="18"/>
              </w:rPr>
            </w:pPr>
          </w:p>
        </w:tc>
      </w:tr>
      <w:tr w14:paraId="364D3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0" w:type="dxa"/>
            <w:vMerge w:val="continue"/>
            <w:tcBorders>
              <w:top w:val="nil"/>
              <w:left w:val="single" w:color="auto" w:sz="8" w:space="0"/>
              <w:bottom w:val="single" w:color="auto" w:sz="4" w:space="0"/>
              <w:right w:val="single" w:color="auto" w:sz="4" w:space="0"/>
            </w:tcBorders>
            <w:vAlign w:val="center"/>
          </w:tcPr>
          <w:p w14:paraId="5BA0A24C">
            <w:pPr>
              <w:widowControl/>
              <w:adjustRightInd/>
              <w:spacing w:line="240" w:lineRule="auto"/>
              <w:jc w:val="left"/>
              <w:rPr>
                <w:rFonts w:hint="eastAsia" w:ascii="宋体" w:hAnsi="宋体"/>
                <w:sz w:val="18"/>
                <w:szCs w:val="18"/>
              </w:rPr>
            </w:pPr>
          </w:p>
        </w:tc>
        <w:tc>
          <w:tcPr>
            <w:tcW w:w="1574" w:type="dxa"/>
            <w:gridSpan w:val="2"/>
            <w:tcBorders>
              <w:top w:val="single" w:color="auto" w:sz="4" w:space="0"/>
              <w:left w:val="nil"/>
              <w:bottom w:val="single" w:color="auto" w:sz="4" w:space="0"/>
              <w:right w:val="single" w:color="auto" w:sz="4" w:space="0"/>
            </w:tcBorders>
            <w:vAlign w:val="center"/>
          </w:tcPr>
          <w:p w14:paraId="3C7F2503">
            <w:pPr>
              <w:pStyle w:val="234"/>
              <w:widowControl w:val="0"/>
              <w:spacing w:after="0"/>
              <w:ind w:firstLine="0" w:firstLineChars="0"/>
              <w:jc w:val="center"/>
              <w:rPr>
                <w:rFonts w:hint="eastAsia" w:hAnsi="宋体"/>
                <w:sz w:val="18"/>
                <w:szCs w:val="18"/>
              </w:rPr>
            </w:pPr>
          </w:p>
        </w:tc>
        <w:tc>
          <w:tcPr>
            <w:tcW w:w="1572" w:type="dxa"/>
            <w:gridSpan w:val="2"/>
            <w:tcBorders>
              <w:top w:val="single" w:color="auto" w:sz="4" w:space="0"/>
              <w:left w:val="nil"/>
              <w:bottom w:val="single" w:color="auto" w:sz="4" w:space="0"/>
              <w:right w:val="single" w:color="auto" w:sz="4" w:space="0"/>
            </w:tcBorders>
            <w:vAlign w:val="center"/>
          </w:tcPr>
          <w:p w14:paraId="74BBB10A">
            <w:pPr>
              <w:pStyle w:val="234"/>
              <w:widowControl w:val="0"/>
              <w:spacing w:after="0"/>
              <w:ind w:firstLine="0" w:firstLineChars="0"/>
              <w:jc w:val="center"/>
              <w:rPr>
                <w:rFonts w:hint="eastAsia" w:hAnsi="宋体"/>
                <w:sz w:val="18"/>
                <w:szCs w:val="18"/>
              </w:rPr>
            </w:pPr>
          </w:p>
        </w:tc>
        <w:tc>
          <w:tcPr>
            <w:tcW w:w="710" w:type="dxa"/>
            <w:tcBorders>
              <w:top w:val="single" w:color="auto" w:sz="4" w:space="0"/>
              <w:left w:val="nil"/>
              <w:bottom w:val="single" w:color="auto" w:sz="4" w:space="0"/>
              <w:right w:val="single" w:color="auto" w:sz="4" w:space="0"/>
            </w:tcBorders>
            <w:vAlign w:val="center"/>
          </w:tcPr>
          <w:p w14:paraId="5F83BB60">
            <w:pPr>
              <w:pStyle w:val="234"/>
              <w:widowControl w:val="0"/>
              <w:spacing w:after="0"/>
              <w:ind w:firstLine="0" w:firstLineChars="0"/>
              <w:jc w:val="center"/>
              <w:rPr>
                <w:rFonts w:hint="eastAsia" w:hAnsi="宋体"/>
                <w:sz w:val="18"/>
                <w:szCs w:val="18"/>
              </w:rPr>
            </w:pPr>
          </w:p>
        </w:tc>
        <w:tc>
          <w:tcPr>
            <w:tcW w:w="1709" w:type="dxa"/>
            <w:tcBorders>
              <w:top w:val="single" w:color="auto" w:sz="4" w:space="0"/>
              <w:left w:val="nil"/>
              <w:bottom w:val="single" w:color="auto" w:sz="4" w:space="0"/>
              <w:right w:val="single" w:color="auto" w:sz="4" w:space="0"/>
            </w:tcBorders>
            <w:vAlign w:val="center"/>
          </w:tcPr>
          <w:p w14:paraId="5BB83DB2">
            <w:pPr>
              <w:pStyle w:val="234"/>
              <w:widowControl w:val="0"/>
              <w:spacing w:after="0"/>
              <w:ind w:firstLine="0" w:firstLineChars="0"/>
              <w:jc w:val="center"/>
              <w:rPr>
                <w:rFonts w:hint="eastAsia" w:hAnsi="宋体"/>
                <w:sz w:val="18"/>
                <w:szCs w:val="18"/>
              </w:rPr>
            </w:pPr>
          </w:p>
        </w:tc>
        <w:tc>
          <w:tcPr>
            <w:tcW w:w="2530" w:type="dxa"/>
            <w:gridSpan w:val="2"/>
            <w:tcBorders>
              <w:top w:val="single" w:color="auto" w:sz="4" w:space="0"/>
              <w:left w:val="nil"/>
              <w:bottom w:val="single" w:color="auto" w:sz="4" w:space="0"/>
              <w:right w:val="single" w:color="auto" w:sz="4" w:space="0"/>
            </w:tcBorders>
            <w:vAlign w:val="center"/>
          </w:tcPr>
          <w:p w14:paraId="4623BE1D">
            <w:pPr>
              <w:pStyle w:val="234"/>
              <w:widowControl w:val="0"/>
              <w:spacing w:after="0"/>
              <w:ind w:firstLine="0" w:firstLineChars="0"/>
              <w:jc w:val="center"/>
              <w:rPr>
                <w:rFonts w:hint="eastAsia" w:hAnsi="宋体"/>
                <w:sz w:val="18"/>
                <w:szCs w:val="18"/>
              </w:rPr>
            </w:pPr>
          </w:p>
        </w:tc>
        <w:tc>
          <w:tcPr>
            <w:tcW w:w="785" w:type="dxa"/>
            <w:tcBorders>
              <w:top w:val="single" w:color="auto" w:sz="4" w:space="0"/>
              <w:left w:val="nil"/>
              <w:bottom w:val="single" w:color="auto" w:sz="4" w:space="0"/>
              <w:right w:val="single" w:color="auto" w:sz="8" w:space="0"/>
            </w:tcBorders>
            <w:vAlign w:val="center"/>
          </w:tcPr>
          <w:p w14:paraId="64414051">
            <w:pPr>
              <w:pStyle w:val="234"/>
              <w:widowControl w:val="0"/>
              <w:spacing w:after="0"/>
              <w:ind w:firstLine="0" w:firstLineChars="0"/>
              <w:jc w:val="center"/>
              <w:rPr>
                <w:rFonts w:hint="eastAsia" w:hAnsi="宋体"/>
                <w:sz w:val="18"/>
                <w:szCs w:val="18"/>
              </w:rPr>
            </w:pPr>
          </w:p>
        </w:tc>
      </w:tr>
      <w:tr w14:paraId="38296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46" w:type="dxa"/>
            <w:gridSpan w:val="6"/>
            <w:tcBorders>
              <w:top w:val="single" w:color="auto" w:sz="4" w:space="0"/>
              <w:left w:val="single" w:color="auto" w:sz="8" w:space="0"/>
              <w:bottom w:val="single" w:color="auto" w:sz="8" w:space="0"/>
              <w:right w:val="single" w:color="auto" w:sz="4" w:space="0"/>
            </w:tcBorders>
            <w:vAlign w:val="center"/>
          </w:tcPr>
          <w:p w14:paraId="4C7088A9">
            <w:pPr>
              <w:pStyle w:val="234"/>
              <w:widowControl w:val="0"/>
              <w:spacing w:after="0"/>
              <w:ind w:firstLine="0" w:firstLineChars="0"/>
              <w:rPr>
                <w:rFonts w:hint="eastAsia" w:hAnsi="宋体"/>
                <w:sz w:val="18"/>
                <w:szCs w:val="18"/>
              </w:rPr>
            </w:pPr>
            <w:r>
              <w:rPr>
                <w:rFonts w:hint="eastAsia" w:hAnsi="宋体"/>
                <w:sz w:val="18"/>
                <w:szCs w:val="18"/>
              </w:rPr>
              <w:t>故障受理人签字：</w:t>
            </w:r>
          </w:p>
          <w:p w14:paraId="14378AF9">
            <w:pPr>
              <w:pStyle w:val="234"/>
              <w:widowControl w:val="0"/>
              <w:spacing w:after="0"/>
              <w:ind w:firstLine="0" w:firstLineChars="0"/>
              <w:rPr>
                <w:rFonts w:hint="eastAsia" w:hAnsi="宋体"/>
                <w:sz w:val="18"/>
                <w:szCs w:val="18"/>
              </w:rPr>
            </w:pPr>
          </w:p>
          <w:p w14:paraId="31DB2230">
            <w:pPr>
              <w:pStyle w:val="234"/>
              <w:widowControl w:val="0"/>
              <w:spacing w:after="0"/>
              <w:ind w:firstLine="0" w:firstLineChars="0"/>
              <w:rPr>
                <w:rFonts w:hint="eastAsia" w:hAnsi="宋体"/>
                <w:sz w:val="18"/>
                <w:szCs w:val="18"/>
              </w:rPr>
            </w:pPr>
          </w:p>
          <w:p w14:paraId="3EBB59F6">
            <w:pPr>
              <w:pStyle w:val="234"/>
              <w:widowControl w:val="0"/>
              <w:spacing w:after="0"/>
              <w:ind w:firstLine="0" w:firstLineChars="0"/>
              <w:jc w:val="center"/>
              <w:rPr>
                <w:rFonts w:hint="eastAsia" w:hAnsi="宋体"/>
                <w:sz w:val="18"/>
                <w:szCs w:val="18"/>
              </w:rPr>
            </w:pPr>
            <w:r>
              <w:rPr>
                <w:rFonts w:hint="eastAsia" w:hAnsi="宋体"/>
                <w:sz w:val="18"/>
                <w:szCs w:val="18"/>
              </w:rPr>
              <w:t xml:space="preserve">              日期：</w:t>
            </w:r>
          </w:p>
        </w:tc>
        <w:tc>
          <w:tcPr>
            <w:tcW w:w="5024" w:type="dxa"/>
            <w:gridSpan w:val="4"/>
            <w:tcBorders>
              <w:top w:val="single" w:color="auto" w:sz="4" w:space="0"/>
              <w:left w:val="nil"/>
              <w:bottom w:val="single" w:color="auto" w:sz="8" w:space="0"/>
              <w:right w:val="single" w:color="auto" w:sz="8" w:space="0"/>
            </w:tcBorders>
            <w:vAlign w:val="center"/>
          </w:tcPr>
          <w:p w14:paraId="347719FE">
            <w:pPr>
              <w:pStyle w:val="234"/>
              <w:widowControl w:val="0"/>
              <w:spacing w:after="0"/>
              <w:ind w:firstLine="0" w:firstLineChars="0"/>
              <w:rPr>
                <w:rFonts w:hint="eastAsia" w:hAnsi="宋体"/>
                <w:sz w:val="18"/>
                <w:szCs w:val="18"/>
              </w:rPr>
            </w:pPr>
            <w:r>
              <w:rPr>
                <w:rFonts w:hint="eastAsia" w:hAnsi="宋体"/>
                <w:sz w:val="18"/>
                <w:szCs w:val="18"/>
              </w:rPr>
              <w:t>运维管理单位盖章：</w:t>
            </w:r>
          </w:p>
          <w:p w14:paraId="582D0721">
            <w:pPr>
              <w:pStyle w:val="234"/>
              <w:widowControl w:val="0"/>
              <w:spacing w:after="0"/>
              <w:ind w:firstLine="0" w:firstLineChars="0"/>
              <w:rPr>
                <w:rFonts w:hint="eastAsia" w:hAnsi="宋体"/>
                <w:sz w:val="18"/>
                <w:szCs w:val="18"/>
              </w:rPr>
            </w:pPr>
          </w:p>
          <w:p w14:paraId="52775F5E">
            <w:pPr>
              <w:pStyle w:val="234"/>
              <w:widowControl w:val="0"/>
              <w:spacing w:after="0"/>
              <w:ind w:firstLine="0" w:firstLineChars="0"/>
              <w:rPr>
                <w:rFonts w:hint="eastAsia" w:hAnsi="宋体"/>
                <w:sz w:val="18"/>
                <w:szCs w:val="18"/>
              </w:rPr>
            </w:pPr>
          </w:p>
          <w:p w14:paraId="489285F2">
            <w:pPr>
              <w:pStyle w:val="234"/>
              <w:widowControl w:val="0"/>
              <w:spacing w:after="0"/>
              <w:ind w:firstLine="0" w:firstLineChars="0"/>
              <w:jc w:val="center"/>
              <w:rPr>
                <w:rFonts w:hint="eastAsia" w:hAnsi="宋体"/>
                <w:sz w:val="18"/>
                <w:szCs w:val="18"/>
              </w:rPr>
            </w:pPr>
            <w:r>
              <w:rPr>
                <w:rFonts w:hint="eastAsia" w:hAnsi="宋体"/>
                <w:sz w:val="18"/>
                <w:szCs w:val="18"/>
              </w:rPr>
              <w:t xml:space="preserve">              日期：</w:t>
            </w:r>
          </w:p>
        </w:tc>
      </w:tr>
    </w:tbl>
    <w:p w14:paraId="270F44DC">
      <w:r>
        <w:rPr>
          <w:rFonts w:hint="eastAsia"/>
        </w:rPr>
        <w:br w:type="page"/>
      </w:r>
    </w:p>
    <w:p w14:paraId="04B7BD59">
      <w:pPr>
        <w:pStyle w:val="80"/>
        <w:spacing w:before="0" w:after="156" w:line="240" w:lineRule="auto"/>
        <w:sectPr>
          <w:pgSz w:w="11906" w:h="16838"/>
          <w:pgMar w:top="1928" w:right="1134" w:bottom="1134" w:left="1134" w:header="1418" w:footer="1134" w:gutter="284"/>
          <w:cols w:space="425" w:num="1"/>
          <w:formProt w:val="0"/>
          <w:docGrid w:type="lines" w:linePitch="312" w:charSpace="0"/>
        </w:sectPr>
      </w:pPr>
      <w:bookmarkStart w:id="123" w:name="BookMark6"/>
      <w:bookmarkStart w:id="124" w:name="_Toc145357835"/>
    </w:p>
    <w:p w14:paraId="0F333621">
      <w:pPr>
        <w:pStyle w:val="80"/>
        <w:numPr>
          <w:ilvl w:val="0"/>
          <w:numId w:val="47"/>
        </w:numPr>
        <w:spacing w:before="0" w:after="156" w:line="240" w:lineRule="auto"/>
      </w:pPr>
      <w:r>
        <w:br w:type="textWrapping"/>
      </w:r>
      <w:bookmarkStart w:id="125" w:name="_Toc240896225"/>
      <w:r>
        <w:rPr>
          <w:rFonts w:hint="eastAsia"/>
        </w:rPr>
        <w:t>（资料性）</w:t>
      </w:r>
      <w:r>
        <w:br w:type="textWrapping"/>
      </w:r>
      <w:r>
        <w:rPr>
          <w:rFonts w:hint="eastAsia"/>
        </w:rPr>
        <w:t>系统平台故障处置记录表样式</w:t>
      </w:r>
      <w:bookmarkEnd w:id="125"/>
    </w:p>
    <w:p w14:paraId="3AB03634">
      <w:pPr>
        <w:pStyle w:val="60"/>
        <w:ind w:firstLine="420"/>
      </w:pPr>
      <w:r>
        <w:rPr>
          <w:rFonts w:hint="eastAsia"/>
        </w:rPr>
        <w:t>系统平台故障处置记录样式表见表E.</w:t>
      </w:r>
      <w:r>
        <w:t>1</w:t>
      </w:r>
      <w:r>
        <w:rPr>
          <w:rFonts w:hint="eastAsia"/>
        </w:rPr>
        <w:t>。</w:t>
      </w:r>
    </w:p>
    <w:p w14:paraId="3666265E">
      <w:pPr>
        <w:pStyle w:val="81"/>
        <w:numPr>
          <w:ilvl w:val="1"/>
          <w:numId w:val="49"/>
        </w:numPr>
        <w:spacing w:before="156" w:after="156"/>
      </w:pPr>
      <w:r>
        <w:rPr>
          <w:rFonts w:hint="eastAsia"/>
        </w:rPr>
        <w:t xml:space="preserve"> 系统平台故障处置记录表</w:t>
      </w:r>
    </w:p>
    <w:tbl>
      <w:tblPr>
        <w:tblStyle w:val="29"/>
        <w:tblW w:w="95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9"/>
        <w:gridCol w:w="1329"/>
        <w:gridCol w:w="1628"/>
        <w:gridCol w:w="1729"/>
        <w:gridCol w:w="1471"/>
        <w:gridCol w:w="1844"/>
      </w:tblGrid>
      <w:tr w14:paraId="539AD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69" w:type="dxa"/>
            <w:tcBorders>
              <w:top w:val="single" w:color="auto" w:sz="8" w:space="0"/>
              <w:left w:val="single" w:color="auto" w:sz="8" w:space="0"/>
              <w:bottom w:val="single" w:color="auto" w:sz="4" w:space="0"/>
              <w:right w:val="single" w:color="auto" w:sz="4" w:space="0"/>
            </w:tcBorders>
            <w:vAlign w:val="center"/>
          </w:tcPr>
          <w:p w14:paraId="762229A8">
            <w:pPr>
              <w:pStyle w:val="234"/>
              <w:widowControl w:val="0"/>
              <w:spacing w:after="0"/>
              <w:ind w:firstLine="0" w:firstLineChars="0"/>
              <w:jc w:val="center"/>
              <w:rPr>
                <w:rFonts w:hint="eastAsia" w:hAnsi="宋体"/>
                <w:sz w:val="18"/>
                <w:szCs w:val="18"/>
              </w:rPr>
            </w:pPr>
            <w:r>
              <w:rPr>
                <w:rFonts w:hint="eastAsia" w:hAnsi="宋体"/>
                <w:sz w:val="18"/>
                <w:szCs w:val="18"/>
              </w:rPr>
              <w:t>运维管理单位</w:t>
            </w:r>
          </w:p>
        </w:tc>
        <w:tc>
          <w:tcPr>
            <w:tcW w:w="2957" w:type="dxa"/>
            <w:gridSpan w:val="2"/>
            <w:tcBorders>
              <w:top w:val="single" w:color="auto" w:sz="8" w:space="0"/>
              <w:left w:val="nil"/>
              <w:bottom w:val="single" w:color="auto" w:sz="4" w:space="0"/>
              <w:right w:val="single" w:color="auto" w:sz="4" w:space="0"/>
            </w:tcBorders>
            <w:vAlign w:val="center"/>
          </w:tcPr>
          <w:p w14:paraId="619CB8C5">
            <w:pPr>
              <w:pStyle w:val="234"/>
              <w:widowControl w:val="0"/>
              <w:spacing w:after="0"/>
              <w:ind w:firstLine="0" w:firstLineChars="0"/>
              <w:jc w:val="center"/>
              <w:rPr>
                <w:rFonts w:hint="eastAsia" w:hAnsi="宋体"/>
                <w:sz w:val="18"/>
                <w:szCs w:val="18"/>
              </w:rPr>
            </w:pPr>
          </w:p>
        </w:tc>
        <w:tc>
          <w:tcPr>
            <w:tcW w:w="1729" w:type="dxa"/>
            <w:tcBorders>
              <w:top w:val="single" w:color="auto" w:sz="8" w:space="0"/>
              <w:left w:val="nil"/>
              <w:bottom w:val="single" w:color="auto" w:sz="4" w:space="0"/>
              <w:right w:val="single" w:color="auto" w:sz="4" w:space="0"/>
            </w:tcBorders>
            <w:vAlign w:val="center"/>
          </w:tcPr>
          <w:p w14:paraId="17A5110A">
            <w:pPr>
              <w:pStyle w:val="234"/>
              <w:widowControl w:val="0"/>
              <w:spacing w:after="0"/>
              <w:ind w:firstLine="0" w:firstLineChars="0"/>
              <w:jc w:val="center"/>
              <w:rPr>
                <w:rFonts w:hint="eastAsia" w:hAnsi="宋体"/>
                <w:sz w:val="18"/>
                <w:szCs w:val="18"/>
              </w:rPr>
            </w:pPr>
            <w:r>
              <w:rPr>
                <w:rFonts w:hint="eastAsia" w:hAnsi="宋体"/>
                <w:sz w:val="18"/>
                <w:szCs w:val="18"/>
              </w:rPr>
              <w:t>系统平台名称</w:t>
            </w:r>
          </w:p>
        </w:tc>
        <w:tc>
          <w:tcPr>
            <w:tcW w:w="3315" w:type="dxa"/>
            <w:gridSpan w:val="2"/>
            <w:tcBorders>
              <w:top w:val="single" w:color="auto" w:sz="8" w:space="0"/>
              <w:left w:val="nil"/>
              <w:bottom w:val="single" w:color="auto" w:sz="4" w:space="0"/>
              <w:right w:val="single" w:color="auto" w:sz="8" w:space="0"/>
            </w:tcBorders>
            <w:vAlign w:val="center"/>
          </w:tcPr>
          <w:p w14:paraId="27466B9B">
            <w:pPr>
              <w:pStyle w:val="234"/>
              <w:widowControl w:val="0"/>
              <w:spacing w:after="0"/>
              <w:ind w:firstLine="0" w:firstLineChars="0"/>
              <w:jc w:val="center"/>
              <w:rPr>
                <w:rFonts w:hint="eastAsia" w:hAnsi="宋体"/>
                <w:sz w:val="18"/>
                <w:szCs w:val="18"/>
              </w:rPr>
            </w:pPr>
          </w:p>
        </w:tc>
      </w:tr>
      <w:tr w14:paraId="0B1AA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69" w:type="dxa"/>
            <w:tcBorders>
              <w:top w:val="single" w:color="auto" w:sz="4" w:space="0"/>
              <w:left w:val="single" w:color="auto" w:sz="8" w:space="0"/>
              <w:bottom w:val="single" w:color="auto" w:sz="4" w:space="0"/>
              <w:right w:val="single" w:color="auto" w:sz="4" w:space="0"/>
            </w:tcBorders>
            <w:vAlign w:val="center"/>
          </w:tcPr>
          <w:p w14:paraId="772D2FFA">
            <w:pPr>
              <w:pStyle w:val="234"/>
              <w:widowControl w:val="0"/>
              <w:spacing w:after="0"/>
              <w:ind w:firstLine="0" w:firstLineChars="0"/>
              <w:jc w:val="center"/>
              <w:rPr>
                <w:rFonts w:hint="eastAsia" w:hAnsi="宋体"/>
                <w:sz w:val="18"/>
                <w:szCs w:val="18"/>
              </w:rPr>
            </w:pPr>
            <w:r>
              <w:rPr>
                <w:rFonts w:hint="eastAsia" w:hAnsi="宋体"/>
                <w:sz w:val="18"/>
                <w:szCs w:val="18"/>
              </w:rPr>
              <w:t>故障申报人</w:t>
            </w:r>
          </w:p>
        </w:tc>
        <w:tc>
          <w:tcPr>
            <w:tcW w:w="1329" w:type="dxa"/>
            <w:tcBorders>
              <w:top w:val="single" w:color="auto" w:sz="4" w:space="0"/>
              <w:left w:val="nil"/>
              <w:bottom w:val="single" w:color="auto" w:sz="4" w:space="0"/>
              <w:right w:val="single" w:color="auto" w:sz="4" w:space="0"/>
            </w:tcBorders>
            <w:vAlign w:val="center"/>
          </w:tcPr>
          <w:p w14:paraId="1B968F6C">
            <w:pPr>
              <w:pStyle w:val="234"/>
              <w:widowControl w:val="0"/>
              <w:spacing w:after="0"/>
              <w:ind w:firstLine="0" w:firstLineChars="0"/>
              <w:jc w:val="center"/>
              <w:rPr>
                <w:rFonts w:hint="eastAsia" w:hAnsi="宋体"/>
                <w:sz w:val="18"/>
                <w:szCs w:val="18"/>
              </w:rPr>
            </w:pPr>
          </w:p>
        </w:tc>
        <w:tc>
          <w:tcPr>
            <w:tcW w:w="1628" w:type="dxa"/>
            <w:tcBorders>
              <w:top w:val="single" w:color="auto" w:sz="4" w:space="0"/>
              <w:left w:val="nil"/>
              <w:bottom w:val="single" w:color="auto" w:sz="4" w:space="0"/>
              <w:right w:val="single" w:color="auto" w:sz="4" w:space="0"/>
            </w:tcBorders>
            <w:vAlign w:val="center"/>
          </w:tcPr>
          <w:p w14:paraId="7A08D09D">
            <w:pPr>
              <w:pStyle w:val="234"/>
              <w:widowControl w:val="0"/>
              <w:spacing w:after="0"/>
              <w:ind w:firstLine="0" w:firstLineChars="0"/>
              <w:jc w:val="center"/>
              <w:rPr>
                <w:rFonts w:hint="eastAsia" w:hAnsi="宋体"/>
                <w:sz w:val="18"/>
                <w:szCs w:val="18"/>
              </w:rPr>
            </w:pPr>
            <w:r>
              <w:rPr>
                <w:rFonts w:hint="eastAsia" w:hAnsi="宋体"/>
                <w:sz w:val="18"/>
                <w:szCs w:val="18"/>
              </w:rPr>
              <w:t>申报人联系电话</w:t>
            </w:r>
          </w:p>
        </w:tc>
        <w:tc>
          <w:tcPr>
            <w:tcW w:w="1729" w:type="dxa"/>
            <w:tcBorders>
              <w:top w:val="single" w:color="auto" w:sz="4" w:space="0"/>
              <w:left w:val="nil"/>
              <w:bottom w:val="single" w:color="auto" w:sz="4" w:space="0"/>
              <w:right w:val="single" w:color="auto" w:sz="4" w:space="0"/>
            </w:tcBorders>
            <w:vAlign w:val="center"/>
          </w:tcPr>
          <w:p w14:paraId="3F380195">
            <w:pPr>
              <w:pStyle w:val="234"/>
              <w:widowControl w:val="0"/>
              <w:spacing w:after="0"/>
              <w:ind w:firstLine="0" w:firstLineChars="0"/>
              <w:jc w:val="center"/>
              <w:rPr>
                <w:rFonts w:hint="eastAsia" w:hAnsi="宋体"/>
                <w:sz w:val="18"/>
                <w:szCs w:val="18"/>
              </w:rPr>
            </w:pPr>
          </w:p>
        </w:tc>
        <w:tc>
          <w:tcPr>
            <w:tcW w:w="1471" w:type="dxa"/>
            <w:tcBorders>
              <w:top w:val="single" w:color="auto" w:sz="4" w:space="0"/>
              <w:left w:val="nil"/>
              <w:bottom w:val="single" w:color="auto" w:sz="4" w:space="0"/>
              <w:right w:val="single" w:color="auto" w:sz="4" w:space="0"/>
            </w:tcBorders>
            <w:vAlign w:val="center"/>
          </w:tcPr>
          <w:p w14:paraId="62A1965B">
            <w:pPr>
              <w:pStyle w:val="234"/>
              <w:widowControl w:val="0"/>
              <w:spacing w:after="0"/>
              <w:ind w:firstLine="0" w:firstLineChars="0"/>
              <w:jc w:val="center"/>
              <w:rPr>
                <w:rFonts w:hint="eastAsia" w:hAnsi="宋体"/>
                <w:sz w:val="18"/>
                <w:szCs w:val="18"/>
              </w:rPr>
            </w:pPr>
            <w:r>
              <w:rPr>
                <w:rFonts w:hint="eastAsia" w:hAnsi="宋体"/>
                <w:sz w:val="18"/>
                <w:szCs w:val="18"/>
              </w:rPr>
              <w:t>故障申报时间</w:t>
            </w:r>
          </w:p>
        </w:tc>
        <w:tc>
          <w:tcPr>
            <w:tcW w:w="1844" w:type="dxa"/>
            <w:tcBorders>
              <w:top w:val="single" w:color="auto" w:sz="4" w:space="0"/>
              <w:left w:val="nil"/>
              <w:bottom w:val="single" w:color="auto" w:sz="4" w:space="0"/>
              <w:right w:val="single" w:color="auto" w:sz="8" w:space="0"/>
            </w:tcBorders>
            <w:vAlign w:val="center"/>
          </w:tcPr>
          <w:p w14:paraId="6C120A1B">
            <w:pPr>
              <w:pStyle w:val="234"/>
              <w:widowControl w:val="0"/>
              <w:spacing w:after="0"/>
              <w:ind w:firstLine="0" w:firstLineChars="0"/>
              <w:jc w:val="center"/>
              <w:rPr>
                <w:rFonts w:hint="eastAsia" w:hAnsi="宋体"/>
                <w:sz w:val="18"/>
                <w:szCs w:val="18"/>
              </w:rPr>
            </w:pPr>
          </w:p>
        </w:tc>
      </w:tr>
      <w:tr w14:paraId="71C37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69" w:type="dxa"/>
            <w:tcBorders>
              <w:top w:val="single" w:color="auto" w:sz="4" w:space="0"/>
              <w:left w:val="single" w:color="auto" w:sz="8" w:space="0"/>
              <w:bottom w:val="single" w:color="auto" w:sz="4" w:space="0"/>
              <w:right w:val="single" w:color="auto" w:sz="4" w:space="0"/>
            </w:tcBorders>
            <w:vAlign w:val="center"/>
          </w:tcPr>
          <w:p w14:paraId="179E5158">
            <w:pPr>
              <w:pStyle w:val="234"/>
              <w:widowControl w:val="0"/>
              <w:spacing w:after="0"/>
              <w:ind w:firstLine="0" w:firstLineChars="0"/>
              <w:jc w:val="center"/>
              <w:rPr>
                <w:rFonts w:hint="eastAsia" w:hAnsi="宋体"/>
                <w:sz w:val="18"/>
                <w:szCs w:val="18"/>
              </w:rPr>
            </w:pPr>
            <w:r>
              <w:rPr>
                <w:rFonts w:hint="eastAsia" w:hAnsi="宋体"/>
                <w:sz w:val="18"/>
                <w:szCs w:val="18"/>
              </w:rPr>
              <w:t>故障受理人</w:t>
            </w:r>
          </w:p>
        </w:tc>
        <w:tc>
          <w:tcPr>
            <w:tcW w:w="1329" w:type="dxa"/>
            <w:tcBorders>
              <w:top w:val="single" w:color="auto" w:sz="4" w:space="0"/>
              <w:left w:val="nil"/>
              <w:bottom w:val="single" w:color="auto" w:sz="4" w:space="0"/>
              <w:right w:val="single" w:color="auto" w:sz="4" w:space="0"/>
            </w:tcBorders>
            <w:vAlign w:val="center"/>
          </w:tcPr>
          <w:p w14:paraId="2FA34B20">
            <w:pPr>
              <w:pStyle w:val="234"/>
              <w:widowControl w:val="0"/>
              <w:spacing w:after="0"/>
              <w:ind w:firstLine="0" w:firstLineChars="0"/>
              <w:jc w:val="center"/>
              <w:rPr>
                <w:rFonts w:hint="eastAsia" w:hAnsi="宋体"/>
                <w:sz w:val="18"/>
                <w:szCs w:val="18"/>
              </w:rPr>
            </w:pPr>
          </w:p>
        </w:tc>
        <w:tc>
          <w:tcPr>
            <w:tcW w:w="1628" w:type="dxa"/>
            <w:tcBorders>
              <w:top w:val="single" w:color="auto" w:sz="4" w:space="0"/>
              <w:left w:val="nil"/>
              <w:bottom w:val="single" w:color="auto" w:sz="4" w:space="0"/>
              <w:right w:val="single" w:color="auto" w:sz="4" w:space="0"/>
            </w:tcBorders>
            <w:vAlign w:val="center"/>
          </w:tcPr>
          <w:p w14:paraId="2685E045">
            <w:pPr>
              <w:pStyle w:val="234"/>
              <w:widowControl w:val="0"/>
              <w:spacing w:after="0"/>
              <w:ind w:firstLine="0" w:firstLineChars="0"/>
              <w:jc w:val="center"/>
              <w:rPr>
                <w:rFonts w:hint="eastAsia" w:hAnsi="宋体"/>
                <w:sz w:val="18"/>
                <w:szCs w:val="18"/>
              </w:rPr>
            </w:pPr>
            <w:r>
              <w:rPr>
                <w:rFonts w:hint="eastAsia" w:hAnsi="宋体"/>
                <w:sz w:val="18"/>
                <w:szCs w:val="18"/>
              </w:rPr>
              <w:t>受理人联系电话</w:t>
            </w:r>
          </w:p>
        </w:tc>
        <w:tc>
          <w:tcPr>
            <w:tcW w:w="1729" w:type="dxa"/>
            <w:tcBorders>
              <w:top w:val="single" w:color="auto" w:sz="4" w:space="0"/>
              <w:left w:val="nil"/>
              <w:bottom w:val="single" w:color="auto" w:sz="4" w:space="0"/>
              <w:right w:val="single" w:color="auto" w:sz="4" w:space="0"/>
            </w:tcBorders>
            <w:vAlign w:val="center"/>
          </w:tcPr>
          <w:p w14:paraId="78F98224">
            <w:pPr>
              <w:pStyle w:val="234"/>
              <w:widowControl w:val="0"/>
              <w:spacing w:after="0"/>
              <w:ind w:firstLine="0" w:firstLineChars="0"/>
              <w:jc w:val="center"/>
              <w:rPr>
                <w:rFonts w:hint="eastAsia" w:hAnsi="宋体"/>
                <w:sz w:val="18"/>
                <w:szCs w:val="18"/>
              </w:rPr>
            </w:pPr>
          </w:p>
        </w:tc>
        <w:tc>
          <w:tcPr>
            <w:tcW w:w="1471" w:type="dxa"/>
            <w:tcBorders>
              <w:top w:val="single" w:color="auto" w:sz="4" w:space="0"/>
              <w:left w:val="nil"/>
              <w:bottom w:val="single" w:color="auto" w:sz="4" w:space="0"/>
              <w:right w:val="single" w:color="auto" w:sz="4" w:space="0"/>
            </w:tcBorders>
            <w:vAlign w:val="center"/>
          </w:tcPr>
          <w:p w14:paraId="17029F6F">
            <w:pPr>
              <w:pStyle w:val="234"/>
              <w:widowControl w:val="0"/>
              <w:spacing w:after="0"/>
              <w:ind w:firstLine="0" w:firstLineChars="0"/>
              <w:jc w:val="center"/>
              <w:rPr>
                <w:rFonts w:hint="eastAsia" w:hAnsi="宋体"/>
                <w:sz w:val="18"/>
                <w:szCs w:val="18"/>
              </w:rPr>
            </w:pPr>
            <w:r>
              <w:rPr>
                <w:rFonts w:hint="eastAsia" w:hAnsi="宋体"/>
                <w:sz w:val="18"/>
                <w:szCs w:val="18"/>
              </w:rPr>
              <w:t>故障受理时间</w:t>
            </w:r>
          </w:p>
        </w:tc>
        <w:tc>
          <w:tcPr>
            <w:tcW w:w="1844" w:type="dxa"/>
            <w:tcBorders>
              <w:top w:val="single" w:color="auto" w:sz="4" w:space="0"/>
              <w:left w:val="nil"/>
              <w:bottom w:val="single" w:color="auto" w:sz="4" w:space="0"/>
              <w:right w:val="single" w:color="auto" w:sz="8" w:space="0"/>
            </w:tcBorders>
            <w:vAlign w:val="center"/>
          </w:tcPr>
          <w:p w14:paraId="5AAB1EA5">
            <w:pPr>
              <w:pStyle w:val="234"/>
              <w:widowControl w:val="0"/>
              <w:spacing w:after="0"/>
              <w:ind w:firstLine="0" w:firstLineChars="0"/>
              <w:jc w:val="center"/>
              <w:rPr>
                <w:rFonts w:hint="eastAsia" w:hAnsi="宋体"/>
                <w:sz w:val="18"/>
                <w:szCs w:val="18"/>
              </w:rPr>
            </w:pPr>
          </w:p>
        </w:tc>
      </w:tr>
      <w:tr w14:paraId="3A228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6" w:type="dxa"/>
            <w:gridSpan w:val="3"/>
            <w:tcBorders>
              <w:top w:val="single" w:color="auto" w:sz="4" w:space="0"/>
              <w:left w:val="single" w:color="auto" w:sz="8" w:space="0"/>
              <w:bottom w:val="single" w:color="auto" w:sz="4" w:space="0"/>
              <w:right w:val="single" w:color="auto" w:sz="4" w:space="0"/>
            </w:tcBorders>
            <w:vAlign w:val="center"/>
          </w:tcPr>
          <w:p w14:paraId="72E1A24D">
            <w:pPr>
              <w:pStyle w:val="234"/>
              <w:widowControl w:val="0"/>
              <w:spacing w:after="0"/>
              <w:ind w:firstLine="0" w:firstLineChars="0"/>
              <w:jc w:val="center"/>
              <w:rPr>
                <w:rFonts w:hint="eastAsia" w:hAnsi="宋体"/>
                <w:sz w:val="18"/>
                <w:szCs w:val="18"/>
              </w:rPr>
            </w:pPr>
            <w:r>
              <w:rPr>
                <w:rFonts w:hint="eastAsia" w:hAnsi="宋体"/>
                <w:sz w:val="18"/>
                <w:szCs w:val="18"/>
              </w:rPr>
              <w:t>故障发生时的累积水量（m³）</w:t>
            </w:r>
          </w:p>
        </w:tc>
        <w:tc>
          <w:tcPr>
            <w:tcW w:w="5044" w:type="dxa"/>
            <w:gridSpan w:val="3"/>
            <w:tcBorders>
              <w:top w:val="single" w:color="auto" w:sz="4" w:space="0"/>
              <w:left w:val="nil"/>
              <w:bottom w:val="single" w:color="auto" w:sz="4" w:space="0"/>
              <w:right w:val="single" w:color="auto" w:sz="8" w:space="0"/>
            </w:tcBorders>
            <w:vAlign w:val="center"/>
          </w:tcPr>
          <w:p w14:paraId="551C4F7E">
            <w:pPr>
              <w:pStyle w:val="234"/>
              <w:widowControl w:val="0"/>
              <w:spacing w:after="0"/>
              <w:ind w:firstLine="0" w:firstLineChars="0"/>
              <w:jc w:val="center"/>
              <w:rPr>
                <w:rFonts w:hint="eastAsia" w:hAnsi="宋体"/>
                <w:sz w:val="18"/>
                <w:szCs w:val="18"/>
              </w:rPr>
            </w:pPr>
          </w:p>
        </w:tc>
      </w:tr>
      <w:tr w14:paraId="7E2C7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70" w:type="dxa"/>
            <w:gridSpan w:val="6"/>
            <w:tcBorders>
              <w:top w:val="single" w:color="auto" w:sz="4" w:space="0"/>
              <w:left w:val="single" w:color="auto" w:sz="8" w:space="0"/>
              <w:bottom w:val="single" w:color="auto" w:sz="4" w:space="0"/>
              <w:right w:val="single" w:color="auto" w:sz="8" w:space="0"/>
            </w:tcBorders>
            <w:vAlign w:val="center"/>
          </w:tcPr>
          <w:p w14:paraId="59C02341">
            <w:pPr>
              <w:pStyle w:val="234"/>
              <w:widowControl w:val="0"/>
              <w:spacing w:after="0"/>
              <w:ind w:firstLine="0" w:firstLineChars="0"/>
              <w:jc w:val="left"/>
              <w:rPr>
                <w:rFonts w:hint="eastAsia" w:hAnsi="宋体"/>
                <w:sz w:val="18"/>
                <w:szCs w:val="18"/>
              </w:rPr>
            </w:pPr>
            <w:r>
              <w:rPr>
                <w:rFonts w:hint="eastAsia" w:hAnsi="宋体"/>
                <w:sz w:val="18"/>
                <w:szCs w:val="18"/>
              </w:rPr>
              <w:t>故障类型： □重大故障    □一般故障</w:t>
            </w:r>
          </w:p>
          <w:p w14:paraId="3B154A68">
            <w:pPr>
              <w:pStyle w:val="234"/>
              <w:widowControl w:val="0"/>
              <w:spacing w:after="0"/>
              <w:ind w:firstLine="0" w:firstLineChars="0"/>
              <w:jc w:val="left"/>
              <w:rPr>
                <w:rFonts w:hint="eastAsia" w:hAnsi="宋体"/>
                <w:sz w:val="18"/>
                <w:szCs w:val="18"/>
              </w:rPr>
            </w:pPr>
            <w:r>
              <w:rPr>
                <w:rFonts w:hint="eastAsia" w:hAnsi="宋体"/>
                <w:sz w:val="18"/>
                <w:szCs w:val="18"/>
              </w:rPr>
              <w:t>故障描述：</w:t>
            </w:r>
          </w:p>
          <w:p w14:paraId="3AD450CC">
            <w:pPr>
              <w:pStyle w:val="234"/>
              <w:widowControl w:val="0"/>
              <w:spacing w:after="0"/>
              <w:ind w:firstLine="0" w:firstLineChars="0"/>
              <w:rPr>
                <w:rFonts w:hint="eastAsia" w:hAnsi="宋体"/>
                <w:sz w:val="18"/>
                <w:szCs w:val="18"/>
              </w:rPr>
            </w:pPr>
          </w:p>
        </w:tc>
      </w:tr>
      <w:tr w14:paraId="36FE6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69" w:type="dxa"/>
            <w:tcBorders>
              <w:top w:val="single" w:color="auto" w:sz="4" w:space="0"/>
              <w:left w:val="single" w:color="auto" w:sz="8" w:space="0"/>
              <w:bottom w:val="single" w:color="auto" w:sz="4" w:space="0"/>
              <w:right w:val="single" w:color="auto" w:sz="4" w:space="0"/>
            </w:tcBorders>
            <w:vAlign w:val="center"/>
          </w:tcPr>
          <w:p w14:paraId="0A6578EC">
            <w:pPr>
              <w:pStyle w:val="234"/>
              <w:widowControl w:val="0"/>
              <w:spacing w:after="0"/>
              <w:ind w:firstLine="0" w:firstLineChars="0"/>
              <w:jc w:val="center"/>
              <w:rPr>
                <w:rFonts w:hint="eastAsia" w:hAnsi="宋体"/>
                <w:sz w:val="18"/>
                <w:szCs w:val="18"/>
              </w:rPr>
            </w:pPr>
            <w:r>
              <w:rPr>
                <w:rFonts w:hint="eastAsia" w:hAnsi="宋体"/>
                <w:sz w:val="18"/>
                <w:szCs w:val="18"/>
              </w:rPr>
              <w:t>故障处置分配：</w:t>
            </w:r>
          </w:p>
        </w:tc>
        <w:tc>
          <w:tcPr>
            <w:tcW w:w="8001" w:type="dxa"/>
            <w:gridSpan w:val="5"/>
            <w:tcBorders>
              <w:top w:val="single" w:color="auto" w:sz="4" w:space="0"/>
              <w:left w:val="nil"/>
              <w:bottom w:val="single" w:color="auto" w:sz="4" w:space="0"/>
              <w:right w:val="single" w:color="auto" w:sz="8" w:space="0"/>
            </w:tcBorders>
            <w:vAlign w:val="center"/>
          </w:tcPr>
          <w:p w14:paraId="71DC999F">
            <w:pPr>
              <w:pStyle w:val="234"/>
              <w:widowControl w:val="0"/>
              <w:spacing w:after="0"/>
              <w:ind w:firstLine="0" w:firstLineChars="0"/>
              <w:jc w:val="center"/>
              <w:rPr>
                <w:rFonts w:hint="eastAsia" w:hAnsi="宋体"/>
                <w:sz w:val="18"/>
                <w:szCs w:val="18"/>
              </w:rPr>
            </w:pPr>
            <w:r>
              <w:rPr>
                <w:rFonts w:hint="eastAsia" w:hAnsi="宋体"/>
                <w:sz w:val="18"/>
                <w:szCs w:val="18"/>
              </w:rPr>
              <w:t xml:space="preserve">□远程技术支持    □现场故障处置   </w:t>
            </w:r>
          </w:p>
        </w:tc>
      </w:tr>
      <w:tr w14:paraId="45354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70" w:type="dxa"/>
            <w:gridSpan w:val="6"/>
            <w:tcBorders>
              <w:top w:val="single" w:color="auto" w:sz="4" w:space="0"/>
              <w:left w:val="single" w:color="auto" w:sz="8" w:space="0"/>
              <w:bottom w:val="single" w:color="auto" w:sz="4" w:space="0"/>
              <w:right w:val="single" w:color="auto" w:sz="8" w:space="0"/>
            </w:tcBorders>
            <w:vAlign w:val="center"/>
          </w:tcPr>
          <w:p w14:paraId="59163D2A">
            <w:pPr>
              <w:pStyle w:val="234"/>
              <w:widowControl w:val="0"/>
              <w:spacing w:after="0"/>
              <w:ind w:firstLine="0" w:firstLineChars="0"/>
              <w:jc w:val="left"/>
              <w:rPr>
                <w:rFonts w:hint="eastAsia" w:hAnsi="宋体"/>
                <w:sz w:val="18"/>
                <w:szCs w:val="18"/>
              </w:rPr>
            </w:pPr>
            <w:r>
              <w:rPr>
                <w:rFonts w:hint="eastAsia" w:hAnsi="宋体"/>
                <w:sz w:val="18"/>
                <w:szCs w:val="18"/>
              </w:rPr>
              <w:t>故障处置总时长（小时）：                          故障修复时间：</w:t>
            </w:r>
          </w:p>
        </w:tc>
      </w:tr>
      <w:tr w14:paraId="3F1E8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70" w:type="dxa"/>
            <w:gridSpan w:val="6"/>
            <w:tcBorders>
              <w:top w:val="single" w:color="auto" w:sz="4" w:space="0"/>
              <w:left w:val="single" w:color="auto" w:sz="8" w:space="0"/>
              <w:bottom w:val="single" w:color="auto" w:sz="4" w:space="0"/>
              <w:right w:val="single" w:color="auto" w:sz="8" w:space="0"/>
            </w:tcBorders>
            <w:vAlign w:val="center"/>
          </w:tcPr>
          <w:p w14:paraId="292D04D1">
            <w:pPr>
              <w:pStyle w:val="234"/>
              <w:widowControl w:val="0"/>
              <w:spacing w:after="0"/>
              <w:ind w:firstLine="0" w:firstLineChars="0"/>
              <w:jc w:val="left"/>
              <w:rPr>
                <w:rFonts w:hint="eastAsia" w:hAnsi="宋体"/>
                <w:sz w:val="18"/>
                <w:szCs w:val="18"/>
              </w:rPr>
            </w:pPr>
            <w:r>
              <w:rPr>
                <w:rFonts w:hint="eastAsia" w:hAnsi="宋体"/>
                <w:sz w:val="18"/>
                <w:szCs w:val="18"/>
              </w:rPr>
              <w:t>故障处置结果：□故障处理完成    □故障暂时解决    □等待观察    □故障未解决</w:t>
            </w:r>
          </w:p>
        </w:tc>
      </w:tr>
      <w:tr w14:paraId="72B03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70" w:type="dxa"/>
            <w:gridSpan w:val="6"/>
            <w:tcBorders>
              <w:top w:val="single" w:color="auto" w:sz="4" w:space="0"/>
              <w:left w:val="single" w:color="auto" w:sz="8" w:space="0"/>
              <w:bottom w:val="single" w:color="auto" w:sz="4" w:space="0"/>
              <w:right w:val="single" w:color="auto" w:sz="8" w:space="0"/>
            </w:tcBorders>
            <w:vAlign w:val="center"/>
          </w:tcPr>
          <w:p w14:paraId="114EFD22">
            <w:pPr>
              <w:pStyle w:val="234"/>
              <w:widowControl w:val="0"/>
              <w:spacing w:after="0"/>
              <w:ind w:firstLine="0" w:firstLineChars="0"/>
              <w:jc w:val="left"/>
              <w:rPr>
                <w:rFonts w:hint="eastAsia" w:hAnsi="宋体"/>
                <w:sz w:val="18"/>
                <w:szCs w:val="18"/>
              </w:rPr>
            </w:pPr>
            <w:r>
              <w:rPr>
                <w:rFonts w:hint="eastAsia" w:hAnsi="宋体"/>
                <w:sz w:val="18"/>
                <w:szCs w:val="18"/>
              </w:rPr>
              <w:t>故障处理和分析：（故障处理人员填写）</w:t>
            </w:r>
          </w:p>
          <w:p w14:paraId="1E51BEA5">
            <w:pPr>
              <w:pStyle w:val="234"/>
              <w:widowControl w:val="0"/>
              <w:spacing w:after="0"/>
              <w:ind w:firstLine="0" w:firstLineChars="0"/>
              <w:jc w:val="left"/>
              <w:rPr>
                <w:rFonts w:hint="eastAsia" w:hAnsi="宋体"/>
                <w:sz w:val="18"/>
                <w:szCs w:val="18"/>
              </w:rPr>
            </w:pPr>
          </w:p>
          <w:p w14:paraId="410B89BF">
            <w:pPr>
              <w:pStyle w:val="234"/>
              <w:widowControl w:val="0"/>
              <w:spacing w:after="0"/>
              <w:ind w:firstLine="0" w:firstLineChars="0"/>
              <w:jc w:val="left"/>
              <w:rPr>
                <w:rFonts w:hint="eastAsia" w:hAnsi="宋体"/>
                <w:sz w:val="18"/>
                <w:szCs w:val="18"/>
              </w:rPr>
            </w:pPr>
          </w:p>
        </w:tc>
      </w:tr>
      <w:tr w14:paraId="49A6B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6" w:type="dxa"/>
            <w:gridSpan w:val="3"/>
            <w:tcBorders>
              <w:top w:val="single" w:color="auto" w:sz="4" w:space="0"/>
              <w:left w:val="single" w:color="auto" w:sz="8" w:space="0"/>
              <w:bottom w:val="single" w:color="auto" w:sz="8" w:space="0"/>
              <w:right w:val="single" w:color="auto" w:sz="4" w:space="0"/>
            </w:tcBorders>
            <w:vAlign w:val="center"/>
          </w:tcPr>
          <w:p w14:paraId="65CC19FB">
            <w:pPr>
              <w:pStyle w:val="234"/>
              <w:widowControl w:val="0"/>
              <w:spacing w:after="0"/>
              <w:ind w:firstLine="0" w:firstLineChars="0"/>
              <w:rPr>
                <w:rFonts w:hint="eastAsia" w:hAnsi="宋体"/>
                <w:sz w:val="18"/>
                <w:szCs w:val="18"/>
              </w:rPr>
            </w:pPr>
            <w:r>
              <w:rPr>
                <w:rFonts w:hint="eastAsia" w:hAnsi="宋体"/>
                <w:sz w:val="18"/>
                <w:szCs w:val="18"/>
              </w:rPr>
              <w:t>故障受理人签字：</w:t>
            </w:r>
          </w:p>
          <w:p w14:paraId="620DAFFD">
            <w:pPr>
              <w:pStyle w:val="234"/>
              <w:widowControl w:val="0"/>
              <w:spacing w:after="0"/>
              <w:ind w:firstLine="0" w:firstLineChars="0"/>
              <w:rPr>
                <w:rFonts w:hint="eastAsia" w:hAnsi="宋体"/>
                <w:sz w:val="18"/>
                <w:szCs w:val="18"/>
              </w:rPr>
            </w:pPr>
          </w:p>
          <w:p w14:paraId="422555C6">
            <w:pPr>
              <w:pStyle w:val="234"/>
              <w:widowControl w:val="0"/>
              <w:spacing w:after="0"/>
              <w:ind w:firstLine="0" w:firstLineChars="0"/>
              <w:rPr>
                <w:rFonts w:hint="eastAsia" w:hAnsi="宋体"/>
                <w:sz w:val="18"/>
                <w:szCs w:val="18"/>
              </w:rPr>
            </w:pPr>
          </w:p>
          <w:p w14:paraId="2D58771B">
            <w:pPr>
              <w:pStyle w:val="234"/>
              <w:widowControl w:val="0"/>
              <w:spacing w:after="0"/>
              <w:ind w:firstLine="0" w:firstLineChars="0"/>
              <w:jc w:val="center"/>
              <w:rPr>
                <w:rFonts w:hint="eastAsia" w:hAnsi="宋体"/>
                <w:sz w:val="18"/>
                <w:szCs w:val="18"/>
              </w:rPr>
            </w:pPr>
            <w:r>
              <w:rPr>
                <w:rFonts w:hint="eastAsia" w:hAnsi="宋体"/>
                <w:sz w:val="18"/>
                <w:szCs w:val="18"/>
              </w:rPr>
              <w:t xml:space="preserve">              日期：</w:t>
            </w:r>
          </w:p>
        </w:tc>
        <w:tc>
          <w:tcPr>
            <w:tcW w:w="5044" w:type="dxa"/>
            <w:gridSpan w:val="3"/>
            <w:tcBorders>
              <w:top w:val="single" w:color="auto" w:sz="4" w:space="0"/>
              <w:left w:val="nil"/>
              <w:bottom w:val="single" w:color="auto" w:sz="8" w:space="0"/>
              <w:right w:val="single" w:color="auto" w:sz="8" w:space="0"/>
            </w:tcBorders>
            <w:vAlign w:val="center"/>
          </w:tcPr>
          <w:p w14:paraId="35DE090C">
            <w:pPr>
              <w:pStyle w:val="234"/>
              <w:widowControl w:val="0"/>
              <w:spacing w:after="0"/>
              <w:ind w:firstLine="0" w:firstLineChars="0"/>
              <w:rPr>
                <w:rFonts w:hint="eastAsia" w:hAnsi="宋体"/>
                <w:sz w:val="18"/>
                <w:szCs w:val="18"/>
              </w:rPr>
            </w:pPr>
            <w:r>
              <w:rPr>
                <w:rFonts w:hint="eastAsia" w:hAnsi="宋体"/>
                <w:sz w:val="18"/>
                <w:szCs w:val="18"/>
              </w:rPr>
              <w:t>运维管理单位盖章：</w:t>
            </w:r>
          </w:p>
          <w:p w14:paraId="220DDAB7">
            <w:pPr>
              <w:pStyle w:val="234"/>
              <w:widowControl w:val="0"/>
              <w:spacing w:after="0"/>
              <w:ind w:firstLine="0" w:firstLineChars="0"/>
              <w:rPr>
                <w:rFonts w:hint="eastAsia" w:hAnsi="宋体"/>
                <w:sz w:val="18"/>
                <w:szCs w:val="18"/>
              </w:rPr>
            </w:pPr>
          </w:p>
          <w:p w14:paraId="088C71A8">
            <w:pPr>
              <w:pStyle w:val="234"/>
              <w:widowControl w:val="0"/>
              <w:spacing w:after="0"/>
              <w:ind w:firstLine="0" w:firstLineChars="0"/>
              <w:rPr>
                <w:rFonts w:hint="eastAsia" w:hAnsi="宋体"/>
                <w:sz w:val="18"/>
                <w:szCs w:val="18"/>
              </w:rPr>
            </w:pPr>
          </w:p>
          <w:p w14:paraId="0EF0DEF9">
            <w:pPr>
              <w:pStyle w:val="234"/>
              <w:widowControl w:val="0"/>
              <w:spacing w:after="0"/>
              <w:ind w:firstLine="0" w:firstLineChars="0"/>
              <w:jc w:val="center"/>
              <w:rPr>
                <w:rFonts w:hint="eastAsia" w:hAnsi="宋体"/>
                <w:sz w:val="18"/>
                <w:szCs w:val="18"/>
              </w:rPr>
            </w:pPr>
            <w:r>
              <w:rPr>
                <w:rFonts w:hint="eastAsia" w:hAnsi="宋体"/>
                <w:sz w:val="18"/>
                <w:szCs w:val="18"/>
              </w:rPr>
              <w:t xml:space="preserve">              日期：</w:t>
            </w:r>
          </w:p>
        </w:tc>
      </w:tr>
      <w:bookmarkEnd w:id="123"/>
      <w:bookmarkEnd w:id="124"/>
    </w:tbl>
    <w:p w14:paraId="6C2EAB90">
      <w:pPr>
        <w:pStyle w:val="60"/>
        <w:ind w:firstLine="0" w:firstLineChars="0"/>
      </w:pPr>
    </w:p>
    <w:sectPr>
      <w:pgSz w:w="11906" w:h="16838"/>
      <w:pgMar w:top="1928" w:right="1134" w:bottom="1134" w:left="1134" w:header="1418" w:footer="1134" w:gutter="284"/>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D44F2">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17723">
    <w:pPr>
      <w:pStyle w:val="18"/>
      <w:jc w:val="left"/>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C7FB9F">
    <w:pPr>
      <w:pStyle w:val="18"/>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955B3">
    <w:pPr>
      <w:pStyle w:val="56"/>
    </w:pPr>
    <w:r>
      <w:fldChar w:fldCharType="begin"/>
    </w:r>
    <w:r>
      <w:instrText xml:space="preserve">PAGE   \* MERGEFORMAT</w:instrText>
    </w:r>
    <w:r>
      <w:fldChar w:fldCharType="separate"/>
    </w:r>
    <w:r>
      <w:rPr>
        <w:lang w:val="zh-CN"/>
      </w:rPr>
      <w:t>17</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39B2D">
    <w:pPr>
      <w:pStyle w:val="18"/>
      <w:jc w:val="left"/>
    </w:pPr>
    <w:r>
      <w:fldChar w:fldCharType="begin"/>
    </w:r>
    <w:r>
      <w:instrText xml:space="preserve">PAGE   \* MERGEFORMAT</w:instrText>
    </w:r>
    <w:r>
      <w:fldChar w:fldCharType="separate"/>
    </w:r>
    <w:r>
      <w:rPr>
        <w:lang w:val="zh-CN"/>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DD81C">
    <w:pPr>
      <w:pStyle w:val="19"/>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956C5">
    <w:pPr>
      <w:pStyle w:val="1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A8B88E">
    <w:pPr>
      <w:pStyle w:val="19"/>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D0D3B">
    <w:pPr>
      <w:pStyle w:val="65"/>
      <w:spacing w:after="0" w:line="240" w:lineRule="auto"/>
      <w:rPr>
        <w:rFonts w:hint="eastAsia"/>
      </w:rPr>
    </w:pPr>
    <w:r>
      <w:fldChar w:fldCharType="begin"/>
    </w:r>
    <w:r>
      <w:instrText xml:space="preserve"> STYLEREF  标准文件_文件编号  \* MERGEFORMAT </w:instrText>
    </w:r>
    <w:r>
      <w:fldChar w:fldCharType="separate"/>
    </w:r>
    <w:r>
      <w:t>DB31 SW/Z 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FD3E6">
    <w:pPr>
      <w:pStyle w:val="19"/>
      <w:jc w:val="left"/>
      <w:rPr>
        <w:rFonts w:hint="eastAsia" w:ascii="黑体" w:hAnsi="黑体" w:eastAsia="黑体"/>
        <w:lang w:val="fr-FR"/>
      </w:rPr>
    </w:pPr>
    <w:r>
      <w:rPr>
        <w:rFonts w:ascii="黑体" w:hAnsi="黑体" w:eastAsia="黑体"/>
      </w:rPr>
      <w:fldChar w:fldCharType="begin"/>
    </w:r>
    <w:r>
      <w:rPr>
        <w:rFonts w:ascii="黑体" w:hAnsi="黑体" w:eastAsia="黑体"/>
        <w:lang w:val="fr-FR"/>
      </w:rPr>
      <w:instrText xml:space="preserve"> STYLEREF  </w:instrText>
    </w:r>
    <w:r>
      <w:rPr>
        <w:rFonts w:ascii="黑体" w:hAnsi="黑体" w:eastAsia="黑体"/>
      </w:rPr>
      <w:instrText xml:space="preserve">标准文件</w:instrText>
    </w:r>
    <w:r>
      <w:rPr>
        <w:rFonts w:ascii="黑体" w:hAnsi="黑体" w:eastAsia="黑体"/>
        <w:lang w:val="fr-FR"/>
      </w:rPr>
      <w:instrText xml:space="preserve">_</w:instrText>
    </w:r>
    <w:r>
      <w:rPr>
        <w:rFonts w:ascii="黑体" w:hAnsi="黑体" w:eastAsia="黑体"/>
      </w:rPr>
      <w:instrText xml:space="preserve">文件编号</w:instrText>
    </w:r>
    <w:r>
      <w:rPr>
        <w:rFonts w:ascii="黑体" w:hAnsi="黑体" w:eastAsia="黑体"/>
        <w:lang w:val="fr-FR"/>
      </w:rPr>
      <w:instrText xml:space="preserve">  \* MERGEFORMAT </w:instrText>
    </w:r>
    <w:r>
      <w:rPr>
        <w:rFonts w:ascii="黑体" w:hAnsi="黑体" w:eastAsia="黑体"/>
      </w:rPr>
      <w:fldChar w:fldCharType="separate"/>
    </w:r>
    <w:r>
      <w:rPr>
        <w:rFonts w:ascii="黑体" w:hAnsi="黑体" w:eastAsia="黑体"/>
        <w:lang w:val="fr-FR"/>
      </w:rPr>
      <w:t>DB31 SW/Z XXXX—XXXX</w:t>
    </w:r>
    <w:r>
      <w:rPr>
        <w:rFonts w:ascii="黑体" w:hAnsi="黑体" w:eastAsia="黑体"/>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CC119F"/>
    <w:multiLevelType w:val="singleLevel"/>
    <w:tmpl w:val="AECC119F"/>
    <w:lvl w:ilvl="0" w:tentative="0">
      <w:start w:val="1"/>
      <w:numFmt w:val="lowerLetter"/>
      <w:lvlText w:val="%1)"/>
      <w:lvlJc w:val="left"/>
      <w:pPr>
        <w:tabs>
          <w:tab w:val="left" w:pos="312"/>
        </w:tabs>
      </w:pPr>
    </w:lvl>
  </w:abstractNum>
  <w:abstractNum w:abstractNumId="1">
    <w:nsid w:val="B75FDC2A"/>
    <w:multiLevelType w:val="singleLevel"/>
    <w:tmpl w:val="B75FDC2A"/>
    <w:lvl w:ilvl="0" w:tentative="0">
      <w:start w:val="1"/>
      <w:numFmt w:val="lowerLetter"/>
      <w:lvlText w:val="%1)"/>
      <w:lvlJc w:val="left"/>
      <w:pPr>
        <w:tabs>
          <w:tab w:val="left" w:pos="312"/>
        </w:tabs>
      </w:pPr>
    </w:lvl>
  </w:abstractNum>
  <w:abstractNum w:abstractNumId="2">
    <w:nsid w:val="BFFCC908"/>
    <w:multiLevelType w:val="singleLevel"/>
    <w:tmpl w:val="BFFCC908"/>
    <w:lvl w:ilvl="0" w:tentative="0">
      <w:start w:val="1"/>
      <w:numFmt w:val="lowerLetter"/>
      <w:lvlText w:val="%1)"/>
      <w:lvlJc w:val="left"/>
      <w:pPr>
        <w:tabs>
          <w:tab w:val="left" w:pos="312"/>
        </w:tabs>
      </w:pPr>
    </w:lvl>
  </w:abstractNum>
  <w:abstractNum w:abstractNumId="3">
    <w:nsid w:val="CFDFEC0A"/>
    <w:multiLevelType w:val="singleLevel"/>
    <w:tmpl w:val="CFDFEC0A"/>
    <w:lvl w:ilvl="0" w:tentative="0">
      <w:start w:val="1"/>
      <w:numFmt w:val="lowerLetter"/>
      <w:lvlText w:val="%1)"/>
      <w:lvlJc w:val="left"/>
      <w:pPr>
        <w:tabs>
          <w:tab w:val="left" w:pos="312"/>
        </w:tabs>
      </w:pPr>
    </w:lvl>
  </w:abstractNum>
  <w:abstractNum w:abstractNumId="4">
    <w:nsid w:val="DF6FDFE7"/>
    <w:multiLevelType w:val="singleLevel"/>
    <w:tmpl w:val="DF6FDFE7"/>
    <w:lvl w:ilvl="0" w:tentative="0">
      <w:start w:val="1"/>
      <w:numFmt w:val="lowerLetter"/>
      <w:lvlText w:val="%1)"/>
      <w:lvlJc w:val="left"/>
      <w:pPr>
        <w:tabs>
          <w:tab w:val="left" w:pos="312"/>
        </w:tabs>
      </w:pPr>
    </w:lvl>
  </w:abstractNum>
  <w:abstractNum w:abstractNumId="5">
    <w:nsid w:val="DFFB4C17"/>
    <w:multiLevelType w:val="multilevel"/>
    <w:tmpl w:val="DFFB4C17"/>
    <w:lvl w:ilvl="0" w:tentative="0">
      <w:start w:val="3"/>
      <w:numFmt w:val="upperLetter"/>
      <w:suff w:val="space"/>
      <w:lvlText w:val="%1"/>
      <w:lvlJc w:val="left"/>
      <w:pPr>
        <w:ind w:left="425" w:hanging="425"/>
      </w:pPr>
      <w:rPr>
        <w:rFonts w:hint="default" w:ascii="宋体" w:hAnsi="宋体" w:eastAsia="宋体" w:cs="宋体"/>
      </w:rPr>
    </w:lvl>
    <w:lvl w:ilvl="1" w:tentative="0">
      <w:start w:val="1"/>
      <w:numFmt w:val="decimal"/>
      <w:suff w:val="space"/>
      <w:lvlText w:val="表%1.%2"/>
      <w:lvlJc w:val="center"/>
      <w:pPr>
        <w:tabs>
          <w:tab w:val="left" w:pos="0"/>
        </w:tabs>
        <w:ind w:left="0" w:firstLine="0"/>
      </w:pPr>
      <w:rPr>
        <w:rFonts w:hint="default"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6">
    <w:nsid w:val="E77C42EF"/>
    <w:multiLevelType w:val="multilevel"/>
    <w:tmpl w:val="E77C42EF"/>
    <w:lvl w:ilvl="0" w:tentative="0">
      <w:start w:val="4"/>
      <w:numFmt w:val="upperLetter"/>
      <w:suff w:val="space"/>
      <w:lvlText w:val="%1"/>
      <w:lvlJc w:val="left"/>
      <w:pPr>
        <w:ind w:left="425" w:hanging="425"/>
      </w:pPr>
      <w:rPr>
        <w:rFonts w:hint="default" w:ascii="宋体" w:hAnsi="宋体" w:eastAsia="宋体" w:cs="宋体"/>
      </w:rPr>
    </w:lvl>
    <w:lvl w:ilvl="1" w:tentative="0">
      <w:start w:val="1"/>
      <w:numFmt w:val="decimal"/>
      <w:suff w:val="space"/>
      <w:lvlText w:val="表%1.%2"/>
      <w:lvlJc w:val="center"/>
      <w:pPr>
        <w:tabs>
          <w:tab w:val="left" w:pos="0"/>
        </w:tabs>
        <w:ind w:left="0" w:firstLine="0"/>
      </w:pPr>
      <w:rPr>
        <w:rFonts w:hint="default"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7">
    <w:nsid w:val="EB1EE9E1"/>
    <w:multiLevelType w:val="singleLevel"/>
    <w:tmpl w:val="EB1EE9E1"/>
    <w:lvl w:ilvl="0" w:tentative="0">
      <w:start w:val="1"/>
      <w:numFmt w:val="lowerLetter"/>
      <w:lvlText w:val="%1)"/>
      <w:lvlJc w:val="left"/>
      <w:pPr>
        <w:tabs>
          <w:tab w:val="left" w:pos="312"/>
        </w:tabs>
      </w:pPr>
    </w:lvl>
  </w:abstractNum>
  <w:abstractNum w:abstractNumId="8">
    <w:nsid w:val="EFDE6E71"/>
    <w:multiLevelType w:val="singleLevel"/>
    <w:tmpl w:val="EFDE6E71"/>
    <w:lvl w:ilvl="0" w:tentative="0">
      <w:start w:val="1"/>
      <w:numFmt w:val="lowerLetter"/>
      <w:lvlText w:val="%1)"/>
      <w:lvlJc w:val="left"/>
      <w:pPr>
        <w:tabs>
          <w:tab w:val="left" w:pos="312"/>
        </w:tabs>
      </w:pPr>
    </w:lvl>
  </w:abstractNum>
  <w:abstractNum w:abstractNumId="9">
    <w:nsid w:val="EFEFDE3B"/>
    <w:multiLevelType w:val="singleLevel"/>
    <w:tmpl w:val="EFEFDE3B"/>
    <w:lvl w:ilvl="0" w:tentative="0">
      <w:start w:val="1"/>
      <w:numFmt w:val="lowerLetter"/>
      <w:lvlText w:val="%1)"/>
      <w:lvlJc w:val="left"/>
      <w:pPr>
        <w:tabs>
          <w:tab w:val="left" w:pos="312"/>
        </w:tabs>
      </w:pPr>
    </w:lvl>
  </w:abstractNum>
  <w:abstractNum w:abstractNumId="10">
    <w:nsid w:val="FCFF910A"/>
    <w:multiLevelType w:val="singleLevel"/>
    <w:tmpl w:val="FCFF910A"/>
    <w:lvl w:ilvl="0" w:tentative="0">
      <w:start w:val="1"/>
      <w:numFmt w:val="lowerLetter"/>
      <w:lvlText w:val="%1)"/>
      <w:lvlJc w:val="left"/>
      <w:pPr>
        <w:tabs>
          <w:tab w:val="left" w:pos="312"/>
        </w:tabs>
      </w:pPr>
    </w:lvl>
  </w:abstractNum>
  <w:abstractNum w:abstractNumId="11">
    <w:nsid w:val="FEF79D77"/>
    <w:multiLevelType w:val="multilevel"/>
    <w:tmpl w:val="FEF79D77"/>
    <w:lvl w:ilvl="0" w:tentative="0">
      <w:start w:val="2"/>
      <w:numFmt w:val="upperLetter"/>
      <w:suff w:val="space"/>
      <w:lvlText w:val="%1"/>
      <w:lvlJc w:val="left"/>
      <w:pPr>
        <w:ind w:left="425" w:hanging="425"/>
      </w:pPr>
      <w:rPr>
        <w:rFonts w:hint="default" w:ascii="宋体" w:hAnsi="宋体" w:eastAsia="宋体" w:cs="宋体"/>
      </w:rPr>
    </w:lvl>
    <w:lvl w:ilvl="1" w:tentative="0">
      <w:start w:val="1"/>
      <w:numFmt w:val="decimal"/>
      <w:suff w:val="space"/>
      <w:lvlText w:val="表%1.%2"/>
      <w:lvlJc w:val="center"/>
      <w:pPr>
        <w:tabs>
          <w:tab w:val="left" w:pos="0"/>
        </w:tabs>
        <w:ind w:left="0" w:firstLine="0"/>
      </w:pPr>
      <w:rPr>
        <w:rFonts w:hint="default"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2">
    <w:nsid w:val="FFEAE68C"/>
    <w:multiLevelType w:val="singleLevel"/>
    <w:tmpl w:val="FFEAE68C"/>
    <w:lvl w:ilvl="0" w:tentative="0">
      <w:start w:val="1"/>
      <w:numFmt w:val="lowerLetter"/>
      <w:lvlText w:val="%1)"/>
      <w:lvlJc w:val="left"/>
      <w:pPr>
        <w:tabs>
          <w:tab w:val="left" w:pos="312"/>
        </w:tabs>
      </w:pPr>
    </w:lvl>
  </w:abstractNum>
  <w:abstractNum w:abstractNumId="13">
    <w:nsid w:val="02837933"/>
    <w:multiLevelType w:val="multilevel"/>
    <w:tmpl w:val="02837933"/>
    <w:lvl w:ilvl="0" w:tentative="0">
      <w:start w:val="1"/>
      <w:numFmt w:val="decimal"/>
      <w:pStyle w:val="68"/>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4">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3"/>
      <w:suff w:val="nothing"/>
      <w:lvlText w:val="%1%2.%3　"/>
      <w:lvlJc w:val="left"/>
      <w:pPr>
        <w:ind w:left="0" w:firstLine="0"/>
      </w:pPr>
    </w:lvl>
    <w:lvl w:ilvl="3" w:tentative="0">
      <w:start w:val="1"/>
      <w:numFmt w:val="decimal"/>
      <w:pStyle w:val="122"/>
      <w:suff w:val="nothing"/>
      <w:lvlText w:val="%1%2.%3.%4　"/>
      <w:lvlJc w:val="left"/>
      <w:pPr>
        <w:ind w:left="0" w:firstLine="0"/>
      </w:pPr>
    </w:lvl>
    <w:lvl w:ilvl="4" w:tentative="0">
      <w:start w:val="1"/>
      <w:numFmt w:val="decimal"/>
      <w:pStyle w:val="157"/>
      <w:suff w:val="nothing"/>
      <w:lvlText w:val="%1%2.%3.%4.%5　"/>
      <w:lvlJc w:val="left"/>
      <w:pPr>
        <w:ind w:left="0" w:firstLine="0"/>
      </w:pPr>
    </w:lvl>
    <w:lvl w:ilvl="5" w:tentative="0">
      <w:start w:val="1"/>
      <w:numFmt w:val="decimal"/>
      <w:pStyle w:val="159"/>
      <w:suff w:val="nothing"/>
      <w:lvlText w:val="%1%2.%3.%4.%5.%6　"/>
      <w:lvlJc w:val="left"/>
      <w:pPr>
        <w:ind w:left="0" w:firstLine="0"/>
      </w:pPr>
    </w:lvl>
    <w:lvl w:ilvl="6" w:tentative="0">
      <w:start w:val="1"/>
      <w:numFmt w:val="decimal"/>
      <w:pStyle w:val="162"/>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5">
    <w:nsid w:val="079102AD"/>
    <w:multiLevelType w:val="multilevel"/>
    <w:tmpl w:val="079102AD"/>
    <w:lvl w:ilvl="0" w:tentative="0">
      <w:start w:val="1"/>
      <w:numFmt w:val="decimal"/>
      <w:pStyle w:val="184"/>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6">
    <w:nsid w:val="07ED3FEA"/>
    <w:multiLevelType w:val="multilevel"/>
    <w:tmpl w:val="07ED3FEA"/>
    <w:lvl w:ilvl="0" w:tentative="0">
      <w:start w:val="1"/>
      <w:numFmt w:val="none"/>
      <w:pStyle w:val="93"/>
      <w:lvlText w:val="%1"/>
      <w:lvlJc w:val="left"/>
      <w:pPr>
        <w:ind w:left="425" w:hanging="425"/>
      </w:pPr>
      <w:rPr>
        <w:rFonts w:hint="eastAsia"/>
      </w:rPr>
    </w:lvl>
    <w:lvl w:ilvl="1" w:tentative="0">
      <w:start w:val="1"/>
      <w:numFmt w:val="decimal"/>
      <w:pStyle w:val="204"/>
      <w:suff w:val="nothing"/>
      <w:lvlText w:val="%10.%2 "/>
      <w:lvlJc w:val="left"/>
      <w:pPr>
        <w:ind w:left="0" w:firstLine="0"/>
      </w:pPr>
      <w:rPr>
        <w:rFonts w:hint="eastAsia" w:ascii="黑体" w:eastAsia="黑体" w:hAnsiTheme="minorHAnsi"/>
        <w:b w:val="0"/>
        <w:i w:val="0"/>
        <w:sz w:val="21"/>
      </w:rPr>
    </w:lvl>
    <w:lvl w:ilvl="2" w:tentative="0">
      <w:start w:val="1"/>
      <w:numFmt w:val="decimal"/>
      <w:pStyle w:val="205"/>
      <w:suff w:val="nothing"/>
      <w:lvlText w:val="%10.%2.%3 "/>
      <w:lvlJc w:val="left"/>
      <w:pPr>
        <w:ind w:left="0" w:firstLine="0"/>
      </w:pPr>
      <w:rPr>
        <w:rFonts w:hint="eastAsia" w:ascii="黑体" w:eastAsia="黑体" w:hAnsiTheme="minorHAnsi"/>
        <w:b w:val="0"/>
        <w:i w:val="0"/>
        <w:sz w:val="21"/>
      </w:rPr>
    </w:lvl>
    <w:lvl w:ilvl="3" w:tentative="0">
      <w:start w:val="1"/>
      <w:numFmt w:val="decimal"/>
      <w:pStyle w:val="206"/>
      <w:suff w:val="nothing"/>
      <w:lvlText w:val="%10.%2.%3.%4 "/>
      <w:lvlJc w:val="left"/>
      <w:pPr>
        <w:ind w:left="0" w:firstLine="0"/>
      </w:pPr>
      <w:rPr>
        <w:rFonts w:hint="eastAsia" w:ascii="黑体" w:eastAsia="黑体" w:hAnsiTheme="minorHAnsi"/>
        <w:b w:val="0"/>
        <w:i w:val="0"/>
        <w:sz w:val="21"/>
      </w:rPr>
    </w:lvl>
    <w:lvl w:ilvl="4" w:tentative="0">
      <w:start w:val="1"/>
      <w:numFmt w:val="decimal"/>
      <w:pStyle w:val="207"/>
      <w:suff w:val="nothing"/>
      <w:lvlText w:val="%10.%2.%3.%4.%5 "/>
      <w:lvlJc w:val="left"/>
      <w:pPr>
        <w:ind w:left="0" w:firstLine="0"/>
      </w:pPr>
      <w:rPr>
        <w:rFonts w:hint="eastAsia" w:ascii="黑体" w:eastAsia="黑体" w:hAnsiTheme="minorHAnsi"/>
        <w:b w:val="0"/>
        <w:i w:val="0"/>
        <w:sz w:val="21"/>
      </w:rPr>
    </w:lvl>
    <w:lvl w:ilvl="5" w:tentative="0">
      <w:start w:val="1"/>
      <w:numFmt w:val="decimal"/>
      <w:pStyle w:val="208"/>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7">
    <w:nsid w:val="0AE367E9"/>
    <w:multiLevelType w:val="multilevel"/>
    <w:tmpl w:val="0AE367E9"/>
    <w:lvl w:ilvl="0" w:tentative="0">
      <w:start w:val="1"/>
      <w:numFmt w:val="none"/>
      <w:pStyle w:val="185"/>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18">
    <w:nsid w:val="0BDC1670"/>
    <w:multiLevelType w:val="multilevel"/>
    <w:tmpl w:val="0BDC1670"/>
    <w:lvl w:ilvl="0" w:tentative="0">
      <w:start w:val="1"/>
      <w:numFmt w:val="decimal"/>
      <w:pStyle w:val="71"/>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9">
    <w:nsid w:val="0D051F45"/>
    <w:multiLevelType w:val="multilevel"/>
    <w:tmpl w:val="0D051F45"/>
    <w:lvl w:ilvl="0" w:tentative="0">
      <w:start w:val="1"/>
      <w:numFmt w:val="lowerRoman"/>
      <w:pStyle w:val="173"/>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20">
    <w:nsid w:val="18343286"/>
    <w:multiLevelType w:val="singleLevel"/>
    <w:tmpl w:val="18343286"/>
    <w:lvl w:ilvl="0" w:tentative="0">
      <w:start w:val="1"/>
      <w:numFmt w:val="lowerLetter"/>
      <w:lvlText w:val="%1)"/>
      <w:lvlJc w:val="left"/>
      <w:pPr>
        <w:tabs>
          <w:tab w:val="left" w:pos="312"/>
        </w:tabs>
      </w:pPr>
    </w:lvl>
  </w:abstractNum>
  <w:abstractNum w:abstractNumId="21">
    <w:nsid w:val="1A8F2946"/>
    <w:multiLevelType w:val="multilevel"/>
    <w:tmpl w:val="1A8F2946"/>
    <w:lvl w:ilvl="0" w:tentative="0">
      <w:start w:val="4"/>
      <w:numFmt w:val="upperLetter"/>
      <w:suff w:val="space"/>
      <w:lvlText w:val="%1"/>
      <w:lvlJc w:val="left"/>
      <w:pPr>
        <w:ind w:left="425" w:hanging="425"/>
      </w:pPr>
      <w:rPr>
        <w:rFonts w:hint="default" w:ascii="宋体" w:hAnsi="宋体" w:eastAsia="宋体" w:cs="宋体"/>
      </w:rPr>
    </w:lvl>
    <w:lvl w:ilvl="1" w:tentative="0">
      <w:start w:val="1"/>
      <w:numFmt w:val="decimal"/>
      <w:suff w:val="space"/>
      <w:lvlText w:val="表E.%2"/>
      <w:lvlJc w:val="left"/>
      <w:pPr>
        <w:ind w:left="440" w:hanging="440"/>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2">
    <w:nsid w:val="1AD20F90"/>
    <w:multiLevelType w:val="multilevel"/>
    <w:tmpl w:val="1AD20F90"/>
    <w:lvl w:ilvl="0" w:tentative="0">
      <w:start w:val="1"/>
      <w:numFmt w:val="none"/>
      <w:pStyle w:val="114"/>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3">
    <w:nsid w:val="1AF15012"/>
    <w:multiLevelType w:val="multilevel"/>
    <w:tmpl w:val="1AF15012"/>
    <w:lvl w:ilvl="0" w:tentative="0">
      <w:start w:val="1"/>
      <w:numFmt w:val="upperLetter"/>
      <w:pStyle w:val="89"/>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4">
    <w:nsid w:val="1EAA1992"/>
    <w:multiLevelType w:val="multilevel"/>
    <w:tmpl w:val="1EAA1992"/>
    <w:lvl w:ilvl="0" w:tentative="0">
      <w:start w:val="1"/>
      <w:numFmt w:val="none"/>
      <w:pStyle w:val="96"/>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25">
    <w:nsid w:val="2C5917C3"/>
    <w:multiLevelType w:val="multilevel"/>
    <w:tmpl w:val="2C5917C3"/>
    <w:lvl w:ilvl="0" w:tentative="0">
      <w:start w:val="1"/>
      <w:numFmt w:val="none"/>
      <w:pStyle w:val="136"/>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91"/>
      <w:lvlText w:val=""/>
      <w:lvlJc w:val="left"/>
      <w:pPr>
        <w:ind w:left="851" w:hanging="431"/>
      </w:pPr>
      <w:rPr>
        <w:rFonts w:hint="default" w:ascii="Symbol" w:hAnsi="Symbol"/>
        <w:sz w:val="21"/>
      </w:rPr>
    </w:lvl>
    <w:lvl w:ilvl="2" w:tentative="0">
      <w:start w:val="1"/>
      <w:numFmt w:val="bullet"/>
      <w:pStyle w:val="176"/>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26">
    <w:nsid w:val="32F04FB2"/>
    <w:multiLevelType w:val="multilevel"/>
    <w:tmpl w:val="32F04FB2"/>
    <w:lvl w:ilvl="0" w:tentative="0">
      <w:start w:val="1"/>
      <w:numFmt w:val="lowerLetter"/>
      <w:pStyle w:val="105"/>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7">
    <w:nsid w:val="44C50F90"/>
    <w:multiLevelType w:val="multilevel"/>
    <w:tmpl w:val="44C50F90"/>
    <w:lvl w:ilvl="0" w:tentative="0">
      <w:start w:val="1"/>
      <w:numFmt w:val="lowerLetter"/>
      <w:pStyle w:val="178"/>
      <w:lvlText w:val="%1)"/>
      <w:lvlJc w:val="left"/>
      <w:pPr>
        <w:tabs>
          <w:tab w:val="left" w:pos="851"/>
        </w:tabs>
        <w:ind w:left="851" w:hanging="426"/>
      </w:pPr>
      <w:rPr>
        <w:rFonts w:hint="eastAsia" w:ascii="宋体" w:hAnsi="Times New Roman" w:eastAsia="宋体"/>
        <w:sz w:val="21"/>
      </w:rPr>
    </w:lvl>
    <w:lvl w:ilvl="1" w:tentative="0">
      <w:start w:val="1"/>
      <w:numFmt w:val="decimal"/>
      <w:pStyle w:val="113"/>
      <w:lvlText w:val="%2)"/>
      <w:lvlJc w:val="left"/>
      <w:pPr>
        <w:tabs>
          <w:tab w:val="left" w:pos="1276"/>
        </w:tabs>
        <w:ind w:left="1276" w:hanging="425"/>
      </w:pPr>
      <w:rPr>
        <w:rFonts w:hint="eastAsia" w:ascii="宋体" w:hAnsi="Times New Roman" w:eastAsia="宋体"/>
        <w:sz w:val="21"/>
      </w:rPr>
    </w:lvl>
    <w:lvl w:ilvl="2" w:tentative="0">
      <w:start w:val="1"/>
      <w:numFmt w:val="decimal"/>
      <w:pStyle w:val="121"/>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8">
    <w:nsid w:val="48802D1C"/>
    <w:multiLevelType w:val="multilevel"/>
    <w:tmpl w:val="48802D1C"/>
    <w:lvl w:ilvl="0" w:tentative="0">
      <w:start w:val="1"/>
      <w:numFmt w:val="upperLetter"/>
      <w:pStyle w:val="202"/>
      <w:lvlText w:val="%1"/>
      <w:lvlJc w:val="left"/>
      <w:pPr>
        <w:ind w:left="420" w:hanging="420"/>
      </w:pPr>
      <w:rPr>
        <w:rFonts w:hint="eastAsia"/>
      </w:rPr>
    </w:lvl>
    <w:lvl w:ilvl="1" w:tentative="0">
      <w:start w:val="1"/>
      <w:numFmt w:val="decimal"/>
      <w:pStyle w:val="87"/>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9">
    <w:nsid w:val="4B733A5F"/>
    <w:multiLevelType w:val="multilevel"/>
    <w:tmpl w:val="4B733A5F"/>
    <w:lvl w:ilvl="0" w:tentative="0">
      <w:start w:val="1"/>
      <w:numFmt w:val="decimal"/>
      <w:pStyle w:val="187"/>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0">
    <w:nsid w:val="4E5D0534"/>
    <w:multiLevelType w:val="multilevel"/>
    <w:tmpl w:val="4E5D0534"/>
    <w:lvl w:ilvl="0" w:tentative="0">
      <w:start w:val="1"/>
      <w:numFmt w:val="decimal"/>
      <w:pStyle w:val="120"/>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1">
    <w:nsid w:val="54632751"/>
    <w:multiLevelType w:val="multilevel"/>
    <w:tmpl w:val="54632751"/>
    <w:lvl w:ilvl="0" w:tentative="0">
      <w:start w:val="1"/>
      <w:numFmt w:val="none"/>
      <w:pStyle w:val="97"/>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32">
    <w:nsid w:val="557C2AF5"/>
    <w:multiLevelType w:val="multilevel"/>
    <w:tmpl w:val="557C2AF5"/>
    <w:lvl w:ilvl="0" w:tentative="0">
      <w:start w:val="1"/>
      <w:numFmt w:val="decimal"/>
      <w:pStyle w:val="118"/>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3">
    <w:nsid w:val="564D2089"/>
    <w:multiLevelType w:val="multilevel"/>
    <w:tmpl w:val="564D2089"/>
    <w:lvl w:ilvl="0" w:tentative="0">
      <w:start w:val="1"/>
      <w:numFmt w:val="none"/>
      <w:pStyle w:val="115"/>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4">
    <w:nsid w:val="5C6E2232"/>
    <w:multiLevelType w:val="multilevel"/>
    <w:tmpl w:val="5C6E2232"/>
    <w:lvl w:ilvl="0" w:tentative="0">
      <w:start w:val="1"/>
      <w:numFmt w:val="upperLetter"/>
      <w:pStyle w:val="203"/>
      <w:suff w:val="space"/>
      <w:lvlText w:val="%1"/>
      <w:lvlJc w:val="left"/>
      <w:pPr>
        <w:ind w:left="425" w:hanging="425"/>
      </w:pPr>
      <w:rPr>
        <w:rFonts w:hint="eastAsia"/>
      </w:rPr>
    </w:lvl>
    <w:lvl w:ilvl="1" w:tentative="0">
      <w:start w:val="2"/>
      <w:numFmt w:val="decimal"/>
      <w:pStyle w:val="81"/>
      <w:suff w:val="space"/>
      <w:lvlText w:val="表%1.%2"/>
      <w:lvlJc w:val="center"/>
      <w:pPr>
        <w:tabs>
          <w:tab w:val="left" w:pos="0"/>
        </w:tabs>
        <w:ind w:left="0" w:firstLine="0"/>
      </w:pPr>
      <w:rPr>
        <w:rFonts w:hint="default"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5">
    <w:nsid w:val="644622F9"/>
    <w:multiLevelType w:val="multilevel"/>
    <w:tmpl w:val="644622F9"/>
    <w:lvl w:ilvl="0" w:tentative="0">
      <w:start w:val="1"/>
      <w:numFmt w:val="upperRoman"/>
      <w:pStyle w:val="172"/>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36">
    <w:nsid w:val="646260FA"/>
    <w:multiLevelType w:val="multilevel"/>
    <w:tmpl w:val="646260FA"/>
    <w:lvl w:ilvl="0" w:tentative="0">
      <w:start w:val="1"/>
      <w:numFmt w:val="decimal"/>
      <w:pStyle w:val="116"/>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37">
    <w:nsid w:val="654A26C9"/>
    <w:multiLevelType w:val="multilevel"/>
    <w:tmpl w:val="654A26C9"/>
    <w:lvl w:ilvl="0" w:tentative="0">
      <w:start w:val="1"/>
      <w:numFmt w:val="none"/>
      <w:pStyle w:val="193"/>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38">
    <w:nsid w:val="657D3FBC"/>
    <w:multiLevelType w:val="multilevel"/>
    <w:tmpl w:val="657D3FBC"/>
    <w:lvl w:ilvl="0" w:tentative="0">
      <w:start w:val="1"/>
      <w:numFmt w:val="upperLetter"/>
      <w:pStyle w:val="80"/>
      <w:suff w:val="nothing"/>
      <w:lvlText w:val="附录%1"/>
      <w:lvlJc w:val="left"/>
      <w:pPr>
        <w:ind w:left="0" w:firstLine="0"/>
      </w:pPr>
      <w:rPr>
        <w:rFonts w:hint="eastAsia"/>
        <w:spacing w:val="100"/>
      </w:rPr>
    </w:lvl>
    <w:lvl w:ilvl="1" w:tentative="0">
      <w:start w:val="1"/>
      <w:numFmt w:val="decimal"/>
      <w:pStyle w:val="82"/>
      <w:suff w:val="nothing"/>
      <w:lvlText w:val="%1.%2　"/>
      <w:lvlJc w:val="left"/>
      <w:pPr>
        <w:ind w:left="0" w:firstLine="0"/>
      </w:pPr>
      <w:rPr>
        <w:rFonts w:hint="eastAsia" w:ascii="黑体" w:eastAsia="黑体"/>
        <w:b w:val="0"/>
        <w:i w:val="0"/>
        <w:sz w:val="21"/>
      </w:rPr>
    </w:lvl>
    <w:lvl w:ilvl="2" w:tentative="0">
      <w:start w:val="1"/>
      <w:numFmt w:val="decimal"/>
      <w:pStyle w:val="83"/>
      <w:suff w:val="nothing"/>
      <w:lvlText w:val="%1.%2.%3　"/>
      <w:lvlJc w:val="left"/>
      <w:pPr>
        <w:ind w:left="0" w:firstLine="0"/>
      </w:pPr>
      <w:rPr>
        <w:rFonts w:hint="eastAsia" w:ascii="黑体" w:eastAsia="黑体"/>
        <w:b w:val="0"/>
        <w:i w:val="0"/>
        <w:sz w:val="21"/>
      </w:rPr>
    </w:lvl>
    <w:lvl w:ilvl="3" w:tentative="0">
      <w:start w:val="1"/>
      <w:numFmt w:val="decimal"/>
      <w:pStyle w:val="85"/>
      <w:suff w:val="nothing"/>
      <w:lvlText w:val="%1.%2.%3.%4　"/>
      <w:lvlJc w:val="left"/>
      <w:pPr>
        <w:ind w:left="0" w:firstLine="0"/>
      </w:pPr>
      <w:rPr>
        <w:rFonts w:hint="eastAsia" w:ascii="黑体" w:eastAsia="黑体"/>
        <w:b w:val="0"/>
        <w:i w:val="0"/>
        <w:sz w:val="21"/>
      </w:rPr>
    </w:lvl>
    <w:lvl w:ilvl="4" w:tentative="0">
      <w:start w:val="1"/>
      <w:numFmt w:val="decimal"/>
      <w:pStyle w:val="86"/>
      <w:suff w:val="nothing"/>
      <w:lvlText w:val="%1.%2.%3.%4.%5　"/>
      <w:lvlJc w:val="left"/>
      <w:pPr>
        <w:ind w:left="0" w:firstLine="0"/>
      </w:pPr>
      <w:rPr>
        <w:rFonts w:hint="eastAsia" w:ascii="黑体" w:eastAsia="黑体"/>
        <w:b w:val="0"/>
        <w:i w:val="0"/>
        <w:sz w:val="21"/>
      </w:rPr>
    </w:lvl>
    <w:lvl w:ilvl="5" w:tentative="0">
      <w:start w:val="1"/>
      <w:numFmt w:val="decimal"/>
      <w:pStyle w:val="88"/>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9">
    <w:nsid w:val="69506ABF"/>
    <w:multiLevelType w:val="multilevel"/>
    <w:tmpl w:val="69506ABF"/>
    <w:lvl w:ilvl="0" w:tentative="0">
      <w:start w:val="1"/>
      <w:numFmt w:val="bullet"/>
      <w:pStyle w:val="192"/>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40">
    <w:nsid w:val="6AF7F9F6"/>
    <w:multiLevelType w:val="multilevel"/>
    <w:tmpl w:val="6AF7F9F6"/>
    <w:lvl w:ilvl="0" w:tentative="0">
      <w:start w:val="1"/>
      <w:numFmt w:val="upperLetter"/>
      <w:suff w:val="space"/>
      <w:lvlText w:val="%1"/>
      <w:lvlJc w:val="left"/>
      <w:pPr>
        <w:tabs>
          <w:tab w:val="left" w:pos="0"/>
        </w:tabs>
        <w:ind w:left="425" w:hanging="425"/>
      </w:pPr>
      <w:rPr>
        <w:rFonts w:hint="default"/>
      </w:rPr>
    </w:lvl>
    <w:lvl w:ilvl="1" w:tentative="0">
      <w:start w:val="1"/>
      <w:numFmt w:val="decimal"/>
      <w:suff w:val="space"/>
      <w:lvlText w:val="表%1.%2"/>
      <w:lvlJc w:val="center"/>
      <w:pPr>
        <w:ind w:left="0" w:firstLine="0"/>
      </w:pPr>
      <w:rPr>
        <w:rFonts w:hint="default" w:ascii="黑体" w:hAnsi="黑体" w:eastAsia="黑体" w:cs="宋体"/>
        <w:b w:val="0"/>
        <w:bCs w:val="0"/>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1">
    <w:nsid w:val="6CA41985"/>
    <w:multiLevelType w:val="multilevel"/>
    <w:tmpl w:val="6CA41985"/>
    <w:lvl w:ilvl="0" w:tentative="0">
      <w:start w:val="1"/>
      <w:numFmt w:val="decimal"/>
      <w:pStyle w:val="101"/>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2">
    <w:nsid w:val="6CE42AC1"/>
    <w:multiLevelType w:val="multilevel"/>
    <w:tmpl w:val="6CE42AC1"/>
    <w:lvl w:ilvl="0" w:tentative="0">
      <w:start w:val="1"/>
      <w:numFmt w:val="lowerLetter"/>
      <w:pStyle w:val="177"/>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3">
    <w:nsid w:val="6CEA2025"/>
    <w:multiLevelType w:val="multilevel"/>
    <w:tmpl w:val="6CEA2025"/>
    <w:lvl w:ilvl="0" w:tentative="0">
      <w:start w:val="1"/>
      <w:numFmt w:val="none"/>
      <w:pStyle w:val="156"/>
      <w:suff w:val="nothing"/>
      <w:lvlText w:val="%1"/>
      <w:lvlJc w:val="left"/>
      <w:pPr>
        <w:ind w:left="0" w:firstLine="0"/>
      </w:pPr>
      <w:rPr>
        <w:rFonts w:hint="eastAsia"/>
      </w:rPr>
    </w:lvl>
    <w:lvl w:ilvl="1" w:tentative="0">
      <w:start w:val="1"/>
      <w:numFmt w:val="decimal"/>
      <w:pStyle w:val="108"/>
      <w:suff w:val="nothing"/>
      <w:lvlText w:val="%1%2　"/>
      <w:lvlJc w:val="left"/>
      <w:pPr>
        <w:ind w:left="0" w:firstLine="0"/>
      </w:pPr>
      <w:rPr>
        <w:rFonts w:hint="eastAsia" w:ascii="黑体" w:eastAsia="黑体"/>
        <w:b w:val="0"/>
        <w:i w:val="0"/>
        <w:sz w:val="21"/>
      </w:rPr>
    </w:lvl>
    <w:lvl w:ilvl="2" w:tentative="0">
      <w:start w:val="1"/>
      <w:numFmt w:val="decimal"/>
      <w:pStyle w:val="109"/>
      <w:suff w:val="nothing"/>
      <w:lvlText w:val="%1%2.%3　"/>
      <w:lvlJc w:val="left"/>
      <w:pPr>
        <w:ind w:left="426"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3" w:tentative="0">
      <w:start w:val="1"/>
      <w:numFmt w:val="decimal"/>
      <w:pStyle w:val="69"/>
      <w:suff w:val="nothing"/>
      <w:lvlText w:val="%1%2.%3.%4　"/>
      <w:lvlJc w:val="left"/>
      <w:pPr>
        <w:ind w:left="0" w:firstLine="0"/>
      </w:pPr>
      <w:rPr>
        <w:rFonts w:hint="eastAsia" w:ascii="黑体" w:eastAsia="黑体"/>
        <w:b w:val="0"/>
        <w:i w:val="0"/>
        <w:sz w:val="21"/>
      </w:rPr>
    </w:lvl>
    <w:lvl w:ilvl="4" w:tentative="0">
      <w:start w:val="1"/>
      <w:numFmt w:val="decimal"/>
      <w:pStyle w:val="98"/>
      <w:suff w:val="nothing"/>
      <w:lvlText w:val="%1%2.%3.%4.%5　"/>
      <w:lvlJc w:val="left"/>
      <w:pPr>
        <w:ind w:left="0" w:firstLine="0"/>
      </w:pPr>
      <w:rPr>
        <w:rFonts w:hint="eastAsia" w:ascii="黑体" w:eastAsia="黑体"/>
        <w:b w:val="0"/>
        <w:i w:val="0"/>
        <w:sz w:val="21"/>
      </w:rPr>
    </w:lvl>
    <w:lvl w:ilvl="5" w:tentative="0">
      <w:start w:val="1"/>
      <w:numFmt w:val="decimal"/>
      <w:pStyle w:val="102"/>
      <w:suff w:val="nothing"/>
      <w:lvlText w:val="%1%2.%3.%4.%5.%6　"/>
      <w:lvlJc w:val="left"/>
      <w:pPr>
        <w:ind w:left="0" w:firstLine="0"/>
      </w:pPr>
      <w:rPr>
        <w:rFonts w:hint="eastAsia" w:ascii="黑体" w:eastAsia="黑体"/>
        <w:b w:val="0"/>
        <w:i w:val="0"/>
        <w:sz w:val="21"/>
      </w:rPr>
    </w:lvl>
    <w:lvl w:ilvl="6" w:tentative="0">
      <w:start w:val="1"/>
      <w:numFmt w:val="decimal"/>
      <w:pStyle w:val="107"/>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44">
    <w:nsid w:val="6DBF04F4"/>
    <w:multiLevelType w:val="multilevel"/>
    <w:tmpl w:val="6DBF04F4"/>
    <w:lvl w:ilvl="0" w:tentative="0">
      <w:start w:val="1"/>
      <w:numFmt w:val="none"/>
      <w:pStyle w:val="183"/>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45">
    <w:nsid w:val="6DF35F19"/>
    <w:multiLevelType w:val="multilevel"/>
    <w:tmpl w:val="6DF35F19"/>
    <w:lvl w:ilvl="0" w:tentative="0">
      <w:start w:val="1"/>
      <w:numFmt w:val="decimal"/>
      <w:pStyle w:val="119"/>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46">
    <w:nsid w:val="76933334"/>
    <w:multiLevelType w:val="multilevel"/>
    <w:tmpl w:val="76933334"/>
    <w:lvl w:ilvl="0" w:tentative="0">
      <w:start w:val="1"/>
      <w:numFmt w:val="none"/>
      <w:pStyle w:val="143"/>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7">
    <w:nsid w:val="7F22C998"/>
    <w:multiLevelType w:val="singleLevel"/>
    <w:tmpl w:val="7F22C998"/>
    <w:lvl w:ilvl="0" w:tentative="0">
      <w:start w:val="1"/>
      <w:numFmt w:val="lowerLetter"/>
      <w:lvlText w:val="%1)"/>
      <w:lvlJc w:val="left"/>
      <w:pPr>
        <w:tabs>
          <w:tab w:val="left" w:pos="312"/>
        </w:tabs>
      </w:pPr>
    </w:lvl>
  </w:abstractNum>
  <w:num w:numId="1">
    <w:abstractNumId w:val="13"/>
  </w:num>
  <w:num w:numId="2">
    <w:abstractNumId w:val="43"/>
  </w:num>
  <w:num w:numId="3">
    <w:abstractNumId w:val="18"/>
  </w:num>
  <w:num w:numId="4">
    <w:abstractNumId w:val="38"/>
  </w:num>
  <w:num w:numId="5">
    <w:abstractNumId w:val="34"/>
  </w:num>
  <w:num w:numId="6">
    <w:abstractNumId w:val="28"/>
  </w:num>
  <w:num w:numId="7">
    <w:abstractNumId w:val="23"/>
  </w:num>
  <w:num w:numId="8">
    <w:abstractNumId w:val="16"/>
  </w:num>
  <w:num w:numId="9">
    <w:abstractNumId w:val="24"/>
  </w:num>
  <w:num w:numId="10">
    <w:abstractNumId w:val="31"/>
  </w:num>
  <w:num w:numId="11">
    <w:abstractNumId w:val="41"/>
  </w:num>
  <w:num w:numId="12">
    <w:abstractNumId w:val="26"/>
  </w:num>
  <w:num w:numId="13">
    <w:abstractNumId w:val="27"/>
  </w:num>
  <w:num w:numId="14">
    <w:abstractNumId w:val="22"/>
  </w:num>
  <w:num w:numId="15">
    <w:abstractNumId w:val="33"/>
  </w:num>
  <w:num w:numId="16">
    <w:abstractNumId w:val="36"/>
  </w:num>
  <w:num w:numId="17">
    <w:abstractNumId w:val="32"/>
  </w:num>
  <w:num w:numId="18">
    <w:abstractNumId w:val="45"/>
  </w:num>
  <w:num w:numId="19">
    <w:abstractNumId w:val="30"/>
  </w:num>
  <w:num w:numId="20">
    <w:abstractNumId w:val="14"/>
  </w:num>
  <w:num w:numId="21">
    <w:abstractNumId w:val="25"/>
  </w:num>
  <w:num w:numId="22">
    <w:abstractNumId w:val="46"/>
  </w:num>
  <w:num w:numId="23">
    <w:abstractNumId w:val="35"/>
  </w:num>
  <w:num w:numId="24">
    <w:abstractNumId w:val="19"/>
  </w:num>
  <w:num w:numId="25">
    <w:abstractNumId w:val="42"/>
  </w:num>
  <w:num w:numId="26">
    <w:abstractNumId w:val="44"/>
  </w:num>
  <w:num w:numId="27">
    <w:abstractNumId w:val="15"/>
  </w:num>
  <w:num w:numId="28">
    <w:abstractNumId w:val="17"/>
  </w:num>
  <w:num w:numId="29">
    <w:abstractNumId w:val="29"/>
  </w:num>
  <w:num w:numId="30">
    <w:abstractNumId w:val="39"/>
  </w:num>
  <w:num w:numId="31">
    <w:abstractNumId w:val="37"/>
  </w:num>
  <w:num w:numId="32">
    <w:abstractNumId w:val="4"/>
  </w:num>
  <w:num w:numId="33">
    <w:abstractNumId w:val="3"/>
  </w:num>
  <w:num w:numId="34">
    <w:abstractNumId w:val="1"/>
  </w:num>
  <w:num w:numId="35">
    <w:abstractNumId w:val="7"/>
  </w:num>
  <w:num w:numId="36">
    <w:abstractNumId w:val="0"/>
  </w:num>
  <w:num w:numId="37">
    <w:abstractNumId w:val="2"/>
  </w:num>
  <w:num w:numId="38">
    <w:abstractNumId w:val="20"/>
  </w:num>
  <w:num w:numId="39">
    <w:abstractNumId w:val="12"/>
  </w:num>
  <w:num w:numId="40">
    <w:abstractNumId w:val="10"/>
  </w:num>
  <w:num w:numId="41">
    <w:abstractNumId w:val="47"/>
  </w:num>
  <w:num w:numId="42">
    <w:abstractNumId w:val="9"/>
  </w:num>
  <w:num w:numId="43">
    <w:abstractNumId w:val="8"/>
  </w:num>
  <w:num w:numId="44">
    <w:abstractNumId w:val="40"/>
  </w:num>
  <w:num w:numId="45">
    <w:abstractNumId w:val="11"/>
  </w:num>
  <w:num w:numId="46">
    <w:abstractNumId w:val="5"/>
  </w:num>
  <w:num w:numId="47">
    <w:abstractNumId w:val="3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6"/>
  </w:num>
  <w:num w:numId="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dit="forms" w:enforcement="1" w:cryptProviderType="rsaAES" w:cryptAlgorithmClass="hash" w:cryptAlgorithmType="typeAny" w:cryptAlgorithmSid="14" w:cryptSpinCount="100000" w:hash="77qRNLkC/mSCihzQpAYLvNT/NnHdjFvOjweq7HAvupHBfItTi/xRkcueZBDHoo07sVrdqrVmJptSpEzQJ5rJlg==" w:salt="k34oSDj6to2NviJnavYj+g=="/>
  <w:defaultTabStop w:val="420"/>
  <w:evenAndOddHeaders w:val="1"/>
  <w:drawingGridHorizontalSpacing w:val="105"/>
  <w:drawingGridVerticalSpacing w:val="156"/>
  <w:displayHorizontalDrawingGridEvery w:val="2"/>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24D"/>
    <w:rsid w:val="0000040A"/>
    <w:rsid w:val="00000A94"/>
    <w:rsid w:val="00001972"/>
    <w:rsid w:val="00001D9A"/>
    <w:rsid w:val="00003624"/>
    <w:rsid w:val="000059E8"/>
    <w:rsid w:val="00007B3A"/>
    <w:rsid w:val="000107E0"/>
    <w:rsid w:val="00011FDE"/>
    <w:rsid w:val="00012FFD"/>
    <w:rsid w:val="00014162"/>
    <w:rsid w:val="00014340"/>
    <w:rsid w:val="0001448F"/>
    <w:rsid w:val="00016A9C"/>
    <w:rsid w:val="00017928"/>
    <w:rsid w:val="000217D2"/>
    <w:rsid w:val="00022184"/>
    <w:rsid w:val="00022762"/>
    <w:rsid w:val="000238E0"/>
    <w:rsid w:val="000249DB"/>
    <w:rsid w:val="0002595E"/>
    <w:rsid w:val="00025F69"/>
    <w:rsid w:val="000303C3"/>
    <w:rsid w:val="0003107A"/>
    <w:rsid w:val="00031DDB"/>
    <w:rsid w:val="00032C09"/>
    <w:rsid w:val="000331D3"/>
    <w:rsid w:val="00034048"/>
    <w:rsid w:val="000346A5"/>
    <w:rsid w:val="000359C3"/>
    <w:rsid w:val="00035A7D"/>
    <w:rsid w:val="000365ED"/>
    <w:rsid w:val="000366C2"/>
    <w:rsid w:val="000402B1"/>
    <w:rsid w:val="0004249A"/>
    <w:rsid w:val="00043282"/>
    <w:rsid w:val="00043AB6"/>
    <w:rsid w:val="00044286"/>
    <w:rsid w:val="00044EDF"/>
    <w:rsid w:val="00047F28"/>
    <w:rsid w:val="000503AA"/>
    <w:rsid w:val="000506A1"/>
    <w:rsid w:val="000515DD"/>
    <w:rsid w:val="0005265A"/>
    <w:rsid w:val="000539DD"/>
    <w:rsid w:val="00053BD3"/>
    <w:rsid w:val="00054245"/>
    <w:rsid w:val="000556ED"/>
    <w:rsid w:val="00055FE2"/>
    <w:rsid w:val="0005616F"/>
    <w:rsid w:val="000565AF"/>
    <w:rsid w:val="00056E32"/>
    <w:rsid w:val="00060C2E"/>
    <w:rsid w:val="00061033"/>
    <w:rsid w:val="000617AB"/>
    <w:rsid w:val="000619E9"/>
    <w:rsid w:val="000622D4"/>
    <w:rsid w:val="0006357D"/>
    <w:rsid w:val="00063A8B"/>
    <w:rsid w:val="00065B89"/>
    <w:rsid w:val="00067F1E"/>
    <w:rsid w:val="00071CC0"/>
    <w:rsid w:val="00073214"/>
    <w:rsid w:val="00073C8C"/>
    <w:rsid w:val="0007501E"/>
    <w:rsid w:val="00077B64"/>
    <w:rsid w:val="00080A1C"/>
    <w:rsid w:val="00081C06"/>
    <w:rsid w:val="00082317"/>
    <w:rsid w:val="00083D2C"/>
    <w:rsid w:val="00086AA1"/>
    <w:rsid w:val="00087A77"/>
    <w:rsid w:val="00090CA6"/>
    <w:rsid w:val="00092B8A"/>
    <w:rsid w:val="00092FB0"/>
    <w:rsid w:val="00092FC7"/>
    <w:rsid w:val="000930DE"/>
    <w:rsid w:val="000934C5"/>
    <w:rsid w:val="00093D25"/>
    <w:rsid w:val="00093DAB"/>
    <w:rsid w:val="00094623"/>
    <w:rsid w:val="00094D73"/>
    <w:rsid w:val="0009573B"/>
    <w:rsid w:val="00096D63"/>
    <w:rsid w:val="000A0B60"/>
    <w:rsid w:val="000A0EB8"/>
    <w:rsid w:val="000A19FC"/>
    <w:rsid w:val="000A296B"/>
    <w:rsid w:val="000A499F"/>
    <w:rsid w:val="000A6B6F"/>
    <w:rsid w:val="000A7311"/>
    <w:rsid w:val="000B060F"/>
    <w:rsid w:val="000B07A9"/>
    <w:rsid w:val="000B0D82"/>
    <w:rsid w:val="000B1592"/>
    <w:rsid w:val="000B1FF2"/>
    <w:rsid w:val="000B3CDA"/>
    <w:rsid w:val="000B6A0B"/>
    <w:rsid w:val="000B781E"/>
    <w:rsid w:val="000C0F6C"/>
    <w:rsid w:val="000C11DB"/>
    <w:rsid w:val="000C1492"/>
    <w:rsid w:val="000C1943"/>
    <w:rsid w:val="000C2FBD"/>
    <w:rsid w:val="000C4B41"/>
    <w:rsid w:val="000C4BA3"/>
    <w:rsid w:val="000C4E50"/>
    <w:rsid w:val="000C57D6"/>
    <w:rsid w:val="000C6362"/>
    <w:rsid w:val="000C7666"/>
    <w:rsid w:val="000D0A9C"/>
    <w:rsid w:val="000D16EA"/>
    <w:rsid w:val="000D1795"/>
    <w:rsid w:val="000D329A"/>
    <w:rsid w:val="000D4B9C"/>
    <w:rsid w:val="000D4EB6"/>
    <w:rsid w:val="000D67C5"/>
    <w:rsid w:val="000D753B"/>
    <w:rsid w:val="000D788E"/>
    <w:rsid w:val="000D7BA5"/>
    <w:rsid w:val="000E03A5"/>
    <w:rsid w:val="000E0860"/>
    <w:rsid w:val="000E398B"/>
    <w:rsid w:val="000E3DFF"/>
    <w:rsid w:val="000E4C9E"/>
    <w:rsid w:val="000E5267"/>
    <w:rsid w:val="000E5C9A"/>
    <w:rsid w:val="000E6425"/>
    <w:rsid w:val="000E6FD7"/>
    <w:rsid w:val="000F06E1"/>
    <w:rsid w:val="000F0E3C"/>
    <w:rsid w:val="000F14BA"/>
    <w:rsid w:val="000F170C"/>
    <w:rsid w:val="000F19D5"/>
    <w:rsid w:val="000F4AEA"/>
    <w:rsid w:val="000F5226"/>
    <w:rsid w:val="000F5ADB"/>
    <w:rsid w:val="000F633F"/>
    <w:rsid w:val="000F67E9"/>
    <w:rsid w:val="000F6A52"/>
    <w:rsid w:val="00104926"/>
    <w:rsid w:val="00113B1E"/>
    <w:rsid w:val="00113F14"/>
    <w:rsid w:val="0011665A"/>
    <w:rsid w:val="0011711C"/>
    <w:rsid w:val="0011786E"/>
    <w:rsid w:val="0012059C"/>
    <w:rsid w:val="00121853"/>
    <w:rsid w:val="00121A8C"/>
    <w:rsid w:val="001243FD"/>
    <w:rsid w:val="001245DE"/>
    <w:rsid w:val="00124E4F"/>
    <w:rsid w:val="001260B7"/>
    <w:rsid w:val="001265CB"/>
    <w:rsid w:val="001321C6"/>
    <w:rsid w:val="00132435"/>
    <w:rsid w:val="001325C4"/>
    <w:rsid w:val="00132602"/>
    <w:rsid w:val="0013284E"/>
    <w:rsid w:val="00133010"/>
    <w:rsid w:val="001338EE"/>
    <w:rsid w:val="00133AAE"/>
    <w:rsid w:val="00135323"/>
    <w:rsid w:val="001356C4"/>
    <w:rsid w:val="001357BA"/>
    <w:rsid w:val="00135CB2"/>
    <w:rsid w:val="00137817"/>
    <w:rsid w:val="001406D8"/>
    <w:rsid w:val="00141114"/>
    <w:rsid w:val="00142805"/>
    <w:rsid w:val="00142927"/>
    <w:rsid w:val="00142969"/>
    <w:rsid w:val="001446C2"/>
    <w:rsid w:val="001457E7"/>
    <w:rsid w:val="00145D9D"/>
    <w:rsid w:val="00146388"/>
    <w:rsid w:val="00150602"/>
    <w:rsid w:val="001529E5"/>
    <w:rsid w:val="00153C7E"/>
    <w:rsid w:val="00156B25"/>
    <w:rsid w:val="00156E1A"/>
    <w:rsid w:val="00157467"/>
    <w:rsid w:val="00157894"/>
    <w:rsid w:val="00157B55"/>
    <w:rsid w:val="00163C5E"/>
    <w:rsid w:val="001642FA"/>
    <w:rsid w:val="001649EB"/>
    <w:rsid w:val="00164BAF"/>
    <w:rsid w:val="00164FA8"/>
    <w:rsid w:val="00165065"/>
    <w:rsid w:val="00165434"/>
    <w:rsid w:val="0016580B"/>
    <w:rsid w:val="00165F49"/>
    <w:rsid w:val="00166B88"/>
    <w:rsid w:val="001673FE"/>
    <w:rsid w:val="0016770A"/>
    <w:rsid w:val="00170804"/>
    <w:rsid w:val="001708E9"/>
    <w:rsid w:val="001713C0"/>
    <w:rsid w:val="00172505"/>
    <w:rsid w:val="0017340B"/>
    <w:rsid w:val="00173FB1"/>
    <w:rsid w:val="0017425C"/>
    <w:rsid w:val="00176DFD"/>
    <w:rsid w:val="00180823"/>
    <w:rsid w:val="0018149B"/>
    <w:rsid w:val="001848EC"/>
    <w:rsid w:val="00184BAD"/>
    <w:rsid w:val="00184E9D"/>
    <w:rsid w:val="001852C9"/>
    <w:rsid w:val="001861F3"/>
    <w:rsid w:val="00190087"/>
    <w:rsid w:val="001909B7"/>
    <w:rsid w:val="001913C4"/>
    <w:rsid w:val="0019348F"/>
    <w:rsid w:val="00193A07"/>
    <w:rsid w:val="00193F12"/>
    <w:rsid w:val="00193F32"/>
    <w:rsid w:val="001947E4"/>
    <w:rsid w:val="0019481C"/>
    <w:rsid w:val="00194C95"/>
    <w:rsid w:val="00194EA8"/>
    <w:rsid w:val="00195C34"/>
    <w:rsid w:val="001966E2"/>
    <w:rsid w:val="00196EF5"/>
    <w:rsid w:val="001A00A7"/>
    <w:rsid w:val="001A03DE"/>
    <w:rsid w:val="001A1A53"/>
    <w:rsid w:val="001A234A"/>
    <w:rsid w:val="001A31F0"/>
    <w:rsid w:val="001A45AF"/>
    <w:rsid w:val="001A4CF3"/>
    <w:rsid w:val="001A56C3"/>
    <w:rsid w:val="001B06E8"/>
    <w:rsid w:val="001B0AF8"/>
    <w:rsid w:val="001B4725"/>
    <w:rsid w:val="001B628C"/>
    <w:rsid w:val="001B63CB"/>
    <w:rsid w:val="001B6633"/>
    <w:rsid w:val="001B6B7D"/>
    <w:rsid w:val="001B71D0"/>
    <w:rsid w:val="001B71EE"/>
    <w:rsid w:val="001C04A8"/>
    <w:rsid w:val="001C2005"/>
    <w:rsid w:val="001C2C03"/>
    <w:rsid w:val="001C42F7"/>
    <w:rsid w:val="001C49E5"/>
    <w:rsid w:val="001C4F1A"/>
    <w:rsid w:val="001C680C"/>
    <w:rsid w:val="001C7FEA"/>
    <w:rsid w:val="001D0499"/>
    <w:rsid w:val="001D0BBE"/>
    <w:rsid w:val="001D0ED4"/>
    <w:rsid w:val="001D212F"/>
    <w:rsid w:val="001D2539"/>
    <w:rsid w:val="001D29D7"/>
    <w:rsid w:val="001D2DE7"/>
    <w:rsid w:val="001D3D82"/>
    <w:rsid w:val="001D411C"/>
    <w:rsid w:val="001D43B1"/>
    <w:rsid w:val="001E1B6A"/>
    <w:rsid w:val="001E2484"/>
    <w:rsid w:val="001E3CC4"/>
    <w:rsid w:val="001E4882"/>
    <w:rsid w:val="001E73AB"/>
    <w:rsid w:val="001F092D"/>
    <w:rsid w:val="001F143A"/>
    <w:rsid w:val="001F1605"/>
    <w:rsid w:val="001F19A8"/>
    <w:rsid w:val="001F2508"/>
    <w:rsid w:val="001F3D3E"/>
    <w:rsid w:val="001F4816"/>
    <w:rsid w:val="001F4DDC"/>
    <w:rsid w:val="001F4EE9"/>
    <w:rsid w:val="001F64B2"/>
    <w:rsid w:val="001F69B4"/>
    <w:rsid w:val="001F77C7"/>
    <w:rsid w:val="001F7DC8"/>
    <w:rsid w:val="00200183"/>
    <w:rsid w:val="00200333"/>
    <w:rsid w:val="00200C85"/>
    <w:rsid w:val="0020107D"/>
    <w:rsid w:val="00202AA4"/>
    <w:rsid w:val="002031F7"/>
    <w:rsid w:val="002040E6"/>
    <w:rsid w:val="0020527B"/>
    <w:rsid w:val="00205F2C"/>
    <w:rsid w:val="00210B15"/>
    <w:rsid w:val="002131DA"/>
    <w:rsid w:val="0021325F"/>
    <w:rsid w:val="002135F6"/>
    <w:rsid w:val="002140A8"/>
    <w:rsid w:val="002142EA"/>
    <w:rsid w:val="002204BB"/>
    <w:rsid w:val="00220F8E"/>
    <w:rsid w:val="00221B79"/>
    <w:rsid w:val="00221C6B"/>
    <w:rsid w:val="00224C4B"/>
    <w:rsid w:val="00225124"/>
    <w:rsid w:val="002253A1"/>
    <w:rsid w:val="00225CF8"/>
    <w:rsid w:val="0022794E"/>
    <w:rsid w:val="0023180F"/>
    <w:rsid w:val="002324FA"/>
    <w:rsid w:val="00233D64"/>
    <w:rsid w:val="00233DED"/>
    <w:rsid w:val="0023482A"/>
    <w:rsid w:val="002359CB"/>
    <w:rsid w:val="002369FE"/>
    <w:rsid w:val="00243540"/>
    <w:rsid w:val="00243979"/>
    <w:rsid w:val="0024497B"/>
    <w:rsid w:val="0024515B"/>
    <w:rsid w:val="00246021"/>
    <w:rsid w:val="0024666E"/>
    <w:rsid w:val="00247F52"/>
    <w:rsid w:val="00250B25"/>
    <w:rsid w:val="00250BBE"/>
    <w:rsid w:val="00250ECF"/>
    <w:rsid w:val="002515C2"/>
    <w:rsid w:val="0025194F"/>
    <w:rsid w:val="00252836"/>
    <w:rsid w:val="0025287B"/>
    <w:rsid w:val="002536CB"/>
    <w:rsid w:val="00253AA5"/>
    <w:rsid w:val="00257E78"/>
    <w:rsid w:val="0026148A"/>
    <w:rsid w:val="00262696"/>
    <w:rsid w:val="00263D25"/>
    <w:rsid w:val="002643C3"/>
    <w:rsid w:val="00264A0C"/>
    <w:rsid w:val="002654A0"/>
    <w:rsid w:val="00266BE8"/>
    <w:rsid w:val="00266EEB"/>
    <w:rsid w:val="00267D00"/>
    <w:rsid w:val="00267EF4"/>
    <w:rsid w:val="00270CB8"/>
    <w:rsid w:val="0027287C"/>
    <w:rsid w:val="00272B08"/>
    <w:rsid w:val="00273104"/>
    <w:rsid w:val="00276F00"/>
    <w:rsid w:val="002771AC"/>
    <w:rsid w:val="002812F1"/>
    <w:rsid w:val="00281BB8"/>
    <w:rsid w:val="00281E9E"/>
    <w:rsid w:val="00282405"/>
    <w:rsid w:val="00284562"/>
    <w:rsid w:val="00284DE1"/>
    <w:rsid w:val="00285170"/>
    <w:rsid w:val="00285361"/>
    <w:rsid w:val="00286FDC"/>
    <w:rsid w:val="00292CEA"/>
    <w:rsid w:val="00292D60"/>
    <w:rsid w:val="00293879"/>
    <w:rsid w:val="00293B30"/>
    <w:rsid w:val="00294D34"/>
    <w:rsid w:val="00294E3B"/>
    <w:rsid w:val="00296193"/>
    <w:rsid w:val="00296730"/>
    <w:rsid w:val="00296C66"/>
    <w:rsid w:val="00296EBE"/>
    <w:rsid w:val="00297084"/>
    <w:rsid w:val="002974E3"/>
    <w:rsid w:val="002A084B"/>
    <w:rsid w:val="002A1260"/>
    <w:rsid w:val="002A1589"/>
    <w:rsid w:val="002A1608"/>
    <w:rsid w:val="002A18F0"/>
    <w:rsid w:val="002A25DC"/>
    <w:rsid w:val="002A305B"/>
    <w:rsid w:val="002A3AAB"/>
    <w:rsid w:val="002A4CEA"/>
    <w:rsid w:val="002A4E02"/>
    <w:rsid w:val="002A5150"/>
    <w:rsid w:val="002A5977"/>
    <w:rsid w:val="002A5A13"/>
    <w:rsid w:val="002A5D13"/>
    <w:rsid w:val="002A757F"/>
    <w:rsid w:val="002A7F44"/>
    <w:rsid w:val="002B0C40"/>
    <w:rsid w:val="002B12F1"/>
    <w:rsid w:val="002B14A6"/>
    <w:rsid w:val="002B1966"/>
    <w:rsid w:val="002B4508"/>
    <w:rsid w:val="002B4EB0"/>
    <w:rsid w:val="002B5779"/>
    <w:rsid w:val="002B7332"/>
    <w:rsid w:val="002B7F51"/>
    <w:rsid w:val="002C09E7"/>
    <w:rsid w:val="002C1E06"/>
    <w:rsid w:val="002C1E1C"/>
    <w:rsid w:val="002C3F07"/>
    <w:rsid w:val="002C4F08"/>
    <w:rsid w:val="002C5278"/>
    <w:rsid w:val="002C6B35"/>
    <w:rsid w:val="002C6DBE"/>
    <w:rsid w:val="002C7D41"/>
    <w:rsid w:val="002C7EBB"/>
    <w:rsid w:val="002D06C1"/>
    <w:rsid w:val="002D3C87"/>
    <w:rsid w:val="002D42B5"/>
    <w:rsid w:val="002D4F1A"/>
    <w:rsid w:val="002D5F78"/>
    <w:rsid w:val="002D6EC6"/>
    <w:rsid w:val="002D79AC"/>
    <w:rsid w:val="002E039D"/>
    <w:rsid w:val="002E1AC1"/>
    <w:rsid w:val="002E4D5A"/>
    <w:rsid w:val="002E6326"/>
    <w:rsid w:val="002F030A"/>
    <w:rsid w:val="002F1165"/>
    <w:rsid w:val="002F30E0"/>
    <w:rsid w:val="002F35E4"/>
    <w:rsid w:val="002F3730"/>
    <w:rsid w:val="002F38E1"/>
    <w:rsid w:val="002F519B"/>
    <w:rsid w:val="002F7AF6"/>
    <w:rsid w:val="0030037C"/>
    <w:rsid w:val="00300E63"/>
    <w:rsid w:val="00301499"/>
    <w:rsid w:val="003016A5"/>
    <w:rsid w:val="003019A4"/>
    <w:rsid w:val="00302615"/>
    <w:rsid w:val="00302F5F"/>
    <w:rsid w:val="0030441D"/>
    <w:rsid w:val="00306063"/>
    <w:rsid w:val="00306729"/>
    <w:rsid w:val="00312EBE"/>
    <w:rsid w:val="00313B85"/>
    <w:rsid w:val="00317988"/>
    <w:rsid w:val="003221B4"/>
    <w:rsid w:val="0032258D"/>
    <w:rsid w:val="00322E62"/>
    <w:rsid w:val="00323A81"/>
    <w:rsid w:val="00323BD0"/>
    <w:rsid w:val="00324D13"/>
    <w:rsid w:val="00324D2A"/>
    <w:rsid w:val="00324EDD"/>
    <w:rsid w:val="003256FC"/>
    <w:rsid w:val="003276A0"/>
    <w:rsid w:val="0033310E"/>
    <w:rsid w:val="003331E4"/>
    <w:rsid w:val="00335E15"/>
    <w:rsid w:val="00336C64"/>
    <w:rsid w:val="00337162"/>
    <w:rsid w:val="0033753F"/>
    <w:rsid w:val="0034194F"/>
    <w:rsid w:val="00343CC9"/>
    <w:rsid w:val="00344605"/>
    <w:rsid w:val="00345372"/>
    <w:rsid w:val="0034606C"/>
    <w:rsid w:val="003474AA"/>
    <w:rsid w:val="0035090E"/>
    <w:rsid w:val="00350D1D"/>
    <w:rsid w:val="003519C3"/>
    <w:rsid w:val="0035201D"/>
    <w:rsid w:val="00352C83"/>
    <w:rsid w:val="00353E0F"/>
    <w:rsid w:val="00361238"/>
    <w:rsid w:val="003615D2"/>
    <w:rsid w:val="00361FD0"/>
    <w:rsid w:val="0036429C"/>
    <w:rsid w:val="00364A53"/>
    <w:rsid w:val="003654CB"/>
    <w:rsid w:val="00365AA9"/>
    <w:rsid w:val="00365F86"/>
    <w:rsid w:val="00365F87"/>
    <w:rsid w:val="00366E89"/>
    <w:rsid w:val="00367A8E"/>
    <w:rsid w:val="003705F4"/>
    <w:rsid w:val="00370D58"/>
    <w:rsid w:val="00371316"/>
    <w:rsid w:val="00376713"/>
    <w:rsid w:val="0037740E"/>
    <w:rsid w:val="00381501"/>
    <w:rsid w:val="00381815"/>
    <w:rsid w:val="003819AF"/>
    <w:rsid w:val="003820E9"/>
    <w:rsid w:val="00382DE7"/>
    <w:rsid w:val="00383E45"/>
    <w:rsid w:val="00384FFC"/>
    <w:rsid w:val="00385A86"/>
    <w:rsid w:val="003872FC"/>
    <w:rsid w:val="00387ADC"/>
    <w:rsid w:val="00390020"/>
    <w:rsid w:val="003903D6"/>
    <w:rsid w:val="00390EE6"/>
    <w:rsid w:val="0039118F"/>
    <w:rsid w:val="00392AD7"/>
    <w:rsid w:val="003938D9"/>
    <w:rsid w:val="00394376"/>
    <w:rsid w:val="003943FF"/>
    <w:rsid w:val="00394B00"/>
    <w:rsid w:val="00395700"/>
    <w:rsid w:val="003957B3"/>
    <w:rsid w:val="003962DF"/>
    <w:rsid w:val="003974EB"/>
    <w:rsid w:val="00397A22"/>
    <w:rsid w:val="00397CC5"/>
    <w:rsid w:val="003A1582"/>
    <w:rsid w:val="003A1FCD"/>
    <w:rsid w:val="003A4077"/>
    <w:rsid w:val="003A46F1"/>
    <w:rsid w:val="003B09AD"/>
    <w:rsid w:val="003B1F18"/>
    <w:rsid w:val="003B2F9B"/>
    <w:rsid w:val="003B3F12"/>
    <w:rsid w:val="003B5BF0"/>
    <w:rsid w:val="003B60BF"/>
    <w:rsid w:val="003B6BE3"/>
    <w:rsid w:val="003B6C81"/>
    <w:rsid w:val="003C010C"/>
    <w:rsid w:val="003C0A6C"/>
    <w:rsid w:val="003C14F8"/>
    <w:rsid w:val="003C4080"/>
    <w:rsid w:val="003C53CC"/>
    <w:rsid w:val="003C5A43"/>
    <w:rsid w:val="003D0519"/>
    <w:rsid w:val="003D0FF6"/>
    <w:rsid w:val="003D262C"/>
    <w:rsid w:val="003D46BB"/>
    <w:rsid w:val="003D6D61"/>
    <w:rsid w:val="003D6E9C"/>
    <w:rsid w:val="003D79C6"/>
    <w:rsid w:val="003E091D"/>
    <w:rsid w:val="003E1C53"/>
    <w:rsid w:val="003E2A69"/>
    <w:rsid w:val="003E2D49"/>
    <w:rsid w:val="003E2FD4"/>
    <w:rsid w:val="003E49F6"/>
    <w:rsid w:val="003E660F"/>
    <w:rsid w:val="003E751F"/>
    <w:rsid w:val="003E7650"/>
    <w:rsid w:val="003F0841"/>
    <w:rsid w:val="003F12E0"/>
    <w:rsid w:val="003F1318"/>
    <w:rsid w:val="003F23D3"/>
    <w:rsid w:val="003F35CC"/>
    <w:rsid w:val="003F3F08"/>
    <w:rsid w:val="003F49F1"/>
    <w:rsid w:val="003F4A3D"/>
    <w:rsid w:val="003F6272"/>
    <w:rsid w:val="003F7354"/>
    <w:rsid w:val="00400897"/>
    <w:rsid w:val="00400E72"/>
    <w:rsid w:val="00401400"/>
    <w:rsid w:val="004020D8"/>
    <w:rsid w:val="00404869"/>
    <w:rsid w:val="00405884"/>
    <w:rsid w:val="00406875"/>
    <w:rsid w:val="00407D39"/>
    <w:rsid w:val="0041139E"/>
    <w:rsid w:val="0041162E"/>
    <w:rsid w:val="004131CD"/>
    <w:rsid w:val="00413245"/>
    <w:rsid w:val="0041477A"/>
    <w:rsid w:val="004154E7"/>
    <w:rsid w:val="004167A3"/>
    <w:rsid w:val="00417897"/>
    <w:rsid w:val="0042074B"/>
    <w:rsid w:val="00422738"/>
    <w:rsid w:val="004228D4"/>
    <w:rsid w:val="00424989"/>
    <w:rsid w:val="004329E3"/>
    <w:rsid w:val="00432DAA"/>
    <w:rsid w:val="00434305"/>
    <w:rsid w:val="00435DF7"/>
    <w:rsid w:val="00435E02"/>
    <w:rsid w:val="00436A8E"/>
    <w:rsid w:val="00436B24"/>
    <w:rsid w:val="0043729E"/>
    <w:rsid w:val="00437E43"/>
    <w:rsid w:val="004405EF"/>
    <w:rsid w:val="004406E6"/>
    <w:rsid w:val="0044083F"/>
    <w:rsid w:val="00441AE7"/>
    <w:rsid w:val="004431D8"/>
    <w:rsid w:val="00443707"/>
    <w:rsid w:val="00445574"/>
    <w:rsid w:val="00445898"/>
    <w:rsid w:val="004467FB"/>
    <w:rsid w:val="0045248A"/>
    <w:rsid w:val="00452B1B"/>
    <w:rsid w:val="00452D6B"/>
    <w:rsid w:val="00454484"/>
    <w:rsid w:val="0045517B"/>
    <w:rsid w:val="00462D44"/>
    <w:rsid w:val="00463060"/>
    <w:rsid w:val="00463B77"/>
    <w:rsid w:val="00463C7B"/>
    <w:rsid w:val="004644A6"/>
    <w:rsid w:val="004659BD"/>
    <w:rsid w:val="00470775"/>
    <w:rsid w:val="004733BC"/>
    <w:rsid w:val="004746B1"/>
    <w:rsid w:val="0047583F"/>
    <w:rsid w:val="00475DE8"/>
    <w:rsid w:val="00481C44"/>
    <w:rsid w:val="00481DF4"/>
    <w:rsid w:val="00482189"/>
    <w:rsid w:val="00482EAD"/>
    <w:rsid w:val="00484936"/>
    <w:rsid w:val="00485C89"/>
    <w:rsid w:val="00486A33"/>
    <w:rsid w:val="00486BE3"/>
    <w:rsid w:val="00487AB8"/>
    <w:rsid w:val="00490463"/>
    <w:rsid w:val="004905E4"/>
    <w:rsid w:val="004909EC"/>
    <w:rsid w:val="00490A89"/>
    <w:rsid w:val="00490AB4"/>
    <w:rsid w:val="00490DC9"/>
    <w:rsid w:val="00492F02"/>
    <w:rsid w:val="004937A7"/>
    <w:rsid w:val="004939AE"/>
    <w:rsid w:val="00494BF5"/>
    <w:rsid w:val="004A12DF"/>
    <w:rsid w:val="004A17E6"/>
    <w:rsid w:val="004A1BA8"/>
    <w:rsid w:val="004A1C0D"/>
    <w:rsid w:val="004A4B57"/>
    <w:rsid w:val="004A63FA"/>
    <w:rsid w:val="004A7C7C"/>
    <w:rsid w:val="004B0272"/>
    <w:rsid w:val="004B143C"/>
    <w:rsid w:val="004B2701"/>
    <w:rsid w:val="004B2E1B"/>
    <w:rsid w:val="004B3AA8"/>
    <w:rsid w:val="004B3E93"/>
    <w:rsid w:val="004B68D4"/>
    <w:rsid w:val="004C0BBE"/>
    <w:rsid w:val="004C1A2A"/>
    <w:rsid w:val="004C1FBC"/>
    <w:rsid w:val="004C3F1D"/>
    <w:rsid w:val="004C458D"/>
    <w:rsid w:val="004C5D8F"/>
    <w:rsid w:val="004C7556"/>
    <w:rsid w:val="004C7E8B"/>
    <w:rsid w:val="004C7E9D"/>
    <w:rsid w:val="004C7F67"/>
    <w:rsid w:val="004D076D"/>
    <w:rsid w:val="004D0EF1"/>
    <w:rsid w:val="004D150E"/>
    <w:rsid w:val="004D2253"/>
    <w:rsid w:val="004D3ECF"/>
    <w:rsid w:val="004D4406"/>
    <w:rsid w:val="004D580B"/>
    <w:rsid w:val="004D7C42"/>
    <w:rsid w:val="004E0465"/>
    <w:rsid w:val="004E127B"/>
    <w:rsid w:val="004E1C0A"/>
    <w:rsid w:val="004E221A"/>
    <w:rsid w:val="004E2B06"/>
    <w:rsid w:val="004E30C5"/>
    <w:rsid w:val="004E3689"/>
    <w:rsid w:val="004E4AA5"/>
    <w:rsid w:val="004E4AEE"/>
    <w:rsid w:val="004E59E3"/>
    <w:rsid w:val="004E67C0"/>
    <w:rsid w:val="004F1EDB"/>
    <w:rsid w:val="004F391A"/>
    <w:rsid w:val="004F3CFB"/>
    <w:rsid w:val="004F4D55"/>
    <w:rsid w:val="004F5F57"/>
    <w:rsid w:val="004F6456"/>
    <w:rsid w:val="004F696E"/>
    <w:rsid w:val="004F6C71"/>
    <w:rsid w:val="00501139"/>
    <w:rsid w:val="0050363E"/>
    <w:rsid w:val="005039BC"/>
    <w:rsid w:val="005043BB"/>
    <w:rsid w:val="00504A3D"/>
    <w:rsid w:val="00505767"/>
    <w:rsid w:val="005073F0"/>
    <w:rsid w:val="00510A7B"/>
    <w:rsid w:val="005126F7"/>
    <w:rsid w:val="00512F6E"/>
    <w:rsid w:val="00513038"/>
    <w:rsid w:val="00513781"/>
    <w:rsid w:val="00514174"/>
    <w:rsid w:val="00515FE4"/>
    <w:rsid w:val="00516088"/>
    <w:rsid w:val="005161B6"/>
    <w:rsid w:val="00516B0B"/>
    <w:rsid w:val="005220EC"/>
    <w:rsid w:val="00523F95"/>
    <w:rsid w:val="005245D9"/>
    <w:rsid w:val="0052486F"/>
    <w:rsid w:val="00524D65"/>
    <w:rsid w:val="00525B16"/>
    <w:rsid w:val="00526030"/>
    <w:rsid w:val="00531C76"/>
    <w:rsid w:val="00532B7A"/>
    <w:rsid w:val="00533D04"/>
    <w:rsid w:val="00534804"/>
    <w:rsid w:val="00534BDF"/>
    <w:rsid w:val="005354EA"/>
    <w:rsid w:val="0053585F"/>
    <w:rsid w:val="00535EC4"/>
    <w:rsid w:val="00535ED9"/>
    <w:rsid w:val="0053692B"/>
    <w:rsid w:val="00540EF6"/>
    <w:rsid w:val="00541853"/>
    <w:rsid w:val="005420F1"/>
    <w:rsid w:val="00542852"/>
    <w:rsid w:val="00543BDA"/>
    <w:rsid w:val="005441CC"/>
    <w:rsid w:val="00545E31"/>
    <w:rsid w:val="005479DA"/>
    <w:rsid w:val="00547BCC"/>
    <w:rsid w:val="00547C60"/>
    <w:rsid w:val="0055013B"/>
    <w:rsid w:val="00551F6F"/>
    <w:rsid w:val="00552431"/>
    <w:rsid w:val="00552592"/>
    <w:rsid w:val="00552CD9"/>
    <w:rsid w:val="005544B3"/>
    <w:rsid w:val="00555044"/>
    <w:rsid w:val="005575B5"/>
    <w:rsid w:val="00561475"/>
    <w:rsid w:val="0056487B"/>
    <w:rsid w:val="00564FB9"/>
    <w:rsid w:val="00570195"/>
    <w:rsid w:val="00571A0D"/>
    <w:rsid w:val="005728EF"/>
    <w:rsid w:val="00573D9E"/>
    <w:rsid w:val="00576AF7"/>
    <w:rsid w:val="005779BF"/>
    <w:rsid w:val="005801E3"/>
    <w:rsid w:val="00580601"/>
    <w:rsid w:val="00581802"/>
    <w:rsid w:val="005836A8"/>
    <w:rsid w:val="0058409C"/>
    <w:rsid w:val="00584262"/>
    <w:rsid w:val="00586630"/>
    <w:rsid w:val="00587ADD"/>
    <w:rsid w:val="00591728"/>
    <w:rsid w:val="00591E27"/>
    <w:rsid w:val="00596160"/>
    <w:rsid w:val="005966E2"/>
    <w:rsid w:val="00597007"/>
    <w:rsid w:val="005A0966"/>
    <w:rsid w:val="005A11B7"/>
    <w:rsid w:val="005A260B"/>
    <w:rsid w:val="005A3166"/>
    <w:rsid w:val="005A3A9C"/>
    <w:rsid w:val="005A4A1B"/>
    <w:rsid w:val="005A5FC8"/>
    <w:rsid w:val="005A7830"/>
    <w:rsid w:val="005A7FCE"/>
    <w:rsid w:val="005B0F3F"/>
    <w:rsid w:val="005B4903"/>
    <w:rsid w:val="005B51CE"/>
    <w:rsid w:val="005B5885"/>
    <w:rsid w:val="005B5CD7"/>
    <w:rsid w:val="005B6749"/>
    <w:rsid w:val="005B69BC"/>
    <w:rsid w:val="005B6CF6"/>
    <w:rsid w:val="005B7422"/>
    <w:rsid w:val="005C12D4"/>
    <w:rsid w:val="005C29B8"/>
    <w:rsid w:val="005C5EE3"/>
    <w:rsid w:val="005C5F21"/>
    <w:rsid w:val="005C6252"/>
    <w:rsid w:val="005C7156"/>
    <w:rsid w:val="005C7E43"/>
    <w:rsid w:val="005D0C75"/>
    <w:rsid w:val="005D1378"/>
    <w:rsid w:val="005D2957"/>
    <w:rsid w:val="005D2EBA"/>
    <w:rsid w:val="005D4171"/>
    <w:rsid w:val="005D4C54"/>
    <w:rsid w:val="005D6A95"/>
    <w:rsid w:val="005D6B2C"/>
    <w:rsid w:val="005D6D9C"/>
    <w:rsid w:val="005D7891"/>
    <w:rsid w:val="005E04A2"/>
    <w:rsid w:val="005E1A48"/>
    <w:rsid w:val="005E1C17"/>
    <w:rsid w:val="005E2335"/>
    <w:rsid w:val="005E246F"/>
    <w:rsid w:val="005E34CA"/>
    <w:rsid w:val="005E3C18"/>
    <w:rsid w:val="005E6812"/>
    <w:rsid w:val="005E7881"/>
    <w:rsid w:val="005E78E0"/>
    <w:rsid w:val="005F0D9C"/>
    <w:rsid w:val="005F284E"/>
    <w:rsid w:val="005F40D4"/>
    <w:rsid w:val="005F4712"/>
    <w:rsid w:val="005F6DD3"/>
    <w:rsid w:val="005F7CCA"/>
    <w:rsid w:val="00600AAF"/>
    <w:rsid w:val="006015CE"/>
    <w:rsid w:val="00602D10"/>
    <w:rsid w:val="00603187"/>
    <w:rsid w:val="00604784"/>
    <w:rsid w:val="00606419"/>
    <w:rsid w:val="00607D29"/>
    <w:rsid w:val="00611040"/>
    <w:rsid w:val="00612952"/>
    <w:rsid w:val="00612FC4"/>
    <w:rsid w:val="00614CC1"/>
    <w:rsid w:val="00615A9D"/>
    <w:rsid w:val="00615F76"/>
    <w:rsid w:val="0061684E"/>
    <w:rsid w:val="00617387"/>
    <w:rsid w:val="006203D1"/>
    <w:rsid w:val="006204B5"/>
    <w:rsid w:val="006205D6"/>
    <w:rsid w:val="00621640"/>
    <w:rsid w:val="006231FD"/>
    <w:rsid w:val="006239F5"/>
    <w:rsid w:val="006252D8"/>
    <w:rsid w:val="006259BC"/>
    <w:rsid w:val="0062636B"/>
    <w:rsid w:val="00626B90"/>
    <w:rsid w:val="00626D1A"/>
    <w:rsid w:val="0062702A"/>
    <w:rsid w:val="00627747"/>
    <w:rsid w:val="00627CC1"/>
    <w:rsid w:val="00632182"/>
    <w:rsid w:val="00632AE0"/>
    <w:rsid w:val="00633C17"/>
    <w:rsid w:val="00634D9E"/>
    <w:rsid w:val="00636DD4"/>
    <w:rsid w:val="00636E3E"/>
    <w:rsid w:val="006372B8"/>
    <w:rsid w:val="006379F7"/>
    <w:rsid w:val="00637E4D"/>
    <w:rsid w:val="00640620"/>
    <w:rsid w:val="00641A1F"/>
    <w:rsid w:val="00645904"/>
    <w:rsid w:val="006512A5"/>
    <w:rsid w:val="00651ACB"/>
    <w:rsid w:val="00651C47"/>
    <w:rsid w:val="00652AB2"/>
    <w:rsid w:val="00653FB3"/>
    <w:rsid w:val="00653FED"/>
    <w:rsid w:val="00654B71"/>
    <w:rsid w:val="00654EC0"/>
    <w:rsid w:val="0065525B"/>
    <w:rsid w:val="00655D4F"/>
    <w:rsid w:val="00656363"/>
    <w:rsid w:val="00656D29"/>
    <w:rsid w:val="006614A5"/>
    <w:rsid w:val="00661E7B"/>
    <w:rsid w:val="006640E5"/>
    <w:rsid w:val="006646F1"/>
    <w:rsid w:val="00664929"/>
    <w:rsid w:val="00664F62"/>
    <w:rsid w:val="006655E1"/>
    <w:rsid w:val="00665888"/>
    <w:rsid w:val="006664B9"/>
    <w:rsid w:val="00671144"/>
    <w:rsid w:val="00672035"/>
    <w:rsid w:val="00672060"/>
    <w:rsid w:val="00672BFD"/>
    <w:rsid w:val="00675E73"/>
    <w:rsid w:val="006770F4"/>
    <w:rsid w:val="00677A84"/>
    <w:rsid w:val="00680187"/>
    <w:rsid w:val="0068026D"/>
    <w:rsid w:val="00680A27"/>
    <w:rsid w:val="006816A4"/>
    <w:rsid w:val="006819B8"/>
    <w:rsid w:val="00682DF3"/>
    <w:rsid w:val="00682FBF"/>
    <w:rsid w:val="006840A6"/>
    <w:rsid w:val="00684928"/>
    <w:rsid w:val="006850CD"/>
    <w:rsid w:val="00685AAB"/>
    <w:rsid w:val="00691EEF"/>
    <w:rsid w:val="006938BE"/>
    <w:rsid w:val="00695D22"/>
    <w:rsid w:val="006966DE"/>
    <w:rsid w:val="006A0677"/>
    <w:rsid w:val="006A07AA"/>
    <w:rsid w:val="006A25E5"/>
    <w:rsid w:val="006A2661"/>
    <w:rsid w:val="006A26F1"/>
    <w:rsid w:val="006A2B46"/>
    <w:rsid w:val="006A336D"/>
    <w:rsid w:val="006A37B9"/>
    <w:rsid w:val="006A610F"/>
    <w:rsid w:val="006B22D0"/>
    <w:rsid w:val="006B2672"/>
    <w:rsid w:val="006B4FBC"/>
    <w:rsid w:val="006B54BF"/>
    <w:rsid w:val="006B5F44"/>
    <w:rsid w:val="006B5F90"/>
    <w:rsid w:val="006B62E4"/>
    <w:rsid w:val="006C024E"/>
    <w:rsid w:val="006C1BBA"/>
    <w:rsid w:val="006C2079"/>
    <w:rsid w:val="006C5A62"/>
    <w:rsid w:val="006C5D68"/>
    <w:rsid w:val="006C6976"/>
    <w:rsid w:val="006C6DD0"/>
    <w:rsid w:val="006D04EA"/>
    <w:rsid w:val="006D0AB7"/>
    <w:rsid w:val="006D16C4"/>
    <w:rsid w:val="006D3E96"/>
    <w:rsid w:val="006D4515"/>
    <w:rsid w:val="006D4BB1"/>
    <w:rsid w:val="006D4EBD"/>
    <w:rsid w:val="006D540A"/>
    <w:rsid w:val="006D6593"/>
    <w:rsid w:val="006D6674"/>
    <w:rsid w:val="006D7514"/>
    <w:rsid w:val="006E0BC8"/>
    <w:rsid w:val="006E0F73"/>
    <w:rsid w:val="006E23EA"/>
    <w:rsid w:val="006E4CCF"/>
    <w:rsid w:val="006F03A8"/>
    <w:rsid w:val="006F165A"/>
    <w:rsid w:val="006F2ACA"/>
    <w:rsid w:val="006F2ADC"/>
    <w:rsid w:val="006F2BFE"/>
    <w:rsid w:val="006F31E9"/>
    <w:rsid w:val="006F3F5D"/>
    <w:rsid w:val="006F6284"/>
    <w:rsid w:val="006F7B4D"/>
    <w:rsid w:val="007002C5"/>
    <w:rsid w:val="00700A4D"/>
    <w:rsid w:val="00703BCA"/>
    <w:rsid w:val="0070415D"/>
    <w:rsid w:val="00704387"/>
    <w:rsid w:val="00705440"/>
    <w:rsid w:val="0070550F"/>
    <w:rsid w:val="00706A58"/>
    <w:rsid w:val="00707669"/>
    <w:rsid w:val="007117CE"/>
    <w:rsid w:val="00711CBA"/>
    <w:rsid w:val="00711FB5"/>
    <w:rsid w:val="00712A01"/>
    <w:rsid w:val="007149D3"/>
    <w:rsid w:val="00714F58"/>
    <w:rsid w:val="007150C5"/>
    <w:rsid w:val="0071749B"/>
    <w:rsid w:val="00722FBF"/>
    <w:rsid w:val="00722FC2"/>
    <w:rsid w:val="00724879"/>
    <w:rsid w:val="00724E1B"/>
    <w:rsid w:val="007250DC"/>
    <w:rsid w:val="00725949"/>
    <w:rsid w:val="00727D88"/>
    <w:rsid w:val="00727FA2"/>
    <w:rsid w:val="0073191C"/>
    <w:rsid w:val="007322D9"/>
    <w:rsid w:val="00732BC0"/>
    <w:rsid w:val="007332A2"/>
    <w:rsid w:val="007338BC"/>
    <w:rsid w:val="007341FB"/>
    <w:rsid w:val="00736137"/>
    <w:rsid w:val="0073720F"/>
    <w:rsid w:val="00737796"/>
    <w:rsid w:val="0074165C"/>
    <w:rsid w:val="00742C35"/>
    <w:rsid w:val="007432CA"/>
    <w:rsid w:val="007439EB"/>
    <w:rsid w:val="00743CB4"/>
    <w:rsid w:val="00743F0A"/>
    <w:rsid w:val="007444E8"/>
    <w:rsid w:val="00744841"/>
    <w:rsid w:val="0074548E"/>
    <w:rsid w:val="00745669"/>
    <w:rsid w:val="00745773"/>
    <w:rsid w:val="00746800"/>
    <w:rsid w:val="007473F1"/>
    <w:rsid w:val="007501A8"/>
    <w:rsid w:val="00750479"/>
    <w:rsid w:val="00750D61"/>
    <w:rsid w:val="00750E55"/>
    <w:rsid w:val="00750EE1"/>
    <w:rsid w:val="00751C91"/>
    <w:rsid w:val="00752073"/>
    <w:rsid w:val="00752187"/>
    <w:rsid w:val="00752B4D"/>
    <w:rsid w:val="00752C38"/>
    <w:rsid w:val="00755402"/>
    <w:rsid w:val="00755E6D"/>
    <w:rsid w:val="00756B26"/>
    <w:rsid w:val="00756EDF"/>
    <w:rsid w:val="007600E3"/>
    <w:rsid w:val="007632A3"/>
    <w:rsid w:val="00765C43"/>
    <w:rsid w:val="00765EFB"/>
    <w:rsid w:val="007671CA"/>
    <w:rsid w:val="00767C61"/>
    <w:rsid w:val="0077008A"/>
    <w:rsid w:val="00772D01"/>
    <w:rsid w:val="00773C1F"/>
    <w:rsid w:val="007746D8"/>
    <w:rsid w:val="00774DA4"/>
    <w:rsid w:val="00776599"/>
    <w:rsid w:val="007768A6"/>
    <w:rsid w:val="00776941"/>
    <w:rsid w:val="00776E2A"/>
    <w:rsid w:val="0078114B"/>
    <w:rsid w:val="00781DD2"/>
    <w:rsid w:val="00783D30"/>
    <w:rsid w:val="00783ECF"/>
    <w:rsid w:val="0078413A"/>
    <w:rsid w:val="007850C6"/>
    <w:rsid w:val="00787E89"/>
    <w:rsid w:val="0079091E"/>
    <w:rsid w:val="00792B6A"/>
    <w:rsid w:val="007959E8"/>
    <w:rsid w:val="00795E9C"/>
    <w:rsid w:val="007A0521"/>
    <w:rsid w:val="007A0AE0"/>
    <w:rsid w:val="007A2224"/>
    <w:rsid w:val="007A2E12"/>
    <w:rsid w:val="007A3475"/>
    <w:rsid w:val="007A41C8"/>
    <w:rsid w:val="007A54CE"/>
    <w:rsid w:val="007A6FD9"/>
    <w:rsid w:val="007A715E"/>
    <w:rsid w:val="007A7FFA"/>
    <w:rsid w:val="007B04EB"/>
    <w:rsid w:val="007B0D4F"/>
    <w:rsid w:val="007B1667"/>
    <w:rsid w:val="007B5223"/>
    <w:rsid w:val="007B56D4"/>
    <w:rsid w:val="007B572F"/>
    <w:rsid w:val="007B5A3D"/>
    <w:rsid w:val="007B5B95"/>
    <w:rsid w:val="007B68EA"/>
    <w:rsid w:val="007B7453"/>
    <w:rsid w:val="007C1E8B"/>
    <w:rsid w:val="007C2D89"/>
    <w:rsid w:val="007C4593"/>
    <w:rsid w:val="007C5309"/>
    <w:rsid w:val="007C6069"/>
    <w:rsid w:val="007C6B55"/>
    <w:rsid w:val="007D03D7"/>
    <w:rsid w:val="007D06C4"/>
    <w:rsid w:val="007D1352"/>
    <w:rsid w:val="007D2508"/>
    <w:rsid w:val="007D2AA7"/>
    <w:rsid w:val="007D2D10"/>
    <w:rsid w:val="007D346A"/>
    <w:rsid w:val="007D4265"/>
    <w:rsid w:val="007D44AB"/>
    <w:rsid w:val="007D6518"/>
    <w:rsid w:val="007D76BD"/>
    <w:rsid w:val="007D7E39"/>
    <w:rsid w:val="007E0822"/>
    <w:rsid w:val="007E0BF1"/>
    <w:rsid w:val="007E298F"/>
    <w:rsid w:val="007E47F7"/>
    <w:rsid w:val="007E6594"/>
    <w:rsid w:val="007F06E9"/>
    <w:rsid w:val="007F0ED8"/>
    <w:rsid w:val="007F0F63"/>
    <w:rsid w:val="007F12A9"/>
    <w:rsid w:val="007F457B"/>
    <w:rsid w:val="007F4C79"/>
    <w:rsid w:val="007F58DC"/>
    <w:rsid w:val="007F75CE"/>
    <w:rsid w:val="008013A4"/>
    <w:rsid w:val="008027CE"/>
    <w:rsid w:val="00802F42"/>
    <w:rsid w:val="00804383"/>
    <w:rsid w:val="00804BB7"/>
    <w:rsid w:val="00804D41"/>
    <w:rsid w:val="0080664B"/>
    <w:rsid w:val="00807C18"/>
    <w:rsid w:val="00810257"/>
    <w:rsid w:val="008104F5"/>
    <w:rsid w:val="00810788"/>
    <w:rsid w:val="00811072"/>
    <w:rsid w:val="00811369"/>
    <w:rsid w:val="00815419"/>
    <w:rsid w:val="008163C8"/>
    <w:rsid w:val="008164A1"/>
    <w:rsid w:val="00817325"/>
    <w:rsid w:val="008209E6"/>
    <w:rsid w:val="00820ECF"/>
    <w:rsid w:val="00823303"/>
    <w:rsid w:val="008233B2"/>
    <w:rsid w:val="00823A9F"/>
    <w:rsid w:val="00823C85"/>
    <w:rsid w:val="00825138"/>
    <w:rsid w:val="008265CE"/>
    <w:rsid w:val="008269DD"/>
    <w:rsid w:val="00830621"/>
    <w:rsid w:val="0083348C"/>
    <w:rsid w:val="008373D3"/>
    <w:rsid w:val="00840617"/>
    <w:rsid w:val="00840F84"/>
    <w:rsid w:val="00842A47"/>
    <w:rsid w:val="00843C13"/>
    <w:rsid w:val="008454F8"/>
    <w:rsid w:val="008504E2"/>
    <w:rsid w:val="00851103"/>
    <w:rsid w:val="0085173A"/>
    <w:rsid w:val="00854F67"/>
    <w:rsid w:val="00856316"/>
    <w:rsid w:val="008603CE"/>
    <w:rsid w:val="00860B36"/>
    <w:rsid w:val="008620FC"/>
    <w:rsid w:val="008627A5"/>
    <w:rsid w:val="00863BF4"/>
    <w:rsid w:val="00863E05"/>
    <w:rsid w:val="00865ACA"/>
    <w:rsid w:val="00865D28"/>
    <w:rsid w:val="00865F85"/>
    <w:rsid w:val="00867C10"/>
    <w:rsid w:val="00870439"/>
    <w:rsid w:val="00870DA1"/>
    <w:rsid w:val="008721F9"/>
    <w:rsid w:val="0087431E"/>
    <w:rsid w:val="0087470C"/>
    <w:rsid w:val="00874A08"/>
    <w:rsid w:val="00877B3E"/>
    <w:rsid w:val="00880A71"/>
    <w:rsid w:val="00880EFB"/>
    <w:rsid w:val="00881CA4"/>
    <w:rsid w:val="00883F93"/>
    <w:rsid w:val="00884DB3"/>
    <w:rsid w:val="00885A9D"/>
    <w:rsid w:val="008864F6"/>
    <w:rsid w:val="00886CE8"/>
    <w:rsid w:val="0089049D"/>
    <w:rsid w:val="00890662"/>
    <w:rsid w:val="008922F3"/>
    <w:rsid w:val="008928C9"/>
    <w:rsid w:val="00892A32"/>
    <w:rsid w:val="008930CB"/>
    <w:rsid w:val="0089368D"/>
    <w:rsid w:val="008938DC"/>
    <w:rsid w:val="00893FD1"/>
    <w:rsid w:val="00894355"/>
    <w:rsid w:val="00894836"/>
    <w:rsid w:val="00894B6F"/>
    <w:rsid w:val="00894D8E"/>
    <w:rsid w:val="00895172"/>
    <w:rsid w:val="00895680"/>
    <w:rsid w:val="00895ED3"/>
    <w:rsid w:val="008960DA"/>
    <w:rsid w:val="00896DFF"/>
    <w:rsid w:val="0089762C"/>
    <w:rsid w:val="008A1893"/>
    <w:rsid w:val="008A3215"/>
    <w:rsid w:val="008A3BC9"/>
    <w:rsid w:val="008A3D6E"/>
    <w:rsid w:val="008A57E6"/>
    <w:rsid w:val="008A6F81"/>
    <w:rsid w:val="008A769A"/>
    <w:rsid w:val="008A7B7C"/>
    <w:rsid w:val="008B0C9C"/>
    <w:rsid w:val="008B11F3"/>
    <w:rsid w:val="008B166D"/>
    <w:rsid w:val="008B17F4"/>
    <w:rsid w:val="008B3615"/>
    <w:rsid w:val="008B3E4E"/>
    <w:rsid w:val="008B4AC4"/>
    <w:rsid w:val="008B50C8"/>
    <w:rsid w:val="008B5281"/>
    <w:rsid w:val="008B6FED"/>
    <w:rsid w:val="008B7DB0"/>
    <w:rsid w:val="008B7E05"/>
    <w:rsid w:val="008C0D12"/>
    <w:rsid w:val="008C1797"/>
    <w:rsid w:val="008C219C"/>
    <w:rsid w:val="008C2289"/>
    <w:rsid w:val="008C252E"/>
    <w:rsid w:val="008C475E"/>
    <w:rsid w:val="008C619A"/>
    <w:rsid w:val="008D0CE8"/>
    <w:rsid w:val="008D0EB0"/>
    <w:rsid w:val="008D2D1D"/>
    <w:rsid w:val="008D453D"/>
    <w:rsid w:val="008D53AD"/>
    <w:rsid w:val="008D562B"/>
    <w:rsid w:val="008D5733"/>
    <w:rsid w:val="008D5B4D"/>
    <w:rsid w:val="008D622B"/>
    <w:rsid w:val="008D666C"/>
    <w:rsid w:val="008D7B54"/>
    <w:rsid w:val="008E0C9D"/>
    <w:rsid w:val="008E1648"/>
    <w:rsid w:val="008E1B3E"/>
    <w:rsid w:val="008E2319"/>
    <w:rsid w:val="008E2D07"/>
    <w:rsid w:val="008E3CF5"/>
    <w:rsid w:val="008E4BB6"/>
    <w:rsid w:val="008E5376"/>
    <w:rsid w:val="008E5518"/>
    <w:rsid w:val="008E6A84"/>
    <w:rsid w:val="008E6BEC"/>
    <w:rsid w:val="008E6CF5"/>
    <w:rsid w:val="008F05EA"/>
    <w:rsid w:val="008F0CDC"/>
    <w:rsid w:val="008F17A3"/>
    <w:rsid w:val="008F1920"/>
    <w:rsid w:val="008F1ED3"/>
    <w:rsid w:val="008F23A5"/>
    <w:rsid w:val="008F3935"/>
    <w:rsid w:val="008F4C29"/>
    <w:rsid w:val="008F6FA2"/>
    <w:rsid w:val="008F70BD"/>
    <w:rsid w:val="008F788F"/>
    <w:rsid w:val="008F7EA2"/>
    <w:rsid w:val="008F7FC0"/>
    <w:rsid w:val="00900607"/>
    <w:rsid w:val="00901D25"/>
    <w:rsid w:val="0090245C"/>
    <w:rsid w:val="00902722"/>
    <w:rsid w:val="009027BC"/>
    <w:rsid w:val="00905A2D"/>
    <w:rsid w:val="00905A3B"/>
    <w:rsid w:val="00905D68"/>
    <w:rsid w:val="009062E6"/>
    <w:rsid w:val="00906E68"/>
    <w:rsid w:val="00911BE5"/>
    <w:rsid w:val="00913CA9"/>
    <w:rsid w:val="009145AE"/>
    <w:rsid w:val="009146CE"/>
    <w:rsid w:val="00914CA7"/>
    <w:rsid w:val="00915C3E"/>
    <w:rsid w:val="009161A8"/>
    <w:rsid w:val="009201C6"/>
    <w:rsid w:val="009206DA"/>
    <w:rsid w:val="009207B0"/>
    <w:rsid w:val="00922519"/>
    <w:rsid w:val="009245F5"/>
    <w:rsid w:val="009249EC"/>
    <w:rsid w:val="009273B3"/>
    <w:rsid w:val="009305B5"/>
    <w:rsid w:val="00930CFB"/>
    <w:rsid w:val="009429D5"/>
    <w:rsid w:val="00942BF1"/>
    <w:rsid w:val="00942EB2"/>
    <w:rsid w:val="00943025"/>
    <w:rsid w:val="00944C05"/>
    <w:rsid w:val="00945180"/>
    <w:rsid w:val="00945428"/>
    <w:rsid w:val="00945C37"/>
    <w:rsid w:val="0094607B"/>
    <w:rsid w:val="00953604"/>
    <w:rsid w:val="0095496B"/>
    <w:rsid w:val="00955CD2"/>
    <w:rsid w:val="009610DC"/>
    <w:rsid w:val="00961490"/>
    <w:rsid w:val="0096152C"/>
    <w:rsid w:val="00961F8A"/>
    <w:rsid w:val="0096381A"/>
    <w:rsid w:val="00965E04"/>
    <w:rsid w:val="009674AD"/>
    <w:rsid w:val="00967746"/>
    <w:rsid w:val="00967E54"/>
    <w:rsid w:val="00970CDC"/>
    <w:rsid w:val="0097232A"/>
    <w:rsid w:val="00973DA9"/>
    <w:rsid w:val="00977010"/>
    <w:rsid w:val="00977D02"/>
    <w:rsid w:val="009809BB"/>
    <w:rsid w:val="0098364B"/>
    <w:rsid w:val="00983B11"/>
    <w:rsid w:val="00984C23"/>
    <w:rsid w:val="009911AF"/>
    <w:rsid w:val="00991875"/>
    <w:rsid w:val="00991F92"/>
    <w:rsid w:val="00992896"/>
    <w:rsid w:val="00992985"/>
    <w:rsid w:val="00993889"/>
    <w:rsid w:val="0099551B"/>
    <w:rsid w:val="00996B59"/>
    <w:rsid w:val="00997BF1"/>
    <w:rsid w:val="009A0185"/>
    <w:rsid w:val="009A089C"/>
    <w:rsid w:val="009A118E"/>
    <w:rsid w:val="009A21CD"/>
    <w:rsid w:val="009A278C"/>
    <w:rsid w:val="009A2BC2"/>
    <w:rsid w:val="009A2F65"/>
    <w:rsid w:val="009A42C1"/>
    <w:rsid w:val="009A4836"/>
    <w:rsid w:val="009A4E3B"/>
    <w:rsid w:val="009A5429"/>
    <w:rsid w:val="009A72AD"/>
    <w:rsid w:val="009A7D72"/>
    <w:rsid w:val="009B081A"/>
    <w:rsid w:val="009B09E0"/>
    <w:rsid w:val="009B0BC5"/>
    <w:rsid w:val="009B1247"/>
    <w:rsid w:val="009B46F9"/>
    <w:rsid w:val="009B55B3"/>
    <w:rsid w:val="009B5643"/>
    <w:rsid w:val="009B6029"/>
    <w:rsid w:val="009B6971"/>
    <w:rsid w:val="009C0908"/>
    <w:rsid w:val="009C0C25"/>
    <w:rsid w:val="009C27F1"/>
    <w:rsid w:val="009C3152"/>
    <w:rsid w:val="009C43BB"/>
    <w:rsid w:val="009C4CFA"/>
    <w:rsid w:val="009C5046"/>
    <w:rsid w:val="009C5070"/>
    <w:rsid w:val="009C58AB"/>
    <w:rsid w:val="009C5A60"/>
    <w:rsid w:val="009C6275"/>
    <w:rsid w:val="009D006B"/>
    <w:rsid w:val="009D112C"/>
    <w:rsid w:val="009D198F"/>
    <w:rsid w:val="009D3241"/>
    <w:rsid w:val="009D47FA"/>
    <w:rsid w:val="009D4C5B"/>
    <w:rsid w:val="009D50D2"/>
    <w:rsid w:val="009D61ED"/>
    <w:rsid w:val="009D6BCA"/>
    <w:rsid w:val="009D7304"/>
    <w:rsid w:val="009E0370"/>
    <w:rsid w:val="009E0F62"/>
    <w:rsid w:val="009E2A6B"/>
    <w:rsid w:val="009E4A58"/>
    <w:rsid w:val="009E5A2D"/>
    <w:rsid w:val="009E5AB2"/>
    <w:rsid w:val="009E6219"/>
    <w:rsid w:val="009E6597"/>
    <w:rsid w:val="009F03B3"/>
    <w:rsid w:val="009F0B02"/>
    <w:rsid w:val="009F1D6E"/>
    <w:rsid w:val="009F344B"/>
    <w:rsid w:val="009F43A1"/>
    <w:rsid w:val="009F5573"/>
    <w:rsid w:val="009F6231"/>
    <w:rsid w:val="00A0096C"/>
    <w:rsid w:val="00A01757"/>
    <w:rsid w:val="00A028C0"/>
    <w:rsid w:val="00A02BAE"/>
    <w:rsid w:val="00A04449"/>
    <w:rsid w:val="00A04A95"/>
    <w:rsid w:val="00A065E2"/>
    <w:rsid w:val="00A06A6B"/>
    <w:rsid w:val="00A06FD9"/>
    <w:rsid w:val="00A07E47"/>
    <w:rsid w:val="00A07EB7"/>
    <w:rsid w:val="00A107F6"/>
    <w:rsid w:val="00A1124D"/>
    <w:rsid w:val="00A129D0"/>
    <w:rsid w:val="00A12C33"/>
    <w:rsid w:val="00A138BA"/>
    <w:rsid w:val="00A13969"/>
    <w:rsid w:val="00A14C8E"/>
    <w:rsid w:val="00A153D9"/>
    <w:rsid w:val="00A15F09"/>
    <w:rsid w:val="00A169B6"/>
    <w:rsid w:val="00A223C6"/>
    <w:rsid w:val="00A2271D"/>
    <w:rsid w:val="00A237D5"/>
    <w:rsid w:val="00A2440B"/>
    <w:rsid w:val="00A2714D"/>
    <w:rsid w:val="00A30EFC"/>
    <w:rsid w:val="00A31984"/>
    <w:rsid w:val="00A31DA5"/>
    <w:rsid w:val="00A32D73"/>
    <w:rsid w:val="00A33638"/>
    <w:rsid w:val="00A3367B"/>
    <w:rsid w:val="00A3597D"/>
    <w:rsid w:val="00A36DD1"/>
    <w:rsid w:val="00A4006C"/>
    <w:rsid w:val="00A40091"/>
    <w:rsid w:val="00A4030F"/>
    <w:rsid w:val="00A41C79"/>
    <w:rsid w:val="00A41CB5"/>
    <w:rsid w:val="00A42CDF"/>
    <w:rsid w:val="00A43014"/>
    <w:rsid w:val="00A43956"/>
    <w:rsid w:val="00A43B73"/>
    <w:rsid w:val="00A43FA1"/>
    <w:rsid w:val="00A4452E"/>
    <w:rsid w:val="00A4472C"/>
    <w:rsid w:val="00A44923"/>
    <w:rsid w:val="00A44E69"/>
    <w:rsid w:val="00A4661E"/>
    <w:rsid w:val="00A47047"/>
    <w:rsid w:val="00A474A8"/>
    <w:rsid w:val="00A47F54"/>
    <w:rsid w:val="00A534F7"/>
    <w:rsid w:val="00A5489A"/>
    <w:rsid w:val="00A55BD6"/>
    <w:rsid w:val="00A55D50"/>
    <w:rsid w:val="00A57142"/>
    <w:rsid w:val="00A5752C"/>
    <w:rsid w:val="00A57679"/>
    <w:rsid w:val="00A63C43"/>
    <w:rsid w:val="00A64410"/>
    <w:rsid w:val="00A644DD"/>
    <w:rsid w:val="00A648CD"/>
    <w:rsid w:val="00A6537A"/>
    <w:rsid w:val="00A66035"/>
    <w:rsid w:val="00A67866"/>
    <w:rsid w:val="00A70B07"/>
    <w:rsid w:val="00A715C4"/>
    <w:rsid w:val="00A723F8"/>
    <w:rsid w:val="00A72CAC"/>
    <w:rsid w:val="00A77CCB"/>
    <w:rsid w:val="00A83D8D"/>
    <w:rsid w:val="00A8446B"/>
    <w:rsid w:val="00A8473F"/>
    <w:rsid w:val="00A862D6"/>
    <w:rsid w:val="00A8715E"/>
    <w:rsid w:val="00A918A2"/>
    <w:rsid w:val="00A9295B"/>
    <w:rsid w:val="00A93B09"/>
    <w:rsid w:val="00A94247"/>
    <w:rsid w:val="00A952D7"/>
    <w:rsid w:val="00A963F7"/>
    <w:rsid w:val="00A96AD8"/>
    <w:rsid w:val="00AA052C"/>
    <w:rsid w:val="00AA1E45"/>
    <w:rsid w:val="00AA3C7E"/>
    <w:rsid w:val="00AA4286"/>
    <w:rsid w:val="00AA456B"/>
    <w:rsid w:val="00AA57F5"/>
    <w:rsid w:val="00AA672E"/>
    <w:rsid w:val="00AA6EC9"/>
    <w:rsid w:val="00AB00A4"/>
    <w:rsid w:val="00AB41D5"/>
    <w:rsid w:val="00AB54EC"/>
    <w:rsid w:val="00AB57B6"/>
    <w:rsid w:val="00AB61F3"/>
    <w:rsid w:val="00AB6309"/>
    <w:rsid w:val="00AB6C5F"/>
    <w:rsid w:val="00AB7129"/>
    <w:rsid w:val="00AC044D"/>
    <w:rsid w:val="00AC0927"/>
    <w:rsid w:val="00AC27A6"/>
    <w:rsid w:val="00AC30F7"/>
    <w:rsid w:val="00AC3A5A"/>
    <w:rsid w:val="00AC4B42"/>
    <w:rsid w:val="00AC4D95"/>
    <w:rsid w:val="00AC5480"/>
    <w:rsid w:val="00AC5DF4"/>
    <w:rsid w:val="00AD0AEF"/>
    <w:rsid w:val="00AD11B7"/>
    <w:rsid w:val="00AD1A94"/>
    <w:rsid w:val="00AD1AB3"/>
    <w:rsid w:val="00AD1C05"/>
    <w:rsid w:val="00AD23DA"/>
    <w:rsid w:val="00AD2400"/>
    <w:rsid w:val="00AD4126"/>
    <w:rsid w:val="00AD421C"/>
    <w:rsid w:val="00AD44FA"/>
    <w:rsid w:val="00AD5243"/>
    <w:rsid w:val="00AD5D84"/>
    <w:rsid w:val="00AD610F"/>
    <w:rsid w:val="00AD78AA"/>
    <w:rsid w:val="00AE070A"/>
    <w:rsid w:val="00AE101C"/>
    <w:rsid w:val="00AE195D"/>
    <w:rsid w:val="00AE37E5"/>
    <w:rsid w:val="00AE3D36"/>
    <w:rsid w:val="00AE54B5"/>
    <w:rsid w:val="00AE5EB4"/>
    <w:rsid w:val="00AE7196"/>
    <w:rsid w:val="00AF0C18"/>
    <w:rsid w:val="00AF1380"/>
    <w:rsid w:val="00AF19C8"/>
    <w:rsid w:val="00AF1EBA"/>
    <w:rsid w:val="00AF35E9"/>
    <w:rsid w:val="00AF47C5"/>
    <w:rsid w:val="00AF5398"/>
    <w:rsid w:val="00AF70B4"/>
    <w:rsid w:val="00AF7102"/>
    <w:rsid w:val="00B00E7D"/>
    <w:rsid w:val="00B016AC"/>
    <w:rsid w:val="00B01AD5"/>
    <w:rsid w:val="00B03E02"/>
    <w:rsid w:val="00B049AF"/>
    <w:rsid w:val="00B05DED"/>
    <w:rsid w:val="00B07242"/>
    <w:rsid w:val="00B10534"/>
    <w:rsid w:val="00B113DB"/>
    <w:rsid w:val="00B11D8A"/>
    <w:rsid w:val="00B12981"/>
    <w:rsid w:val="00B147DD"/>
    <w:rsid w:val="00B156FD"/>
    <w:rsid w:val="00B20905"/>
    <w:rsid w:val="00B21F61"/>
    <w:rsid w:val="00B24B7C"/>
    <w:rsid w:val="00B26191"/>
    <w:rsid w:val="00B261F1"/>
    <w:rsid w:val="00B265BC"/>
    <w:rsid w:val="00B26708"/>
    <w:rsid w:val="00B2767E"/>
    <w:rsid w:val="00B27A50"/>
    <w:rsid w:val="00B316A8"/>
    <w:rsid w:val="00B31B39"/>
    <w:rsid w:val="00B31FB1"/>
    <w:rsid w:val="00B321B7"/>
    <w:rsid w:val="00B33952"/>
    <w:rsid w:val="00B33C5E"/>
    <w:rsid w:val="00B342F4"/>
    <w:rsid w:val="00B34369"/>
    <w:rsid w:val="00B34DC2"/>
    <w:rsid w:val="00B36C4D"/>
    <w:rsid w:val="00B377B8"/>
    <w:rsid w:val="00B377F3"/>
    <w:rsid w:val="00B378E5"/>
    <w:rsid w:val="00B414DB"/>
    <w:rsid w:val="00B4346D"/>
    <w:rsid w:val="00B440F4"/>
    <w:rsid w:val="00B447A5"/>
    <w:rsid w:val="00B46504"/>
    <w:rsid w:val="00B4654C"/>
    <w:rsid w:val="00B46AF0"/>
    <w:rsid w:val="00B47293"/>
    <w:rsid w:val="00B505EF"/>
    <w:rsid w:val="00B50E50"/>
    <w:rsid w:val="00B52120"/>
    <w:rsid w:val="00B54ABC"/>
    <w:rsid w:val="00B54DDE"/>
    <w:rsid w:val="00B56FBE"/>
    <w:rsid w:val="00B60856"/>
    <w:rsid w:val="00B60ACF"/>
    <w:rsid w:val="00B6219D"/>
    <w:rsid w:val="00B62B58"/>
    <w:rsid w:val="00B63354"/>
    <w:rsid w:val="00B634EA"/>
    <w:rsid w:val="00B63F88"/>
    <w:rsid w:val="00B647E4"/>
    <w:rsid w:val="00B64F4E"/>
    <w:rsid w:val="00B65149"/>
    <w:rsid w:val="00B65160"/>
    <w:rsid w:val="00B6523E"/>
    <w:rsid w:val="00B66567"/>
    <w:rsid w:val="00B66F52"/>
    <w:rsid w:val="00B66FE5"/>
    <w:rsid w:val="00B72880"/>
    <w:rsid w:val="00B758BF"/>
    <w:rsid w:val="00B77C27"/>
    <w:rsid w:val="00B77EC8"/>
    <w:rsid w:val="00B827A6"/>
    <w:rsid w:val="00B831CE"/>
    <w:rsid w:val="00B83A72"/>
    <w:rsid w:val="00B86677"/>
    <w:rsid w:val="00B87131"/>
    <w:rsid w:val="00B9015E"/>
    <w:rsid w:val="00B939B1"/>
    <w:rsid w:val="00B94D55"/>
    <w:rsid w:val="00B95C2D"/>
    <w:rsid w:val="00B96569"/>
    <w:rsid w:val="00B96D40"/>
    <w:rsid w:val="00B97386"/>
    <w:rsid w:val="00BA0CDE"/>
    <w:rsid w:val="00BA1FE7"/>
    <w:rsid w:val="00BA263B"/>
    <w:rsid w:val="00BA2F53"/>
    <w:rsid w:val="00BA31BA"/>
    <w:rsid w:val="00BA3908"/>
    <w:rsid w:val="00BA42B2"/>
    <w:rsid w:val="00BA58D4"/>
    <w:rsid w:val="00BA5B9E"/>
    <w:rsid w:val="00BA7C9A"/>
    <w:rsid w:val="00BB203B"/>
    <w:rsid w:val="00BB5F8F"/>
    <w:rsid w:val="00BB657A"/>
    <w:rsid w:val="00BB7F63"/>
    <w:rsid w:val="00BC00D3"/>
    <w:rsid w:val="00BC1A4E"/>
    <w:rsid w:val="00BC2887"/>
    <w:rsid w:val="00BC3239"/>
    <w:rsid w:val="00BC3D1F"/>
    <w:rsid w:val="00BC4790"/>
    <w:rsid w:val="00BC5DC7"/>
    <w:rsid w:val="00BC6B8B"/>
    <w:rsid w:val="00BC73D8"/>
    <w:rsid w:val="00BD0A9B"/>
    <w:rsid w:val="00BD4931"/>
    <w:rsid w:val="00BD4D76"/>
    <w:rsid w:val="00BD52D7"/>
    <w:rsid w:val="00BD5AD2"/>
    <w:rsid w:val="00BE22F3"/>
    <w:rsid w:val="00BE2E98"/>
    <w:rsid w:val="00BE2FD1"/>
    <w:rsid w:val="00BE3CAB"/>
    <w:rsid w:val="00BE576F"/>
    <w:rsid w:val="00BE5B52"/>
    <w:rsid w:val="00BE694F"/>
    <w:rsid w:val="00BE7B8D"/>
    <w:rsid w:val="00BF0993"/>
    <w:rsid w:val="00BF10A9"/>
    <w:rsid w:val="00BF1703"/>
    <w:rsid w:val="00BF231C"/>
    <w:rsid w:val="00BF406A"/>
    <w:rsid w:val="00BF51E5"/>
    <w:rsid w:val="00BF74A6"/>
    <w:rsid w:val="00C013AD"/>
    <w:rsid w:val="00C02A84"/>
    <w:rsid w:val="00C03ABD"/>
    <w:rsid w:val="00C04116"/>
    <w:rsid w:val="00C04904"/>
    <w:rsid w:val="00C054C6"/>
    <w:rsid w:val="00C056B3"/>
    <w:rsid w:val="00C103E5"/>
    <w:rsid w:val="00C10AAF"/>
    <w:rsid w:val="00C10CFB"/>
    <w:rsid w:val="00C13319"/>
    <w:rsid w:val="00C13A4C"/>
    <w:rsid w:val="00C13EE9"/>
    <w:rsid w:val="00C172F4"/>
    <w:rsid w:val="00C178A0"/>
    <w:rsid w:val="00C1794E"/>
    <w:rsid w:val="00C211E2"/>
    <w:rsid w:val="00C21540"/>
    <w:rsid w:val="00C21906"/>
    <w:rsid w:val="00C2193E"/>
    <w:rsid w:val="00C21BFA"/>
    <w:rsid w:val="00C22148"/>
    <w:rsid w:val="00C229F5"/>
    <w:rsid w:val="00C24C8D"/>
    <w:rsid w:val="00C25FE2"/>
    <w:rsid w:val="00C26B53"/>
    <w:rsid w:val="00C279B2"/>
    <w:rsid w:val="00C27FF0"/>
    <w:rsid w:val="00C3005F"/>
    <w:rsid w:val="00C306B8"/>
    <w:rsid w:val="00C30B04"/>
    <w:rsid w:val="00C325FD"/>
    <w:rsid w:val="00C33E50"/>
    <w:rsid w:val="00C34C20"/>
    <w:rsid w:val="00C35A3E"/>
    <w:rsid w:val="00C4203C"/>
    <w:rsid w:val="00C42130"/>
    <w:rsid w:val="00C423A4"/>
    <w:rsid w:val="00C436D4"/>
    <w:rsid w:val="00C44151"/>
    <w:rsid w:val="00C44A5E"/>
    <w:rsid w:val="00C44BF5"/>
    <w:rsid w:val="00C45EB2"/>
    <w:rsid w:val="00C47CBB"/>
    <w:rsid w:val="00C521D6"/>
    <w:rsid w:val="00C53604"/>
    <w:rsid w:val="00C55232"/>
    <w:rsid w:val="00C553A4"/>
    <w:rsid w:val="00C55A06"/>
    <w:rsid w:val="00C55D03"/>
    <w:rsid w:val="00C5704F"/>
    <w:rsid w:val="00C57130"/>
    <w:rsid w:val="00C601BC"/>
    <w:rsid w:val="00C6329F"/>
    <w:rsid w:val="00C63340"/>
    <w:rsid w:val="00C643F9"/>
    <w:rsid w:val="00C64E95"/>
    <w:rsid w:val="00C70AB6"/>
    <w:rsid w:val="00C70B83"/>
    <w:rsid w:val="00C71372"/>
    <w:rsid w:val="00C72410"/>
    <w:rsid w:val="00C7287F"/>
    <w:rsid w:val="00C72B70"/>
    <w:rsid w:val="00C733C4"/>
    <w:rsid w:val="00C757E8"/>
    <w:rsid w:val="00C80982"/>
    <w:rsid w:val="00C80CB8"/>
    <w:rsid w:val="00C80DBD"/>
    <w:rsid w:val="00C819F8"/>
    <w:rsid w:val="00C81B71"/>
    <w:rsid w:val="00C8248C"/>
    <w:rsid w:val="00C84E33"/>
    <w:rsid w:val="00C86D6F"/>
    <w:rsid w:val="00C905FC"/>
    <w:rsid w:val="00C90B7D"/>
    <w:rsid w:val="00C90DA7"/>
    <w:rsid w:val="00C92D03"/>
    <w:rsid w:val="00C9319C"/>
    <w:rsid w:val="00C9435D"/>
    <w:rsid w:val="00C94DF2"/>
    <w:rsid w:val="00C96741"/>
    <w:rsid w:val="00C97327"/>
    <w:rsid w:val="00C97865"/>
    <w:rsid w:val="00CA001D"/>
    <w:rsid w:val="00CA2D1B"/>
    <w:rsid w:val="00CA375D"/>
    <w:rsid w:val="00CA662A"/>
    <w:rsid w:val="00CA69C3"/>
    <w:rsid w:val="00CA7AFD"/>
    <w:rsid w:val="00CA7C3C"/>
    <w:rsid w:val="00CB0189"/>
    <w:rsid w:val="00CB0BA2"/>
    <w:rsid w:val="00CB187E"/>
    <w:rsid w:val="00CB1A42"/>
    <w:rsid w:val="00CB1B0C"/>
    <w:rsid w:val="00CB2C0B"/>
    <w:rsid w:val="00CB3640"/>
    <w:rsid w:val="00CB517D"/>
    <w:rsid w:val="00CB5720"/>
    <w:rsid w:val="00CB74A9"/>
    <w:rsid w:val="00CC038D"/>
    <w:rsid w:val="00CC08DB"/>
    <w:rsid w:val="00CC0F11"/>
    <w:rsid w:val="00CC1FD5"/>
    <w:rsid w:val="00CC29B2"/>
    <w:rsid w:val="00CC2BC4"/>
    <w:rsid w:val="00CC39FF"/>
    <w:rsid w:val="00CC3C2F"/>
    <w:rsid w:val="00CC4AC8"/>
    <w:rsid w:val="00CC5233"/>
    <w:rsid w:val="00CC55A7"/>
    <w:rsid w:val="00CC5DE6"/>
    <w:rsid w:val="00CC6E4E"/>
    <w:rsid w:val="00CC6FE8"/>
    <w:rsid w:val="00CC7202"/>
    <w:rsid w:val="00CC7636"/>
    <w:rsid w:val="00CD2808"/>
    <w:rsid w:val="00CD28BF"/>
    <w:rsid w:val="00CD2D00"/>
    <w:rsid w:val="00CD3077"/>
    <w:rsid w:val="00CD3D92"/>
    <w:rsid w:val="00CD4092"/>
    <w:rsid w:val="00CD4A20"/>
    <w:rsid w:val="00CD50A1"/>
    <w:rsid w:val="00CD519E"/>
    <w:rsid w:val="00CD561D"/>
    <w:rsid w:val="00CE0C4F"/>
    <w:rsid w:val="00CE30EA"/>
    <w:rsid w:val="00CE6D1A"/>
    <w:rsid w:val="00CE70F1"/>
    <w:rsid w:val="00CF048A"/>
    <w:rsid w:val="00CF155A"/>
    <w:rsid w:val="00CF1CE0"/>
    <w:rsid w:val="00CF2947"/>
    <w:rsid w:val="00CF4D1D"/>
    <w:rsid w:val="00CF56CD"/>
    <w:rsid w:val="00CF686F"/>
    <w:rsid w:val="00CF6E60"/>
    <w:rsid w:val="00CF7BCA"/>
    <w:rsid w:val="00D008FD"/>
    <w:rsid w:val="00D0321C"/>
    <w:rsid w:val="00D035EC"/>
    <w:rsid w:val="00D06AB1"/>
    <w:rsid w:val="00D072ED"/>
    <w:rsid w:val="00D078E3"/>
    <w:rsid w:val="00D07A16"/>
    <w:rsid w:val="00D100F2"/>
    <w:rsid w:val="00D1067E"/>
    <w:rsid w:val="00D10CB0"/>
    <w:rsid w:val="00D10F50"/>
    <w:rsid w:val="00D11272"/>
    <w:rsid w:val="00D126F5"/>
    <w:rsid w:val="00D1489E"/>
    <w:rsid w:val="00D15B79"/>
    <w:rsid w:val="00D16133"/>
    <w:rsid w:val="00D20737"/>
    <w:rsid w:val="00D21E81"/>
    <w:rsid w:val="00D223DE"/>
    <w:rsid w:val="00D24CC7"/>
    <w:rsid w:val="00D24E89"/>
    <w:rsid w:val="00D25E37"/>
    <w:rsid w:val="00D2661A"/>
    <w:rsid w:val="00D27582"/>
    <w:rsid w:val="00D275C5"/>
    <w:rsid w:val="00D27EC4"/>
    <w:rsid w:val="00D32719"/>
    <w:rsid w:val="00D33333"/>
    <w:rsid w:val="00D33457"/>
    <w:rsid w:val="00D33AC3"/>
    <w:rsid w:val="00D352A2"/>
    <w:rsid w:val="00D3660F"/>
    <w:rsid w:val="00D376D8"/>
    <w:rsid w:val="00D37C91"/>
    <w:rsid w:val="00D41279"/>
    <w:rsid w:val="00D4162B"/>
    <w:rsid w:val="00D41D47"/>
    <w:rsid w:val="00D43AE1"/>
    <w:rsid w:val="00D4514F"/>
    <w:rsid w:val="00D451E2"/>
    <w:rsid w:val="00D45E89"/>
    <w:rsid w:val="00D45E8D"/>
    <w:rsid w:val="00D466AE"/>
    <w:rsid w:val="00D4734F"/>
    <w:rsid w:val="00D51BF3"/>
    <w:rsid w:val="00D602C8"/>
    <w:rsid w:val="00D62545"/>
    <w:rsid w:val="00D63296"/>
    <w:rsid w:val="00D646AF"/>
    <w:rsid w:val="00D65544"/>
    <w:rsid w:val="00D66846"/>
    <w:rsid w:val="00D675FB"/>
    <w:rsid w:val="00D71F25"/>
    <w:rsid w:val="00D72A9C"/>
    <w:rsid w:val="00D75DC7"/>
    <w:rsid w:val="00D76205"/>
    <w:rsid w:val="00D76440"/>
    <w:rsid w:val="00D77031"/>
    <w:rsid w:val="00D80639"/>
    <w:rsid w:val="00D80DA5"/>
    <w:rsid w:val="00D81498"/>
    <w:rsid w:val="00D84941"/>
    <w:rsid w:val="00D84FA1"/>
    <w:rsid w:val="00D851F0"/>
    <w:rsid w:val="00D86DB7"/>
    <w:rsid w:val="00D87830"/>
    <w:rsid w:val="00D926D0"/>
    <w:rsid w:val="00D93030"/>
    <w:rsid w:val="00D93B18"/>
    <w:rsid w:val="00D94D93"/>
    <w:rsid w:val="00D950E1"/>
    <w:rsid w:val="00D952A6"/>
    <w:rsid w:val="00D97F99"/>
    <w:rsid w:val="00DA1E08"/>
    <w:rsid w:val="00DA24F8"/>
    <w:rsid w:val="00DA28E8"/>
    <w:rsid w:val="00DA35B5"/>
    <w:rsid w:val="00DA38D3"/>
    <w:rsid w:val="00DA3932"/>
    <w:rsid w:val="00DA3AFC"/>
    <w:rsid w:val="00DA50AB"/>
    <w:rsid w:val="00DA5191"/>
    <w:rsid w:val="00DA64F8"/>
    <w:rsid w:val="00DA6C15"/>
    <w:rsid w:val="00DB0079"/>
    <w:rsid w:val="00DB0258"/>
    <w:rsid w:val="00DB1822"/>
    <w:rsid w:val="00DB3481"/>
    <w:rsid w:val="00DB3849"/>
    <w:rsid w:val="00DB38EE"/>
    <w:rsid w:val="00DB3EAD"/>
    <w:rsid w:val="00DB41F9"/>
    <w:rsid w:val="00DB498B"/>
    <w:rsid w:val="00DB66CA"/>
    <w:rsid w:val="00DB6BCA"/>
    <w:rsid w:val="00DB71D6"/>
    <w:rsid w:val="00DB73F7"/>
    <w:rsid w:val="00DC0321"/>
    <w:rsid w:val="00DC3067"/>
    <w:rsid w:val="00DC370B"/>
    <w:rsid w:val="00DC5628"/>
    <w:rsid w:val="00DC58F0"/>
    <w:rsid w:val="00DC5B90"/>
    <w:rsid w:val="00DC6BDF"/>
    <w:rsid w:val="00DD00FF"/>
    <w:rsid w:val="00DD0619"/>
    <w:rsid w:val="00DD071B"/>
    <w:rsid w:val="00DD07FB"/>
    <w:rsid w:val="00DD25C6"/>
    <w:rsid w:val="00DD4F79"/>
    <w:rsid w:val="00DD4FE5"/>
    <w:rsid w:val="00DD54B0"/>
    <w:rsid w:val="00DD57EE"/>
    <w:rsid w:val="00DD6BCC"/>
    <w:rsid w:val="00DE0A4B"/>
    <w:rsid w:val="00DE0AD5"/>
    <w:rsid w:val="00DE1178"/>
    <w:rsid w:val="00DE2410"/>
    <w:rsid w:val="00DE2939"/>
    <w:rsid w:val="00DE50F9"/>
    <w:rsid w:val="00DE598E"/>
    <w:rsid w:val="00DE6E81"/>
    <w:rsid w:val="00DE703F"/>
    <w:rsid w:val="00DE72A9"/>
    <w:rsid w:val="00DE7595"/>
    <w:rsid w:val="00DF03C4"/>
    <w:rsid w:val="00DF1961"/>
    <w:rsid w:val="00DF44DE"/>
    <w:rsid w:val="00DF496D"/>
    <w:rsid w:val="00DF5F11"/>
    <w:rsid w:val="00DF625A"/>
    <w:rsid w:val="00DF66B6"/>
    <w:rsid w:val="00E00E7C"/>
    <w:rsid w:val="00E01138"/>
    <w:rsid w:val="00E02DFB"/>
    <w:rsid w:val="00E030F9"/>
    <w:rsid w:val="00E0311A"/>
    <w:rsid w:val="00E03138"/>
    <w:rsid w:val="00E05025"/>
    <w:rsid w:val="00E061A5"/>
    <w:rsid w:val="00E06404"/>
    <w:rsid w:val="00E065D2"/>
    <w:rsid w:val="00E11A85"/>
    <w:rsid w:val="00E12495"/>
    <w:rsid w:val="00E15CCD"/>
    <w:rsid w:val="00E17E6A"/>
    <w:rsid w:val="00E202EF"/>
    <w:rsid w:val="00E210B5"/>
    <w:rsid w:val="00E223A4"/>
    <w:rsid w:val="00E23387"/>
    <w:rsid w:val="00E23D99"/>
    <w:rsid w:val="00E243AA"/>
    <w:rsid w:val="00E24EC0"/>
    <w:rsid w:val="00E2552F"/>
    <w:rsid w:val="00E26CEA"/>
    <w:rsid w:val="00E27AA2"/>
    <w:rsid w:val="00E3137A"/>
    <w:rsid w:val="00E32CCF"/>
    <w:rsid w:val="00E3364A"/>
    <w:rsid w:val="00E33684"/>
    <w:rsid w:val="00E34A98"/>
    <w:rsid w:val="00E35D1E"/>
    <w:rsid w:val="00E364F9"/>
    <w:rsid w:val="00E365FA"/>
    <w:rsid w:val="00E36789"/>
    <w:rsid w:val="00E4157D"/>
    <w:rsid w:val="00E44A83"/>
    <w:rsid w:val="00E44AFE"/>
    <w:rsid w:val="00E46B43"/>
    <w:rsid w:val="00E502C1"/>
    <w:rsid w:val="00E502DD"/>
    <w:rsid w:val="00E50D3A"/>
    <w:rsid w:val="00E50EB6"/>
    <w:rsid w:val="00E51387"/>
    <w:rsid w:val="00E51E68"/>
    <w:rsid w:val="00E522A9"/>
    <w:rsid w:val="00E52EFD"/>
    <w:rsid w:val="00E53AB4"/>
    <w:rsid w:val="00E5408A"/>
    <w:rsid w:val="00E55F12"/>
    <w:rsid w:val="00E56800"/>
    <w:rsid w:val="00E60C63"/>
    <w:rsid w:val="00E60DBA"/>
    <w:rsid w:val="00E62B80"/>
    <w:rsid w:val="00E62FF9"/>
    <w:rsid w:val="00E635D6"/>
    <w:rsid w:val="00E639BC"/>
    <w:rsid w:val="00E65BE6"/>
    <w:rsid w:val="00E664CC"/>
    <w:rsid w:val="00E6655D"/>
    <w:rsid w:val="00E70388"/>
    <w:rsid w:val="00E70906"/>
    <w:rsid w:val="00E70F92"/>
    <w:rsid w:val="00E72A3A"/>
    <w:rsid w:val="00E74702"/>
    <w:rsid w:val="00E74C54"/>
    <w:rsid w:val="00E74F6B"/>
    <w:rsid w:val="00E762D0"/>
    <w:rsid w:val="00E7684F"/>
    <w:rsid w:val="00E77A03"/>
    <w:rsid w:val="00E81A76"/>
    <w:rsid w:val="00E822E8"/>
    <w:rsid w:val="00E82554"/>
    <w:rsid w:val="00E82606"/>
    <w:rsid w:val="00E846C8"/>
    <w:rsid w:val="00E84957"/>
    <w:rsid w:val="00E84A55"/>
    <w:rsid w:val="00E85BFF"/>
    <w:rsid w:val="00E90391"/>
    <w:rsid w:val="00E906C2"/>
    <w:rsid w:val="00E9311F"/>
    <w:rsid w:val="00E934D1"/>
    <w:rsid w:val="00E93D1C"/>
    <w:rsid w:val="00E94AF0"/>
    <w:rsid w:val="00E95105"/>
    <w:rsid w:val="00E95D13"/>
    <w:rsid w:val="00E95DD3"/>
    <w:rsid w:val="00E969D5"/>
    <w:rsid w:val="00E96CE9"/>
    <w:rsid w:val="00E97BC9"/>
    <w:rsid w:val="00EA225E"/>
    <w:rsid w:val="00EA3335"/>
    <w:rsid w:val="00EA56E4"/>
    <w:rsid w:val="00EA58D1"/>
    <w:rsid w:val="00EA5EA4"/>
    <w:rsid w:val="00EA61BC"/>
    <w:rsid w:val="00EA681A"/>
    <w:rsid w:val="00EA735B"/>
    <w:rsid w:val="00EB17DE"/>
    <w:rsid w:val="00EB1E69"/>
    <w:rsid w:val="00EB2086"/>
    <w:rsid w:val="00EB342D"/>
    <w:rsid w:val="00EB5EDF"/>
    <w:rsid w:val="00EB60FE"/>
    <w:rsid w:val="00EB61D5"/>
    <w:rsid w:val="00EB74DB"/>
    <w:rsid w:val="00EB7A10"/>
    <w:rsid w:val="00EC2255"/>
    <w:rsid w:val="00EC5359"/>
    <w:rsid w:val="00EC562A"/>
    <w:rsid w:val="00EC5B3B"/>
    <w:rsid w:val="00EC6E2A"/>
    <w:rsid w:val="00ED067A"/>
    <w:rsid w:val="00ED2B50"/>
    <w:rsid w:val="00ED6210"/>
    <w:rsid w:val="00ED7520"/>
    <w:rsid w:val="00EE0350"/>
    <w:rsid w:val="00EE0719"/>
    <w:rsid w:val="00EE0E80"/>
    <w:rsid w:val="00EE31A5"/>
    <w:rsid w:val="00EE3D37"/>
    <w:rsid w:val="00EE54A6"/>
    <w:rsid w:val="00EE613F"/>
    <w:rsid w:val="00EE6447"/>
    <w:rsid w:val="00EE7295"/>
    <w:rsid w:val="00EE7869"/>
    <w:rsid w:val="00EF054A"/>
    <w:rsid w:val="00EF31C5"/>
    <w:rsid w:val="00EF3235"/>
    <w:rsid w:val="00EF7B62"/>
    <w:rsid w:val="00EF7E39"/>
    <w:rsid w:val="00EF7E72"/>
    <w:rsid w:val="00F000C2"/>
    <w:rsid w:val="00F02B72"/>
    <w:rsid w:val="00F041E6"/>
    <w:rsid w:val="00F06636"/>
    <w:rsid w:val="00F06D37"/>
    <w:rsid w:val="00F07A52"/>
    <w:rsid w:val="00F07B9D"/>
    <w:rsid w:val="00F11586"/>
    <w:rsid w:val="00F11773"/>
    <w:rsid w:val="00F1183B"/>
    <w:rsid w:val="00F11C9F"/>
    <w:rsid w:val="00F12263"/>
    <w:rsid w:val="00F13492"/>
    <w:rsid w:val="00F13ED4"/>
    <w:rsid w:val="00F1409D"/>
    <w:rsid w:val="00F14214"/>
    <w:rsid w:val="00F157A9"/>
    <w:rsid w:val="00F20E40"/>
    <w:rsid w:val="00F22115"/>
    <w:rsid w:val="00F2477E"/>
    <w:rsid w:val="00F2495E"/>
    <w:rsid w:val="00F249A1"/>
    <w:rsid w:val="00F25BB6"/>
    <w:rsid w:val="00F2682B"/>
    <w:rsid w:val="00F26B7E"/>
    <w:rsid w:val="00F27A3B"/>
    <w:rsid w:val="00F33817"/>
    <w:rsid w:val="00F33D39"/>
    <w:rsid w:val="00F34F60"/>
    <w:rsid w:val="00F359FA"/>
    <w:rsid w:val="00F420D5"/>
    <w:rsid w:val="00F451EA"/>
    <w:rsid w:val="00F45447"/>
    <w:rsid w:val="00F456C6"/>
    <w:rsid w:val="00F4577B"/>
    <w:rsid w:val="00F46496"/>
    <w:rsid w:val="00F474D0"/>
    <w:rsid w:val="00F50179"/>
    <w:rsid w:val="00F50B56"/>
    <w:rsid w:val="00F515EE"/>
    <w:rsid w:val="00F534F4"/>
    <w:rsid w:val="00F55736"/>
    <w:rsid w:val="00F56511"/>
    <w:rsid w:val="00F57C03"/>
    <w:rsid w:val="00F6194E"/>
    <w:rsid w:val="00F623AC"/>
    <w:rsid w:val="00F6274A"/>
    <w:rsid w:val="00F63F83"/>
    <w:rsid w:val="00F6412A"/>
    <w:rsid w:val="00F65893"/>
    <w:rsid w:val="00F65A4D"/>
    <w:rsid w:val="00F66A4A"/>
    <w:rsid w:val="00F67976"/>
    <w:rsid w:val="00F71E22"/>
    <w:rsid w:val="00F72142"/>
    <w:rsid w:val="00F72920"/>
    <w:rsid w:val="00F72AE7"/>
    <w:rsid w:val="00F73920"/>
    <w:rsid w:val="00F81141"/>
    <w:rsid w:val="00F833BA"/>
    <w:rsid w:val="00F84307"/>
    <w:rsid w:val="00F84FD0"/>
    <w:rsid w:val="00F859A8"/>
    <w:rsid w:val="00F8625F"/>
    <w:rsid w:val="00F86D87"/>
    <w:rsid w:val="00F87F14"/>
    <w:rsid w:val="00F9108B"/>
    <w:rsid w:val="00F91349"/>
    <w:rsid w:val="00F91361"/>
    <w:rsid w:val="00F91EF7"/>
    <w:rsid w:val="00F93A8A"/>
    <w:rsid w:val="00F95248"/>
    <w:rsid w:val="00F956A9"/>
    <w:rsid w:val="00F963ED"/>
    <w:rsid w:val="00F966CF"/>
    <w:rsid w:val="00F96CAE"/>
    <w:rsid w:val="00F97C99"/>
    <w:rsid w:val="00FA181F"/>
    <w:rsid w:val="00FA2255"/>
    <w:rsid w:val="00FA30F5"/>
    <w:rsid w:val="00FA3261"/>
    <w:rsid w:val="00FA44A5"/>
    <w:rsid w:val="00FA4DAC"/>
    <w:rsid w:val="00FA662D"/>
    <w:rsid w:val="00FA73B1"/>
    <w:rsid w:val="00FB06DF"/>
    <w:rsid w:val="00FB0CB9"/>
    <w:rsid w:val="00FB10B9"/>
    <w:rsid w:val="00FB1FA9"/>
    <w:rsid w:val="00FB2011"/>
    <w:rsid w:val="00FB231D"/>
    <w:rsid w:val="00FB2A67"/>
    <w:rsid w:val="00FB45F1"/>
    <w:rsid w:val="00FB4A72"/>
    <w:rsid w:val="00FB54E8"/>
    <w:rsid w:val="00FB7054"/>
    <w:rsid w:val="00FB77D4"/>
    <w:rsid w:val="00FC17B7"/>
    <w:rsid w:val="00FC2CB7"/>
    <w:rsid w:val="00FC3678"/>
    <w:rsid w:val="00FC4090"/>
    <w:rsid w:val="00FC55B4"/>
    <w:rsid w:val="00FD00E6"/>
    <w:rsid w:val="00FD09A1"/>
    <w:rsid w:val="00FD2310"/>
    <w:rsid w:val="00FD2794"/>
    <w:rsid w:val="00FD2A7C"/>
    <w:rsid w:val="00FD5585"/>
    <w:rsid w:val="00FD59EB"/>
    <w:rsid w:val="00FD5A67"/>
    <w:rsid w:val="00FD6729"/>
    <w:rsid w:val="00FD7299"/>
    <w:rsid w:val="00FD7D73"/>
    <w:rsid w:val="00FE1FBE"/>
    <w:rsid w:val="00FE3901"/>
    <w:rsid w:val="00FE39D3"/>
    <w:rsid w:val="00FE40F9"/>
    <w:rsid w:val="00FE49EA"/>
    <w:rsid w:val="00FE4BCE"/>
    <w:rsid w:val="00FE54AE"/>
    <w:rsid w:val="00FE576A"/>
    <w:rsid w:val="00FE732D"/>
    <w:rsid w:val="00FE7E79"/>
    <w:rsid w:val="00FF0F8B"/>
    <w:rsid w:val="00FF36B6"/>
    <w:rsid w:val="00FF3740"/>
    <w:rsid w:val="00FF3E7D"/>
    <w:rsid w:val="00FF468A"/>
    <w:rsid w:val="00FF5B99"/>
    <w:rsid w:val="00FF6E02"/>
    <w:rsid w:val="00FF730C"/>
    <w:rsid w:val="00FF73F4"/>
    <w:rsid w:val="00FF7CE4"/>
    <w:rsid w:val="00FF7E39"/>
    <w:rsid w:val="0C663369"/>
    <w:rsid w:val="16BCCE9E"/>
    <w:rsid w:val="1CA33B11"/>
    <w:rsid w:val="1F27F717"/>
    <w:rsid w:val="25513DC9"/>
    <w:rsid w:val="393ED3B7"/>
    <w:rsid w:val="3B525AEC"/>
    <w:rsid w:val="3B5779C9"/>
    <w:rsid w:val="3FAC7659"/>
    <w:rsid w:val="47FD3DFE"/>
    <w:rsid w:val="49F6A2D0"/>
    <w:rsid w:val="4FEFAAF9"/>
    <w:rsid w:val="4FF7CA68"/>
    <w:rsid w:val="5F8923E7"/>
    <w:rsid w:val="68932395"/>
    <w:rsid w:val="73FF4EE1"/>
    <w:rsid w:val="7577E419"/>
    <w:rsid w:val="77EF1D9C"/>
    <w:rsid w:val="7BEFA0B2"/>
    <w:rsid w:val="7BFD3B73"/>
    <w:rsid w:val="7BFD8B52"/>
    <w:rsid w:val="7DBEFAE0"/>
    <w:rsid w:val="7F4503C8"/>
    <w:rsid w:val="7F540A9C"/>
    <w:rsid w:val="7F6F76E7"/>
    <w:rsid w:val="7FBDAA0B"/>
    <w:rsid w:val="7FF367FA"/>
    <w:rsid w:val="7FF685D6"/>
    <w:rsid w:val="9EF45015"/>
    <w:rsid w:val="9F5FE3B4"/>
    <w:rsid w:val="A75BF3C7"/>
    <w:rsid w:val="ACFBD5C9"/>
    <w:rsid w:val="B0E64107"/>
    <w:rsid w:val="B3C847A2"/>
    <w:rsid w:val="BA59D33E"/>
    <w:rsid w:val="BFE5F33B"/>
    <w:rsid w:val="DBFB5EA9"/>
    <w:rsid w:val="DC3FFA5B"/>
    <w:rsid w:val="DC7FECE7"/>
    <w:rsid w:val="DE8F8D60"/>
    <w:rsid w:val="DEFE9F9A"/>
    <w:rsid w:val="DFBFF0EC"/>
    <w:rsid w:val="DFFEBC6D"/>
    <w:rsid w:val="E3FEF4CA"/>
    <w:rsid w:val="EBAF7AD4"/>
    <w:rsid w:val="ED762991"/>
    <w:rsid w:val="EDDF82DD"/>
    <w:rsid w:val="EFEE5D70"/>
    <w:rsid w:val="EFEF7C7F"/>
    <w:rsid w:val="EFF7598F"/>
    <w:rsid w:val="EFFE4867"/>
    <w:rsid w:val="F74BBAB6"/>
    <w:rsid w:val="FBED96BE"/>
    <w:rsid w:val="FE735DE1"/>
    <w:rsid w:val="FEA9130D"/>
    <w:rsid w:val="FF97AC3F"/>
    <w:rsid w:val="FFB93B6A"/>
    <w:rsid w:val="FFBF3C99"/>
    <w:rsid w:val="FFCF8B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after="160"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8"/>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9"/>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40"/>
    <w:qFormat/>
    <w:uiPriority w:val="0"/>
    <w:pPr>
      <w:keepNext/>
      <w:keepLines/>
      <w:spacing w:before="260" w:after="260" w:line="416" w:lineRule="auto"/>
      <w:outlineLvl w:val="2"/>
    </w:pPr>
    <w:rPr>
      <w:b/>
      <w:bCs/>
      <w:sz w:val="32"/>
      <w:szCs w:val="32"/>
    </w:rPr>
  </w:style>
  <w:style w:type="paragraph" w:styleId="5">
    <w:name w:val="heading 4"/>
    <w:basedOn w:val="1"/>
    <w:next w:val="1"/>
    <w:link w:val="41"/>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2"/>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3"/>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4"/>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5"/>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6"/>
    <w:qFormat/>
    <w:uiPriority w:val="0"/>
    <w:pPr>
      <w:keepNext/>
      <w:keepLines/>
      <w:adjustRightInd/>
      <w:spacing w:before="240" w:after="64" w:line="320" w:lineRule="auto"/>
      <w:outlineLvl w:val="8"/>
    </w:pPr>
    <w:rPr>
      <w:rFonts w:ascii="Arial" w:hAnsi="Arial" w:eastAsia="黑体"/>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annotation text"/>
    <w:basedOn w:val="1"/>
    <w:link w:val="239"/>
    <w:unhideWhenUsed/>
    <w:uiPriority w:val="99"/>
    <w:pPr>
      <w:jc w:val="left"/>
    </w:pPr>
  </w:style>
  <w:style w:type="paragraph" w:styleId="14">
    <w:name w:val="Body Text"/>
    <w:basedOn w:val="1"/>
    <w:link w:val="90"/>
    <w:qFormat/>
    <w:uiPriority w:val="0"/>
    <w:pPr>
      <w:spacing w:after="120"/>
    </w:pPr>
  </w:style>
  <w:style w:type="paragraph" w:styleId="15">
    <w:name w:val="toc 5"/>
    <w:basedOn w:val="1"/>
    <w:next w:val="1"/>
    <w:unhideWhenUsed/>
    <w:qFormat/>
    <w:uiPriority w:val="39"/>
    <w:pPr>
      <w:ind w:left="839"/>
    </w:pPr>
    <w:rPr>
      <w:rFonts w:ascii="宋体"/>
    </w:rPr>
  </w:style>
  <w:style w:type="paragraph" w:styleId="16">
    <w:name w:val="toc 3"/>
    <w:basedOn w:val="1"/>
    <w:next w:val="1"/>
    <w:unhideWhenUsed/>
    <w:qFormat/>
    <w:uiPriority w:val="39"/>
    <w:pPr>
      <w:spacing w:line="300" w:lineRule="exact"/>
      <w:ind w:left="420"/>
    </w:pPr>
    <w:rPr>
      <w:rFonts w:ascii="宋体"/>
    </w:rPr>
  </w:style>
  <w:style w:type="paragraph" w:styleId="17">
    <w:name w:val="Balloon Text"/>
    <w:basedOn w:val="1"/>
    <w:link w:val="49"/>
    <w:semiHidden/>
    <w:unhideWhenUsed/>
    <w:qFormat/>
    <w:uiPriority w:val="99"/>
    <w:rPr>
      <w:sz w:val="18"/>
      <w:szCs w:val="18"/>
    </w:rPr>
  </w:style>
  <w:style w:type="paragraph" w:styleId="18">
    <w:name w:val="footer"/>
    <w:basedOn w:val="1"/>
    <w:link w:val="48"/>
    <w:qFormat/>
    <w:uiPriority w:val="99"/>
    <w:pPr>
      <w:tabs>
        <w:tab w:val="center" w:pos="4153"/>
        <w:tab w:val="right" w:pos="8306"/>
      </w:tabs>
      <w:adjustRightInd/>
      <w:snapToGrid w:val="0"/>
      <w:spacing w:line="240" w:lineRule="auto"/>
      <w:jc w:val="right"/>
    </w:pPr>
    <w:rPr>
      <w:rFonts w:ascii="宋体"/>
      <w:sz w:val="18"/>
      <w:szCs w:val="18"/>
    </w:rPr>
  </w:style>
  <w:style w:type="paragraph" w:styleId="19">
    <w:name w:val="header"/>
    <w:basedOn w:val="1"/>
    <w:link w:val="47"/>
    <w:qFormat/>
    <w:uiPriority w:val="99"/>
    <w:pPr>
      <w:tabs>
        <w:tab w:val="center" w:pos="4153"/>
        <w:tab w:val="right" w:pos="8306"/>
      </w:tabs>
      <w:adjustRightInd/>
      <w:snapToGrid w:val="0"/>
      <w:jc w:val="center"/>
    </w:pPr>
    <w:rPr>
      <w:sz w:val="18"/>
      <w:szCs w:val="18"/>
    </w:rPr>
  </w:style>
  <w:style w:type="paragraph" w:styleId="20">
    <w:name w:val="toc 1"/>
    <w:basedOn w:val="1"/>
    <w:next w:val="1"/>
    <w:unhideWhenUsed/>
    <w:qFormat/>
    <w:uiPriority w:val="39"/>
    <w:rPr>
      <w:rFonts w:ascii="宋体"/>
    </w:rPr>
  </w:style>
  <w:style w:type="paragraph" w:styleId="21">
    <w:name w:val="toc 4"/>
    <w:basedOn w:val="1"/>
    <w:next w:val="1"/>
    <w:unhideWhenUsed/>
    <w:qFormat/>
    <w:uiPriority w:val="39"/>
    <w:pPr>
      <w:tabs>
        <w:tab w:val="right" w:leader="dot" w:pos="9344"/>
      </w:tabs>
      <w:spacing w:line="300" w:lineRule="exact"/>
      <w:ind w:left="629"/>
    </w:pPr>
    <w:rPr>
      <w:rFonts w:ascii="宋体"/>
    </w:rPr>
  </w:style>
  <w:style w:type="paragraph" w:styleId="22">
    <w:name w:val="footnote text"/>
    <w:basedOn w:val="1"/>
    <w:next w:val="1"/>
    <w:link w:val="103"/>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3">
    <w:name w:val="toc 6"/>
    <w:basedOn w:val="1"/>
    <w:next w:val="1"/>
    <w:unhideWhenUsed/>
    <w:qFormat/>
    <w:uiPriority w:val="39"/>
    <w:pPr>
      <w:spacing w:line="300" w:lineRule="exact"/>
      <w:ind w:left="1049"/>
    </w:pPr>
    <w:rPr>
      <w:rFonts w:ascii="宋体"/>
    </w:rPr>
  </w:style>
  <w:style w:type="paragraph" w:styleId="24">
    <w:name w:val="table of figures"/>
    <w:basedOn w:val="1"/>
    <w:next w:val="1"/>
    <w:semiHidden/>
    <w:qFormat/>
    <w:uiPriority w:val="0"/>
    <w:pPr>
      <w:adjustRightInd/>
      <w:spacing w:line="240" w:lineRule="auto"/>
      <w:jc w:val="left"/>
    </w:pPr>
    <w:rPr>
      <w:szCs w:val="24"/>
    </w:rPr>
  </w:style>
  <w:style w:type="paragraph" w:styleId="25">
    <w:name w:val="toc 2"/>
    <w:basedOn w:val="1"/>
    <w:next w:val="1"/>
    <w:unhideWhenUsed/>
    <w:qFormat/>
    <w:uiPriority w:val="39"/>
    <w:pPr>
      <w:tabs>
        <w:tab w:val="right" w:leader="dot" w:pos="9344"/>
      </w:tabs>
      <w:spacing w:line="300" w:lineRule="exact"/>
      <w:ind w:left="210"/>
    </w:pPr>
    <w:rPr>
      <w:rFonts w:ascii="宋体"/>
    </w:rPr>
  </w:style>
  <w:style w:type="paragraph" w:styleId="26">
    <w:name w:val="Normal (Web)"/>
    <w:basedOn w:val="1"/>
    <w:unhideWhenUsed/>
    <w:qFormat/>
    <w:uiPriority w:val="99"/>
    <w:pPr>
      <w:adjustRightInd/>
      <w:spacing w:after="200" w:line="240" w:lineRule="auto"/>
    </w:pPr>
    <w:rPr>
      <w:sz w:val="24"/>
      <w:szCs w:val="24"/>
    </w:rPr>
  </w:style>
  <w:style w:type="paragraph" w:styleId="27">
    <w:name w:val="Title"/>
    <w:basedOn w:val="1"/>
    <w:link w:val="52"/>
    <w:qFormat/>
    <w:uiPriority w:val="0"/>
    <w:pPr>
      <w:spacing w:before="240" w:after="60"/>
      <w:jc w:val="center"/>
      <w:outlineLvl w:val="0"/>
    </w:pPr>
    <w:rPr>
      <w:rFonts w:ascii="Arial" w:hAnsi="Arial" w:cs="Arial"/>
      <w:b/>
      <w:bCs/>
      <w:sz w:val="32"/>
      <w:szCs w:val="32"/>
    </w:rPr>
  </w:style>
  <w:style w:type="paragraph" w:styleId="28">
    <w:name w:val="annotation subject"/>
    <w:basedOn w:val="13"/>
    <w:next w:val="13"/>
    <w:link w:val="240"/>
    <w:semiHidden/>
    <w:unhideWhenUsed/>
    <w:uiPriority w:val="99"/>
    <w:rPr>
      <w:b/>
      <w:bCs/>
    </w:rPr>
  </w:style>
  <w:style w:type="table" w:styleId="30">
    <w:name w:val="Table Grid"/>
    <w:basedOn w:val="29"/>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qFormat/>
    <w:uiPriority w:val="22"/>
    <w:rPr>
      <w:b/>
      <w:bCs/>
    </w:rPr>
  </w:style>
  <w:style w:type="character" w:styleId="33">
    <w:name w:val="page number"/>
    <w:qFormat/>
    <w:uiPriority w:val="0"/>
    <w:rPr>
      <w:rFonts w:ascii="宋体" w:hAnsi="Times New Roman" w:eastAsia="宋体"/>
      <w:sz w:val="18"/>
    </w:rPr>
  </w:style>
  <w:style w:type="character" w:styleId="34">
    <w:name w:val="Emphasis"/>
    <w:qFormat/>
    <w:uiPriority w:val="20"/>
    <w:rPr>
      <w:i/>
      <w:iCs/>
    </w:rPr>
  </w:style>
  <w:style w:type="character" w:styleId="35">
    <w:name w:val="Hyperlink"/>
    <w:qFormat/>
    <w:uiPriority w:val="99"/>
    <w:rPr>
      <w:rFonts w:ascii="宋体" w:hAnsi="Times New Roman" w:eastAsia="宋体"/>
      <w:color w:val="auto"/>
      <w:spacing w:val="0"/>
      <w:w w:val="100"/>
      <w:position w:val="0"/>
      <w:sz w:val="21"/>
      <w:u w:val="none"/>
      <w:vertAlign w:val="baseline"/>
    </w:rPr>
  </w:style>
  <w:style w:type="character" w:styleId="36">
    <w:name w:val="annotation reference"/>
    <w:basedOn w:val="31"/>
    <w:semiHidden/>
    <w:unhideWhenUsed/>
    <w:uiPriority w:val="99"/>
    <w:rPr>
      <w:sz w:val="21"/>
      <w:szCs w:val="21"/>
    </w:rPr>
  </w:style>
  <w:style w:type="character" w:styleId="37">
    <w:name w:val="footnote reference"/>
    <w:semiHidden/>
    <w:qFormat/>
    <w:uiPriority w:val="0"/>
    <w:rPr>
      <w:rFonts w:ascii="宋体" w:hAnsi="宋体" w:eastAsia="宋体" w:cs="Times New Roman"/>
      <w:spacing w:val="0"/>
      <w:sz w:val="18"/>
      <w:vertAlign w:val="superscript"/>
    </w:rPr>
  </w:style>
  <w:style w:type="character" w:customStyle="1" w:styleId="38">
    <w:name w:val="标题 1 字符"/>
    <w:link w:val="2"/>
    <w:qFormat/>
    <w:uiPriority w:val="0"/>
    <w:rPr>
      <w:b/>
      <w:bCs/>
      <w:kern w:val="44"/>
      <w:sz w:val="44"/>
      <w:szCs w:val="44"/>
    </w:rPr>
  </w:style>
  <w:style w:type="character" w:customStyle="1" w:styleId="39">
    <w:name w:val="标题 2 字符"/>
    <w:link w:val="3"/>
    <w:qFormat/>
    <w:uiPriority w:val="0"/>
    <w:rPr>
      <w:rFonts w:ascii="Arial" w:hAnsi="Arial" w:eastAsia="黑体"/>
      <w:b/>
      <w:bCs/>
      <w:kern w:val="2"/>
      <w:sz w:val="32"/>
      <w:szCs w:val="32"/>
    </w:rPr>
  </w:style>
  <w:style w:type="character" w:customStyle="1" w:styleId="40">
    <w:name w:val="标题 3 字符"/>
    <w:link w:val="4"/>
    <w:qFormat/>
    <w:uiPriority w:val="0"/>
    <w:rPr>
      <w:b/>
      <w:bCs/>
      <w:kern w:val="2"/>
      <w:sz w:val="32"/>
      <w:szCs w:val="32"/>
    </w:rPr>
  </w:style>
  <w:style w:type="character" w:customStyle="1" w:styleId="41">
    <w:name w:val="标题 4 字符"/>
    <w:link w:val="5"/>
    <w:qFormat/>
    <w:uiPriority w:val="0"/>
    <w:rPr>
      <w:rFonts w:ascii="Arial" w:hAnsi="Arial" w:eastAsia="黑体"/>
      <w:b/>
      <w:bCs/>
      <w:kern w:val="2"/>
      <w:sz w:val="28"/>
      <w:szCs w:val="28"/>
    </w:rPr>
  </w:style>
  <w:style w:type="character" w:customStyle="1" w:styleId="42">
    <w:name w:val="标题 5 字符"/>
    <w:link w:val="6"/>
    <w:qFormat/>
    <w:uiPriority w:val="0"/>
    <w:rPr>
      <w:b/>
      <w:bCs/>
      <w:kern w:val="2"/>
      <w:sz w:val="28"/>
      <w:szCs w:val="28"/>
    </w:rPr>
  </w:style>
  <w:style w:type="character" w:customStyle="1" w:styleId="43">
    <w:name w:val="标题 6 字符"/>
    <w:link w:val="7"/>
    <w:qFormat/>
    <w:uiPriority w:val="0"/>
    <w:rPr>
      <w:rFonts w:ascii="Arial" w:hAnsi="Arial" w:eastAsia="黑体"/>
      <w:b/>
      <w:bCs/>
      <w:kern w:val="2"/>
      <w:sz w:val="24"/>
      <w:szCs w:val="24"/>
    </w:rPr>
  </w:style>
  <w:style w:type="character" w:customStyle="1" w:styleId="44">
    <w:name w:val="标题 7 字符"/>
    <w:link w:val="8"/>
    <w:qFormat/>
    <w:uiPriority w:val="0"/>
    <w:rPr>
      <w:b/>
      <w:bCs/>
      <w:kern w:val="2"/>
      <w:sz w:val="24"/>
      <w:szCs w:val="24"/>
    </w:rPr>
  </w:style>
  <w:style w:type="character" w:customStyle="1" w:styleId="45">
    <w:name w:val="标题 8 字符"/>
    <w:link w:val="9"/>
    <w:qFormat/>
    <w:uiPriority w:val="0"/>
    <w:rPr>
      <w:rFonts w:ascii="Arial" w:hAnsi="Arial" w:eastAsia="黑体"/>
      <w:kern w:val="2"/>
      <w:sz w:val="24"/>
      <w:szCs w:val="24"/>
    </w:rPr>
  </w:style>
  <w:style w:type="character" w:customStyle="1" w:styleId="46">
    <w:name w:val="标题 9 字符"/>
    <w:link w:val="10"/>
    <w:qFormat/>
    <w:uiPriority w:val="0"/>
    <w:rPr>
      <w:rFonts w:ascii="Arial" w:hAnsi="Arial" w:eastAsia="黑体"/>
      <w:kern w:val="2"/>
      <w:sz w:val="21"/>
      <w:szCs w:val="21"/>
    </w:rPr>
  </w:style>
  <w:style w:type="character" w:customStyle="1" w:styleId="47">
    <w:name w:val="页眉 字符"/>
    <w:link w:val="19"/>
    <w:qFormat/>
    <w:uiPriority w:val="99"/>
    <w:rPr>
      <w:kern w:val="2"/>
      <w:sz w:val="18"/>
      <w:szCs w:val="18"/>
    </w:rPr>
  </w:style>
  <w:style w:type="character" w:customStyle="1" w:styleId="48">
    <w:name w:val="页脚 字符"/>
    <w:link w:val="18"/>
    <w:qFormat/>
    <w:uiPriority w:val="99"/>
    <w:rPr>
      <w:rFonts w:ascii="宋体"/>
      <w:kern w:val="2"/>
      <w:sz w:val="18"/>
      <w:szCs w:val="18"/>
    </w:rPr>
  </w:style>
  <w:style w:type="character" w:customStyle="1" w:styleId="49">
    <w:name w:val="批注框文本 字符"/>
    <w:link w:val="17"/>
    <w:semiHidden/>
    <w:qFormat/>
    <w:uiPriority w:val="99"/>
    <w:rPr>
      <w:kern w:val="2"/>
      <w:sz w:val="18"/>
      <w:szCs w:val="18"/>
    </w:rPr>
  </w:style>
  <w:style w:type="paragraph" w:styleId="50">
    <w:name w:val="Quote"/>
    <w:basedOn w:val="1"/>
    <w:next w:val="1"/>
    <w:link w:val="51"/>
    <w:qFormat/>
    <w:uiPriority w:val="29"/>
    <w:rPr>
      <w:i/>
      <w:iCs/>
      <w:color w:val="000000"/>
    </w:rPr>
  </w:style>
  <w:style w:type="character" w:customStyle="1" w:styleId="51">
    <w:name w:val="引用 字符"/>
    <w:link w:val="50"/>
    <w:qFormat/>
    <w:uiPriority w:val="29"/>
    <w:rPr>
      <w:i/>
      <w:iCs/>
      <w:color w:val="000000"/>
      <w:kern w:val="2"/>
      <w:sz w:val="21"/>
      <w:szCs w:val="21"/>
    </w:rPr>
  </w:style>
  <w:style w:type="character" w:customStyle="1" w:styleId="52">
    <w:name w:val="标题 字符"/>
    <w:link w:val="27"/>
    <w:qFormat/>
    <w:uiPriority w:val="0"/>
    <w:rPr>
      <w:rFonts w:ascii="Arial" w:hAnsi="Arial" w:cs="Arial"/>
      <w:b/>
      <w:bCs/>
      <w:kern w:val="2"/>
      <w:sz w:val="32"/>
      <w:szCs w:val="32"/>
    </w:rPr>
  </w:style>
  <w:style w:type="paragraph" w:customStyle="1" w:styleId="53">
    <w:name w:val="标准标志"/>
    <w:next w:val="1"/>
    <w:qFormat/>
    <w:uiPriority w:val="0"/>
    <w:pPr>
      <w:framePr w:w="2268" w:h="1392" w:hRule="exact" w:wrap="around" w:vAnchor="margin" w:hAnchor="margin" w:x="6748" w:y="171" w:anchorLock="1"/>
      <w:shd w:val="solid" w:color="FFFFFF" w:fill="FFFFFF"/>
      <w:spacing w:after="160" w:line="0" w:lineRule="atLeast"/>
      <w:jc w:val="right"/>
    </w:pPr>
    <w:rPr>
      <w:rFonts w:ascii="Times New Roman" w:hAnsi="Times New Roman" w:eastAsia="宋体" w:cs="Times New Roman"/>
      <w:b/>
      <w:w w:val="130"/>
      <w:sz w:val="96"/>
      <w:lang w:val="en-US" w:eastAsia="zh-CN" w:bidi="ar-SA"/>
    </w:rPr>
  </w:style>
  <w:style w:type="paragraph" w:customStyle="1" w:styleId="54">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after="160" w:line="0" w:lineRule="atLeast"/>
      <w:jc w:val="distribute"/>
    </w:pPr>
    <w:rPr>
      <w:rFonts w:ascii="宋体" w:hAnsi="Times New Roman" w:eastAsia="宋体" w:cs="Times New Roman"/>
      <w:b/>
      <w:bCs/>
      <w:w w:val="148"/>
      <w:sz w:val="52"/>
      <w:lang w:val="en-US" w:eastAsia="zh-CN" w:bidi="ar-SA"/>
    </w:rPr>
  </w:style>
  <w:style w:type="paragraph" w:customStyle="1" w:styleId="55">
    <w:name w:val="标准文件_页脚偶数页"/>
    <w:qFormat/>
    <w:uiPriority w:val="0"/>
    <w:pPr>
      <w:spacing w:after="160" w:line="278" w:lineRule="auto"/>
      <w:ind w:left="198"/>
    </w:pPr>
    <w:rPr>
      <w:rFonts w:ascii="宋体" w:hAnsi="Times New Roman" w:eastAsia="宋体" w:cs="Times New Roman"/>
      <w:sz w:val="18"/>
      <w:lang w:val="en-US" w:eastAsia="zh-CN" w:bidi="ar-SA"/>
    </w:rPr>
  </w:style>
  <w:style w:type="paragraph" w:customStyle="1" w:styleId="56">
    <w:name w:val="标准文件_页脚奇数页"/>
    <w:qFormat/>
    <w:uiPriority w:val="0"/>
    <w:pPr>
      <w:spacing w:after="160" w:line="278" w:lineRule="auto"/>
      <w:ind w:right="227"/>
      <w:jc w:val="right"/>
    </w:pPr>
    <w:rPr>
      <w:rFonts w:ascii="宋体" w:hAnsi="Times New Roman" w:eastAsia="宋体" w:cs="Times New Roman"/>
      <w:sz w:val="18"/>
      <w:lang w:val="en-US" w:eastAsia="zh-CN" w:bidi="ar-SA"/>
    </w:rPr>
  </w:style>
  <w:style w:type="paragraph" w:customStyle="1" w:styleId="57">
    <w:name w:val="标准书眉一"/>
    <w:qFormat/>
    <w:uiPriority w:val="0"/>
    <w:pPr>
      <w:spacing w:after="160" w:line="278" w:lineRule="auto"/>
      <w:jc w:val="both"/>
    </w:pPr>
    <w:rPr>
      <w:rFonts w:ascii="Times New Roman" w:hAnsi="Times New Roman" w:eastAsia="宋体" w:cs="Times New Roman"/>
      <w:lang w:val="en-US" w:eastAsia="zh-CN" w:bidi="ar-SA"/>
    </w:rPr>
  </w:style>
  <w:style w:type="paragraph" w:customStyle="1" w:styleId="58">
    <w:name w:val="标准文件_ICS"/>
    <w:basedOn w:val="1"/>
    <w:qFormat/>
    <w:uiPriority w:val="0"/>
    <w:pPr>
      <w:spacing w:line="0" w:lineRule="atLeast"/>
    </w:pPr>
    <w:rPr>
      <w:rFonts w:ascii="黑体" w:hAnsi="宋体" w:eastAsia="黑体"/>
    </w:rPr>
  </w:style>
  <w:style w:type="paragraph" w:customStyle="1" w:styleId="59">
    <w:name w:val="标准文件_标准正文"/>
    <w:basedOn w:val="1"/>
    <w:next w:val="60"/>
    <w:qFormat/>
    <w:uiPriority w:val="0"/>
    <w:pPr>
      <w:snapToGrid w:val="0"/>
      <w:ind w:firstLine="200" w:firstLineChars="200"/>
    </w:pPr>
    <w:rPr>
      <w:kern w:val="0"/>
    </w:rPr>
  </w:style>
  <w:style w:type="paragraph" w:customStyle="1" w:styleId="60">
    <w:name w:val="标准文件_段"/>
    <w:link w:val="188"/>
    <w:qFormat/>
    <w:uiPriority w:val="0"/>
    <w:pPr>
      <w:autoSpaceDE w:val="0"/>
      <w:autoSpaceDN w:val="0"/>
      <w:spacing w:after="160" w:line="278" w:lineRule="auto"/>
      <w:ind w:firstLine="200" w:firstLineChars="200"/>
      <w:jc w:val="both"/>
    </w:pPr>
    <w:rPr>
      <w:rFonts w:ascii="宋体" w:hAnsi="Times New Roman" w:eastAsia="宋体" w:cs="Times New Roman"/>
      <w:sz w:val="21"/>
      <w:lang w:val="en-US" w:eastAsia="zh-CN" w:bidi="ar-SA"/>
    </w:rPr>
  </w:style>
  <w:style w:type="paragraph" w:customStyle="1" w:styleId="61">
    <w:name w:val="标准文件_版本"/>
    <w:basedOn w:val="59"/>
    <w:qFormat/>
    <w:uiPriority w:val="0"/>
    <w:pPr>
      <w:adjustRightInd/>
      <w:snapToGrid/>
      <w:ind w:firstLine="0" w:firstLineChars="0"/>
    </w:pPr>
    <w:rPr>
      <w:rFonts w:ascii="宋体" w:hAnsi="宋体"/>
      <w:kern w:val="2"/>
    </w:rPr>
  </w:style>
  <w:style w:type="paragraph" w:customStyle="1" w:styleId="62">
    <w:name w:val="标准文件_标准部门"/>
    <w:basedOn w:val="1"/>
    <w:qFormat/>
    <w:uiPriority w:val="0"/>
    <w:pPr>
      <w:jc w:val="center"/>
    </w:pPr>
    <w:rPr>
      <w:rFonts w:ascii="黑体" w:eastAsia="黑体"/>
      <w:kern w:val="0"/>
      <w:sz w:val="44"/>
    </w:rPr>
  </w:style>
  <w:style w:type="paragraph" w:customStyle="1" w:styleId="63">
    <w:name w:val="标准文件_标准代替"/>
    <w:basedOn w:val="1"/>
    <w:next w:val="1"/>
    <w:qFormat/>
    <w:uiPriority w:val="0"/>
    <w:pPr>
      <w:spacing w:line="310" w:lineRule="exact"/>
      <w:jc w:val="right"/>
    </w:pPr>
    <w:rPr>
      <w:rFonts w:ascii="宋体" w:hAnsi="宋体"/>
      <w:kern w:val="0"/>
    </w:rPr>
  </w:style>
  <w:style w:type="paragraph" w:customStyle="1" w:styleId="64">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5">
    <w:name w:val="标准文件_页眉奇数页"/>
    <w:next w:val="1"/>
    <w:qFormat/>
    <w:uiPriority w:val="0"/>
    <w:pPr>
      <w:tabs>
        <w:tab w:val="center" w:pos="4154"/>
        <w:tab w:val="right" w:pos="8306"/>
      </w:tabs>
      <w:spacing w:after="120" w:line="278" w:lineRule="auto"/>
      <w:jc w:val="right"/>
    </w:pPr>
    <w:rPr>
      <w:rFonts w:ascii="黑体" w:hAnsi="宋体" w:eastAsia="黑体" w:cs="Times New Roman"/>
      <w:sz w:val="21"/>
      <w:lang w:val="en-US" w:eastAsia="zh-CN" w:bidi="ar-SA"/>
    </w:rPr>
  </w:style>
  <w:style w:type="paragraph" w:customStyle="1" w:styleId="66">
    <w:name w:val="标准文件_页眉偶数页"/>
    <w:basedOn w:val="65"/>
    <w:next w:val="1"/>
    <w:qFormat/>
    <w:uiPriority w:val="0"/>
    <w:pPr>
      <w:jc w:val="left"/>
    </w:pPr>
  </w:style>
  <w:style w:type="paragraph" w:customStyle="1" w:styleId="67">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8">
    <w:name w:val="标准文件_参考文献条目"/>
    <w:qFormat/>
    <w:uiPriority w:val="0"/>
    <w:pPr>
      <w:numPr>
        <w:ilvl w:val="0"/>
        <w:numId w:val="1"/>
      </w:numPr>
      <w:spacing w:after="160" w:line="278" w:lineRule="auto"/>
    </w:pPr>
    <w:rPr>
      <w:rFonts w:ascii="宋体" w:hAnsi="Times New Roman" w:eastAsia="宋体" w:cs="Times New Roman"/>
      <w:lang w:val="en-US" w:eastAsia="zh-CN" w:bidi="ar-SA"/>
    </w:rPr>
  </w:style>
  <w:style w:type="paragraph" w:customStyle="1" w:styleId="69">
    <w:name w:val="标准文件_二级条标题"/>
    <w:next w:val="60"/>
    <w:qFormat/>
    <w:uiPriority w:val="0"/>
    <w:pPr>
      <w:widowControl w:val="0"/>
      <w:numPr>
        <w:ilvl w:val="3"/>
        <w:numId w:val="2"/>
      </w:numPr>
      <w:spacing w:before="50" w:beforeLines="50" w:after="50" w:afterLines="50" w:line="278" w:lineRule="auto"/>
      <w:jc w:val="both"/>
      <w:outlineLvl w:val="2"/>
    </w:pPr>
    <w:rPr>
      <w:rFonts w:ascii="黑体" w:hAnsi="Times New Roman" w:eastAsia="黑体" w:cs="Times New Roman"/>
      <w:sz w:val="21"/>
      <w:lang w:val="en-US" w:eastAsia="zh-CN" w:bidi="ar-SA"/>
    </w:rPr>
  </w:style>
  <w:style w:type="character" w:customStyle="1" w:styleId="70">
    <w:name w:val="标准文件_发布"/>
    <w:qFormat/>
    <w:uiPriority w:val="0"/>
    <w:rPr>
      <w:rFonts w:ascii="黑体" w:eastAsia="黑体"/>
      <w:spacing w:val="0"/>
      <w:w w:val="100"/>
      <w:position w:val="3"/>
      <w:sz w:val="28"/>
    </w:rPr>
  </w:style>
  <w:style w:type="paragraph" w:customStyle="1" w:styleId="71">
    <w:name w:val="标准文件_方框数字列项"/>
    <w:basedOn w:val="60"/>
    <w:qFormat/>
    <w:uiPriority w:val="0"/>
    <w:pPr>
      <w:numPr>
        <w:ilvl w:val="0"/>
        <w:numId w:val="3"/>
      </w:numPr>
      <w:ind w:firstLine="0" w:firstLineChars="0"/>
    </w:pPr>
  </w:style>
  <w:style w:type="paragraph" w:customStyle="1" w:styleId="72">
    <w:name w:val="标准文件_封面标准编号"/>
    <w:basedOn w:val="1"/>
    <w:next w:val="63"/>
    <w:qFormat/>
    <w:uiPriority w:val="0"/>
    <w:pPr>
      <w:spacing w:line="310" w:lineRule="exact"/>
      <w:jc w:val="right"/>
    </w:pPr>
    <w:rPr>
      <w:rFonts w:ascii="黑体" w:eastAsia="黑体"/>
      <w:kern w:val="0"/>
      <w:sz w:val="28"/>
    </w:rPr>
  </w:style>
  <w:style w:type="paragraph" w:customStyle="1" w:styleId="73">
    <w:name w:val="标准文件_封面标准分类号"/>
    <w:basedOn w:val="1"/>
    <w:qFormat/>
    <w:uiPriority w:val="0"/>
    <w:rPr>
      <w:rFonts w:ascii="黑体" w:eastAsia="黑体"/>
      <w:b/>
      <w:kern w:val="0"/>
      <w:sz w:val="28"/>
    </w:rPr>
  </w:style>
  <w:style w:type="paragraph" w:customStyle="1" w:styleId="74">
    <w:name w:val="标准文件_封面标准名称"/>
    <w:basedOn w:val="1"/>
    <w:qFormat/>
    <w:uiPriority w:val="0"/>
    <w:pPr>
      <w:spacing w:line="240" w:lineRule="auto"/>
      <w:jc w:val="center"/>
    </w:pPr>
    <w:rPr>
      <w:rFonts w:ascii="黑体" w:eastAsia="黑体"/>
      <w:kern w:val="0"/>
      <w:sz w:val="52"/>
    </w:rPr>
  </w:style>
  <w:style w:type="paragraph" w:customStyle="1" w:styleId="75">
    <w:name w:val="标准文件_封面标准英文名称"/>
    <w:basedOn w:val="1"/>
    <w:qFormat/>
    <w:uiPriority w:val="0"/>
    <w:pPr>
      <w:spacing w:line="240" w:lineRule="auto"/>
      <w:jc w:val="center"/>
    </w:pPr>
    <w:rPr>
      <w:rFonts w:ascii="黑体" w:eastAsia="黑体"/>
      <w:b/>
      <w:sz w:val="28"/>
    </w:rPr>
  </w:style>
  <w:style w:type="paragraph" w:customStyle="1" w:styleId="76">
    <w:name w:val="标准文件_封面发布日期"/>
    <w:basedOn w:val="1"/>
    <w:qFormat/>
    <w:uiPriority w:val="0"/>
    <w:pPr>
      <w:spacing w:line="310" w:lineRule="exact"/>
    </w:pPr>
    <w:rPr>
      <w:rFonts w:ascii="黑体" w:eastAsia="黑体"/>
      <w:kern w:val="0"/>
      <w:sz w:val="28"/>
    </w:rPr>
  </w:style>
  <w:style w:type="paragraph" w:customStyle="1" w:styleId="77">
    <w:name w:val="标准文件_封面密级"/>
    <w:basedOn w:val="1"/>
    <w:qFormat/>
    <w:uiPriority w:val="0"/>
    <w:rPr>
      <w:rFonts w:eastAsia="黑体"/>
      <w:sz w:val="32"/>
    </w:rPr>
  </w:style>
  <w:style w:type="paragraph" w:customStyle="1" w:styleId="78">
    <w:name w:val="标准文件_封面实施日期"/>
    <w:basedOn w:val="1"/>
    <w:qFormat/>
    <w:uiPriority w:val="0"/>
    <w:pPr>
      <w:spacing w:line="310" w:lineRule="exact"/>
      <w:jc w:val="right"/>
    </w:pPr>
    <w:rPr>
      <w:rFonts w:ascii="黑体" w:eastAsia="黑体"/>
      <w:sz w:val="28"/>
    </w:rPr>
  </w:style>
  <w:style w:type="paragraph" w:customStyle="1" w:styleId="79">
    <w:name w:val="标准文件_封面抬头"/>
    <w:basedOn w:val="60"/>
    <w:qFormat/>
    <w:uiPriority w:val="0"/>
    <w:pPr>
      <w:adjustRightInd w:val="0"/>
      <w:spacing w:line="800" w:lineRule="exact"/>
      <w:ind w:firstLine="0" w:firstLineChars="0"/>
      <w:jc w:val="distribute"/>
    </w:pPr>
    <w:rPr>
      <w:rFonts w:ascii="黑体" w:eastAsia="黑体"/>
      <w:b/>
      <w:sz w:val="64"/>
    </w:rPr>
  </w:style>
  <w:style w:type="paragraph" w:customStyle="1" w:styleId="80">
    <w:name w:val="标准文件_附录标识"/>
    <w:next w:val="60"/>
    <w:qFormat/>
    <w:uiPriority w:val="0"/>
    <w:pPr>
      <w:numPr>
        <w:ilvl w:val="0"/>
        <w:numId w:val="4"/>
      </w:numPr>
      <w:shd w:val="clear" w:color="FFFFFF" w:fill="FFFFFF"/>
      <w:tabs>
        <w:tab w:val="left" w:pos="6406"/>
      </w:tabs>
      <w:spacing w:before="560" w:after="50" w:afterLines="50" w:line="278" w:lineRule="auto"/>
      <w:jc w:val="center"/>
      <w:outlineLvl w:val="0"/>
    </w:pPr>
    <w:rPr>
      <w:rFonts w:ascii="黑体" w:hAnsi="Times New Roman" w:eastAsia="黑体" w:cs="Times New Roman"/>
      <w:sz w:val="21"/>
      <w:lang w:val="en-US" w:eastAsia="zh-CN" w:bidi="ar-SA"/>
    </w:rPr>
  </w:style>
  <w:style w:type="paragraph" w:customStyle="1" w:styleId="81">
    <w:name w:val="标准文件_附录表标题"/>
    <w:next w:val="60"/>
    <w:qFormat/>
    <w:uiPriority w:val="0"/>
    <w:pPr>
      <w:numPr>
        <w:ilvl w:val="1"/>
        <w:numId w:val="5"/>
      </w:numPr>
      <w:adjustRightInd w:val="0"/>
      <w:snapToGrid w:val="0"/>
      <w:spacing w:before="50" w:beforeLines="50" w:after="50" w:afterLines="50" w:line="278" w:lineRule="auto"/>
      <w:jc w:val="center"/>
      <w:textAlignment w:val="baseline"/>
    </w:pPr>
    <w:rPr>
      <w:rFonts w:ascii="黑体" w:hAnsi="Times New Roman" w:eastAsia="黑体" w:cs="Times New Roman"/>
      <w:kern w:val="21"/>
      <w:sz w:val="21"/>
      <w:lang w:val="en-US" w:eastAsia="zh-CN" w:bidi="ar-SA"/>
    </w:rPr>
  </w:style>
  <w:style w:type="paragraph" w:customStyle="1" w:styleId="82">
    <w:name w:val="标准文件_附录一级条标题"/>
    <w:next w:val="60"/>
    <w:qFormat/>
    <w:uiPriority w:val="0"/>
    <w:pPr>
      <w:widowControl w:val="0"/>
      <w:numPr>
        <w:ilvl w:val="1"/>
        <w:numId w:val="4"/>
      </w:numPr>
      <w:spacing w:before="50" w:beforeLines="50" w:after="50" w:afterLines="50" w:line="278" w:lineRule="auto"/>
      <w:jc w:val="both"/>
      <w:outlineLvl w:val="2"/>
    </w:pPr>
    <w:rPr>
      <w:rFonts w:ascii="黑体" w:hAnsi="Times New Roman" w:eastAsia="黑体" w:cs="Times New Roman"/>
      <w:kern w:val="21"/>
      <w:sz w:val="21"/>
      <w:lang w:val="en-US" w:eastAsia="zh-CN" w:bidi="ar-SA"/>
    </w:rPr>
  </w:style>
  <w:style w:type="paragraph" w:customStyle="1" w:styleId="83">
    <w:name w:val="标准文件_附录二级条标题"/>
    <w:basedOn w:val="82"/>
    <w:next w:val="60"/>
    <w:qFormat/>
    <w:uiPriority w:val="0"/>
    <w:pPr>
      <w:widowControl/>
      <w:numPr>
        <w:ilvl w:val="2"/>
      </w:numPr>
      <w:wordWrap w:val="0"/>
      <w:overflowPunct w:val="0"/>
      <w:autoSpaceDE w:val="0"/>
      <w:autoSpaceDN w:val="0"/>
      <w:textAlignment w:val="baseline"/>
      <w:outlineLvl w:val="3"/>
    </w:pPr>
  </w:style>
  <w:style w:type="paragraph" w:customStyle="1" w:styleId="84">
    <w:name w:val="标准文件_附录公式"/>
    <w:basedOn w:val="59"/>
    <w:next w:val="59"/>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5">
    <w:name w:val="标准文件_附录三级条标题"/>
    <w:next w:val="60"/>
    <w:qFormat/>
    <w:uiPriority w:val="0"/>
    <w:pPr>
      <w:widowControl w:val="0"/>
      <w:numPr>
        <w:ilvl w:val="3"/>
        <w:numId w:val="4"/>
      </w:numPr>
      <w:spacing w:before="50" w:beforeLines="50" w:after="50" w:afterLines="50" w:line="278" w:lineRule="auto"/>
      <w:jc w:val="both"/>
      <w:outlineLvl w:val="4"/>
    </w:pPr>
    <w:rPr>
      <w:rFonts w:ascii="黑体" w:hAnsi="Times New Roman" w:eastAsia="黑体" w:cs="Times New Roman"/>
      <w:kern w:val="21"/>
      <w:sz w:val="21"/>
      <w:lang w:val="en-US" w:eastAsia="zh-CN" w:bidi="ar-SA"/>
    </w:rPr>
  </w:style>
  <w:style w:type="paragraph" w:customStyle="1" w:styleId="86">
    <w:name w:val="标准文件_附录四级条标题"/>
    <w:next w:val="60"/>
    <w:qFormat/>
    <w:uiPriority w:val="0"/>
    <w:pPr>
      <w:widowControl w:val="0"/>
      <w:numPr>
        <w:ilvl w:val="4"/>
        <w:numId w:val="4"/>
      </w:numPr>
      <w:spacing w:before="50" w:beforeLines="50" w:after="50" w:afterLines="50" w:line="278" w:lineRule="auto"/>
      <w:jc w:val="both"/>
      <w:outlineLvl w:val="5"/>
    </w:pPr>
    <w:rPr>
      <w:rFonts w:ascii="黑体" w:hAnsi="Times New Roman" w:eastAsia="黑体" w:cs="Times New Roman"/>
      <w:kern w:val="21"/>
      <w:sz w:val="21"/>
      <w:lang w:val="en-US" w:eastAsia="zh-CN" w:bidi="ar-SA"/>
    </w:rPr>
  </w:style>
  <w:style w:type="paragraph" w:customStyle="1" w:styleId="87">
    <w:name w:val="标准文件_附录图标题"/>
    <w:next w:val="60"/>
    <w:qFormat/>
    <w:uiPriority w:val="0"/>
    <w:pPr>
      <w:numPr>
        <w:ilvl w:val="1"/>
        <w:numId w:val="6"/>
      </w:numPr>
      <w:adjustRightInd w:val="0"/>
      <w:snapToGrid w:val="0"/>
      <w:spacing w:before="50" w:beforeLines="50" w:after="50" w:afterLines="50" w:line="278" w:lineRule="auto"/>
      <w:jc w:val="center"/>
    </w:pPr>
    <w:rPr>
      <w:rFonts w:ascii="黑体" w:hAnsi="Times New Roman" w:eastAsia="黑体" w:cs="Times New Roman"/>
      <w:sz w:val="21"/>
      <w:lang w:val="en-US" w:eastAsia="zh-CN" w:bidi="ar-SA"/>
    </w:rPr>
  </w:style>
  <w:style w:type="paragraph" w:customStyle="1" w:styleId="88">
    <w:name w:val="标准文件_附录五级条标题"/>
    <w:next w:val="60"/>
    <w:qFormat/>
    <w:uiPriority w:val="0"/>
    <w:pPr>
      <w:widowControl w:val="0"/>
      <w:numPr>
        <w:ilvl w:val="5"/>
        <w:numId w:val="4"/>
      </w:numPr>
      <w:spacing w:before="50" w:beforeLines="50" w:after="50" w:afterLines="50" w:line="278" w:lineRule="auto"/>
      <w:jc w:val="both"/>
      <w:outlineLvl w:val="6"/>
    </w:pPr>
    <w:rPr>
      <w:rFonts w:ascii="黑体" w:hAnsi="Times New Roman" w:eastAsia="黑体" w:cs="Times New Roman"/>
      <w:kern w:val="21"/>
      <w:sz w:val="21"/>
      <w:lang w:val="en-US" w:eastAsia="zh-CN" w:bidi="ar-SA"/>
    </w:rPr>
  </w:style>
  <w:style w:type="paragraph" w:customStyle="1" w:styleId="89">
    <w:name w:val="标准文件_附录英文标识"/>
    <w:next w:val="14"/>
    <w:qFormat/>
    <w:uiPriority w:val="0"/>
    <w:pPr>
      <w:numPr>
        <w:ilvl w:val="0"/>
        <w:numId w:val="7"/>
      </w:numPr>
      <w:tabs>
        <w:tab w:val="left" w:pos="6406"/>
      </w:tabs>
      <w:spacing w:before="220" w:after="320" w:line="278" w:lineRule="auto"/>
      <w:jc w:val="center"/>
      <w:outlineLvl w:val="0"/>
    </w:pPr>
    <w:rPr>
      <w:rFonts w:ascii="黑体" w:hAnsi="Times New Roman" w:eastAsia="黑体" w:cs="Times New Roman"/>
      <w:sz w:val="21"/>
      <w:lang w:val="en-US" w:eastAsia="zh-CN" w:bidi="ar-SA"/>
    </w:rPr>
  </w:style>
  <w:style w:type="character" w:customStyle="1" w:styleId="90">
    <w:name w:val="正文文本 字符"/>
    <w:link w:val="14"/>
    <w:qFormat/>
    <w:uiPriority w:val="0"/>
    <w:rPr>
      <w:kern w:val="2"/>
      <w:sz w:val="21"/>
      <w:szCs w:val="21"/>
    </w:rPr>
  </w:style>
  <w:style w:type="paragraph" w:customStyle="1" w:styleId="91">
    <w:name w:val="标准文件_附录章标题"/>
    <w:next w:val="60"/>
    <w:qFormat/>
    <w:uiPriority w:val="0"/>
    <w:pPr>
      <w:wordWrap w:val="0"/>
      <w:overflowPunct w:val="0"/>
      <w:autoSpaceDE w:val="0"/>
      <w:spacing w:beforeLines="50" w:after="160" w:afterLines="50" w:line="278" w:lineRule="auto"/>
      <w:jc w:val="both"/>
      <w:textAlignment w:val="baseline"/>
      <w:outlineLvl w:val="1"/>
    </w:pPr>
    <w:rPr>
      <w:rFonts w:ascii="黑体" w:hAnsi="Times New Roman" w:eastAsia="黑体" w:cs="Times New Roman"/>
      <w:kern w:val="21"/>
      <w:sz w:val="21"/>
      <w:lang w:val="en-US" w:eastAsia="zh-CN" w:bidi="ar-SA"/>
    </w:rPr>
  </w:style>
  <w:style w:type="paragraph" w:customStyle="1" w:styleId="92">
    <w:name w:val="标准文件_公式后的破折号"/>
    <w:basedOn w:val="60"/>
    <w:next w:val="60"/>
    <w:qFormat/>
    <w:uiPriority w:val="0"/>
    <w:pPr>
      <w:ind w:left="488" w:leftChars="200" w:hanging="289" w:hangingChars="290"/>
    </w:pPr>
  </w:style>
  <w:style w:type="paragraph" w:customStyle="1" w:styleId="93">
    <w:name w:val="标准文件_前言、引言标题"/>
    <w:next w:val="1"/>
    <w:qFormat/>
    <w:uiPriority w:val="0"/>
    <w:pPr>
      <w:numPr>
        <w:ilvl w:val="0"/>
        <w:numId w:val="8"/>
      </w:numPr>
      <w:shd w:val="clear" w:color="FFFFFF" w:fill="FFFFFF"/>
      <w:spacing w:before="480" w:after="150" w:afterLines="150" w:line="278" w:lineRule="auto"/>
      <w:jc w:val="center"/>
      <w:outlineLvl w:val="0"/>
    </w:pPr>
    <w:rPr>
      <w:rFonts w:ascii="黑体" w:hAnsi="Times New Roman" w:eastAsia="黑体" w:cs="Times New Roman"/>
      <w:sz w:val="32"/>
      <w:lang w:val="en-US" w:eastAsia="zh-CN" w:bidi="ar-SA"/>
    </w:rPr>
  </w:style>
  <w:style w:type="paragraph" w:customStyle="1" w:styleId="94">
    <w:name w:val="标准文件_目次、标准名称标题"/>
    <w:basedOn w:val="93"/>
    <w:next w:val="60"/>
    <w:qFormat/>
    <w:uiPriority w:val="0"/>
    <w:pPr>
      <w:spacing w:line="460" w:lineRule="exact"/>
      <w:ind w:left="0" w:firstLine="0"/>
    </w:pPr>
  </w:style>
  <w:style w:type="paragraph" w:customStyle="1" w:styleId="95">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6">
    <w:name w:val="标准文件_破折号列项"/>
    <w:qFormat/>
    <w:uiPriority w:val="0"/>
    <w:pPr>
      <w:numPr>
        <w:ilvl w:val="0"/>
        <w:numId w:val="9"/>
      </w:numPr>
      <w:adjustRightInd w:val="0"/>
      <w:snapToGrid w:val="0"/>
      <w:spacing w:after="160" w:line="278" w:lineRule="auto"/>
      <w:ind w:firstLine="200" w:firstLineChars="200"/>
    </w:pPr>
    <w:rPr>
      <w:rFonts w:ascii="Times New Roman" w:hAnsi="Times New Roman" w:eastAsia="宋体" w:cs="Times New Roman"/>
      <w:sz w:val="21"/>
      <w:lang w:val="en-US" w:eastAsia="zh-CN" w:bidi="ar-SA"/>
    </w:rPr>
  </w:style>
  <w:style w:type="paragraph" w:customStyle="1" w:styleId="97">
    <w:name w:val="标准文件_破折号列项（二级）"/>
    <w:basedOn w:val="96"/>
    <w:qFormat/>
    <w:uiPriority w:val="0"/>
    <w:pPr>
      <w:numPr>
        <w:numId w:val="10"/>
      </w:numPr>
    </w:pPr>
  </w:style>
  <w:style w:type="paragraph" w:customStyle="1" w:styleId="98">
    <w:name w:val="标准文件_三级条标题"/>
    <w:basedOn w:val="69"/>
    <w:next w:val="60"/>
    <w:qFormat/>
    <w:uiPriority w:val="0"/>
    <w:pPr>
      <w:widowControl/>
      <w:numPr>
        <w:ilvl w:val="4"/>
      </w:numPr>
      <w:outlineLvl w:val="3"/>
    </w:pPr>
  </w:style>
  <w:style w:type="character" w:customStyle="1" w:styleId="99">
    <w:name w:val="不明显参考1"/>
    <w:qFormat/>
    <w:uiPriority w:val="31"/>
    <w:rPr>
      <w:smallCaps/>
      <w:color w:val="C0504D"/>
      <w:u w:val="single"/>
    </w:rPr>
  </w:style>
  <w:style w:type="paragraph" w:customStyle="1" w:styleId="100">
    <w:name w:val="标准文件_示例后续"/>
    <w:basedOn w:val="1"/>
    <w:qFormat/>
    <w:uiPriority w:val="0"/>
    <w:pPr>
      <w:adjustRightInd/>
      <w:spacing w:line="240" w:lineRule="auto"/>
      <w:ind w:firstLine="200" w:firstLineChars="200"/>
    </w:pPr>
    <w:rPr>
      <w:sz w:val="18"/>
      <w:szCs w:val="24"/>
    </w:rPr>
  </w:style>
  <w:style w:type="paragraph" w:customStyle="1" w:styleId="101">
    <w:name w:val="标准文件_数字编号列项"/>
    <w:qFormat/>
    <w:uiPriority w:val="0"/>
    <w:pPr>
      <w:numPr>
        <w:ilvl w:val="0"/>
        <w:numId w:val="11"/>
      </w:numPr>
      <w:spacing w:after="160" w:line="278" w:lineRule="auto"/>
      <w:jc w:val="both"/>
    </w:pPr>
    <w:rPr>
      <w:rFonts w:ascii="宋体" w:hAnsi="宋体" w:eastAsia="宋体" w:cs="Times New Roman"/>
      <w:sz w:val="21"/>
      <w:lang w:val="en-US" w:eastAsia="zh-CN" w:bidi="ar-SA"/>
    </w:rPr>
  </w:style>
  <w:style w:type="paragraph" w:customStyle="1" w:styleId="102">
    <w:name w:val="标准文件_四级条标题"/>
    <w:next w:val="60"/>
    <w:qFormat/>
    <w:uiPriority w:val="0"/>
    <w:pPr>
      <w:widowControl w:val="0"/>
      <w:numPr>
        <w:ilvl w:val="5"/>
        <w:numId w:val="2"/>
      </w:numPr>
      <w:spacing w:before="50" w:beforeLines="50" w:after="50" w:afterLines="50" w:line="278" w:lineRule="auto"/>
      <w:jc w:val="both"/>
      <w:outlineLvl w:val="4"/>
    </w:pPr>
    <w:rPr>
      <w:rFonts w:ascii="黑体" w:hAnsi="Times New Roman" w:eastAsia="黑体" w:cs="Times New Roman"/>
      <w:sz w:val="21"/>
      <w:lang w:val="en-US" w:eastAsia="zh-CN" w:bidi="ar-SA"/>
    </w:rPr>
  </w:style>
  <w:style w:type="character" w:customStyle="1" w:styleId="103">
    <w:name w:val="脚注文本 字符"/>
    <w:link w:val="22"/>
    <w:semiHidden/>
    <w:qFormat/>
    <w:uiPriority w:val="0"/>
    <w:rPr>
      <w:rFonts w:ascii="宋体"/>
      <w:kern w:val="2"/>
      <w:sz w:val="18"/>
      <w:szCs w:val="18"/>
    </w:rPr>
  </w:style>
  <w:style w:type="paragraph" w:customStyle="1" w:styleId="104">
    <w:name w:val="标准文件_条文脚注"/>
    <w:basedOn w:val="22"/>
    <w:qFormat/>
    <w:uiPriority w:val="0"/>
    <w:pPr>
      <w:adjustRightInd w:val="0"/>
      <w:spacing w:line="240" w:lineRule="auto"/>
      <w:ind w:left="0" w:leftChars="0" w:firstLine="200" w:firstLineChars="200"/>
      <w:jc w:val="both"/>
    </w:pPr>
    <w:rPr>
      <w:rFonts w:hAnsi="宋体"/>
    </w:rPr>
  </w:style>
  <w:style w:type="paragraph" w:customStyle="1" w:styleId="105">
    <w:name w:val="标准文件_图表脚注"/>
    <w:basedOn w:val="1"/>
    <w:next w:val="60"/>
    <w:qFormat/>
    <w:uiPriority w:val="0"/>
    <w:pPr>
      <w:numPr>
        <w:ilvl w:val="0"/>
        <w:numId w:val="12"/>
      </w:numPr>
      <w:spacing w:line="240" w:lineRule="auto"/>
      <w:jc w:val="left"/>
    </w:pPr>
    <w:rPr>
      <w:rFonts w:ascii="宋体" w:hAnsi="宋体"/>
      <w:sz w:val="18"/>
    </w:rPr>
  </w:style>
  <w:style w:type="character" w:customStyle="1" w:styleId="106">
    <w:name w:val="标准文件_图表脚注内容"/>
    <w:qFormat/>
    <w:uiPriority w:val="0"/>
    <w:rPr>
      <w:rFonts w:ascii="宋体" w:hAnsi="宋体" w:eastAsia="宋体" w:cs="Times New Roman"/>
      <w:spacing w:val="0"/>
      <w:sz w:val="18"/>
      <w:vertAlign w:val="superscript"/>
    </w:rPr>
  </w:style>
  <w:style w:type="paragraph" w:customStyle="1" w:styleId="107">
    <w:name w:val="标准文件_五级条标题"/>
    <w:next w:val="60"/>
    <w:qFormat/>
    <w:uiPriority w:val="0"/>
    <w:pPr>
      <w:widowControl w:val="0"/>
      <w:numPr>
        <w:ilvl w:val="6"/>
        <w:numId w:val="2"/>
      </w:numPr>
      <w:spacing w:before="50" w:beforeLines="50" w:after="50" w:afterLines="50" w:line="278" w:lineRule="auto"/>
      <w:jc w:val="both"/>
      <w:outlineLvl w:val="5"/>
    </w:pPr>
    <w:rPr>
      <w:rFonts w:ascii="黑体" w:hAnsi="Times New Roman" w:eastAsia="黑体" w:cs="Times New Roman"/>
      <w:sz w:val="21"/>
      <w:lang w:val="en-US" w:eastAsia="zh-CN" w:bidi="ar-SA"/>
    </w:rPr>
  </w:style>
  <w:style w:type="paragraph" w:customStyle="1" w:styleId="108">
    <w:name w:val="标准文件_章标题"/>
    <w:next w:val="60"/>
    <w:qFormat/>
    <w:uiPriority w:val="0"/>
    <w:pPr>
      <w:numPr>
        <w:ilvl w:val="1"/>
        <w:numId w:val="2"/>
      </w:numPr>
      <w:spacing w:before="100" w:beforeLines="100" w:after="100" w:afterLines="100" w:line="278" w:lineRule="auto"/>
      <w:jc w:val="both"/>
      <w:outlineLvl w:val="0"/>
    </w:pPr>
    <w:rPr>
      <w:rFonts w:ascii="黑体" w:hAnsi="Times New Roman" w:eastAsia="黑体" w:cs="Times New Roman"/>
      <w:sz w:val="21"/>
      <w:lang w:val="en-US" w:eastAsia="zh-CN" w:bidi="ar-SA"/>
    </w:rPr>
  </w:style>
  <w:style w:type="paragraph" w:customStyle="1" w:styleId="109">
    <w:name w:val="标准文件_一级条标题"/>
    <w:basedOn w:val="108"/>
    <w:next w:val="60"/>
    <w:qFormat/>
    <w:uiPriority w:val="0"/>
    <w:pPr>
      <w:numPr>
        <w:ilvl w:val="2"/>
      </w:numPr>
      <w:spacing w:before="50" w:beforeLines="50" w:after="50" w:afterLines="50"/>
      <w:ind w:left="710"/>
      <w:outlineLvl w:val="1"/>
    </w:pPr>
  </w:style>
  <w:style w:type="paragraph" w:customStyle="1" w:styleId="110">
    <w:name w:val="标准文件_一致程度"/>
    <w:basedOn w:val="1"/>
    <w:qFormat/>
    <w:uiPriority w:val="0"/>
    <w:pPr>
      <w:spacing w:line="440" w:lineRule="exact"/>
      <w:jc w:val="center"/>
    </w:pPr>
    <w:rPr>
      <w:sz w:val="28"/>
    </w:rPr>
  </w:style>
  <w:style w:type="paragraph" w:customStyle="1" w:styleId="111">
    <w:name w:val="标准文件_引言标题"/>
    <w:next w:val="1"/>
    <w:qFormat/>
    <w:uiPriority w:val="0"/>
    <w:pPr>
      <w:shd w:val="clear" w:color="FFFFFF" w:fill="FFFFFF"/>
      <w:spacing w:before="540" w:after="600" w:line="278" w:lineRule="auto"/>
      <w:jc w:val="center"/>
      <w:outlineLvl w:val="0"/>
    </w:pPr>
    <w:rPr>
      <w:rFonts w:ascii="黑体" w:hAnsi="Times New Roman" w:eastAsia="黑体" w:cs="Times New Roman"/>
      <w:sz w:val="32"/>
      <w:lang w:val="en-US" w:eastAsia="zh-CN" w:bidi="ar-SA"/>
    </w:rPr>
  </w:style>
  <w:style w:type="paragraph" w:customStyle="1" w:styleId="112">
    <w:name w:val="标准文件_英文图表脚注"/>
    <w:basedOn w:val="59"/>
    <w:qFormat/>
    <w:uiPriority w:val="0"/>
    <w:pPr>
      <w:widowControl/>
      <w:adjustRightInd/>
      <w:snapToGrid/>
      <w:spacing w:line="240" w:lineRule="auto"/>
      <w:ind w:left="79" w:hanging="79" w:hangingChars="80"/>
    </w:pPr>
    <w:rPr>
      <w:rFonts w:ascii="宋体" w:hAnsi="宋体"/>
    </w:rPr>
  </w:style>
  <w:style w:type="paragraph" w:customStyle="1" w:styleId="113">
    <w:name w:val="标准文件_数字编号列项（二级）"/>
    <w:qFormat/>
    <w:uiPriority w:val="0"/>
    <w:pPr>
      <w:numPr>
        <w:ilvl w:val="1"/>
        <w:numId w:val="13"/>
      </w:numPr>
      <w:spacing w:after="160" w:line="278" w:lineRule="auto"/>
      <w:jc w:val="both"/>
    </w:pPr>
    <w:rPr>
      <w:rFonts w:ascii="宋体" w:hAnsi="Times New Roman" w:eastAsia="宋体" w:cs="Times New Roman"/>
      <w:sz w:val="21"/>
      <w:lang w:val="en-US" w:eastAsia="zh-CN" w:bidi="ar-SA"/>
    </w:rPr>
  </w:style>
  <w:style w:type="paragraph" w:customStyle="1" w:styleId="114">
    <w:name w:val="标准文件_英文注："/>
    <w:basedOn w:val="1"/>
    <w:next w:val="60"/>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5">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6">
    <w:name w:val="标准文件_正文表标题"/>
    <w:next w:val="60"/>
    <w:qFormat/>
    <w:uiPriority w:val="0"/>
    <w:pPr>
      <w:numPr>
        <w:ilvl w:val="0"/>
        <w:numId w:val="16"/>
      </w:numPr>
      <w:tabs>
        <w:tab w:val="left" w:pos="0"/>
      </w:tabs>
      <w:spacing w:before="50" w:beforeLines="50" w:after="50" w:afterLines="50" w:line="278" w:lineRule="auto"/>
      <w:jc w:val="center"/>
    </w:pPr>
    <w:rPr>
      <w:rFonts w:ascii="黑体" w:hAnsi="Times New Roman" w:eastAsia="黑体" w:cs="Times New Roman"/>
      <w:sz w:val="21"/>
      <w:lang w:val="en-US" w:eastAsia="zh-CN" w:bidi="ar-SA"/>
    </w:rPr>
  </w:style>
  <w:style w:type="paragraph" w:customStyle="1" w:styleId="117">
    <w:name w:val="标准文件_正文公式"/>
    <w:basedOn w:val="1"/>
    <w:next w:val="59"/>
    <w:qFormat/>
    <w:uiPriority w:val="0"/>
    <w:pPr>
      <w:tabs>
        <w:tab w:val="center" w:pos="4678"/>
        <w:tab w:val="right" w:leader="middleDot" w:pos="9356"/>
      </w:tabs>
      <w:spacing w:line="240" w:lineRule="auto"/>
    </w:pPr>
    <w:rPr>
      <w:rFonts w:ascii="宋体" w:hAnsi="宋体"/>
    </w:rPr>
  </w:style>
  <w:style w:type="paragraph" w:customStyle="1" w:styleId="118">
    <w:name w:val="标准文件_正文图标题"/>
    <w:next w:val="60"/>
    <w:qFormat/>
    <w:uiPriority w:val="0"/>
    <w:pPr>
      <w:numPr>
        <w:ilvl w:val="0"/>
        <w:numId w:val="17"/>
      </w:numPr>
      <w:spacing w:before="50" w:beforeLines="50" w:after="50" w:afterLines="50" w:line="278" w:lineRule="auto"/>
      <w:jc w:val="center"/>
    </w:pPr>
    <w:rPr>
      <w:rFonts w:ascii="黑体" w:hAnsi="Times New Roman" w:eastAsia="黑体" w:cs="Times New Roman"/>
      <w:sz w:val="21"/>
      <w:lang w:val="en-US" w:eastAsia="zh-CN" w:bidi="ar-SA"/>
    </w:rPr>
  </w:style>
  <w:style w:type="paragraph" w:customStyle="1" w:styleId="119">
    <w:name w:val="标准文件_正文英文表标题"/>
    <w:next w:val="60"/>
    <w:qFormat/>
    <w:uiPriority w:val="0"/>
    <w:pPr>
      <w:numPr>
        <w:ilvl w:val="0"/>
        <w:numId w:val="18"/>
      </w:numPr>
      <w:spacing w:after="160" w:line="278" w:lineRule="auto"/>
      <w:jc w:val="center"/>
    </w:pPr>
    <w:rPr>
      <w:rFonts w:ascii="黑体" w:hAnsi="Times New Roman" w:eastAsia="黑体" w:cs="Times New Roman"/>
      <w:sz w:val="21"/>
      <w:lang w:val="en-US" w:eastAsia="zh-CN" w:bidi="ar-SA"/>
    </w:rPr>
  </w:style>
  <w:style w:type="paragraph" w:customStyle="1" w:styleId="120">
    <w:name w:val="标准文件_正文英文图标题"/>
    <w:next w:val="60"/>
    <w:qFormat/>
    <w:uiPriority w:val="0"/>
    <w:pPr>
      <w:numPr>
        <w:ilvl w:val="0"/>
        <w:numId w:val="19"/>
      </w:numPr>
      <w:spacing w:after="160" w:line="278" w:lineRule="auto"/>
      <w:jc w:val="center"/>
    </w:pPr>
    <w:rPr>
      <w:rFonts w:ascii="黑体" w:hAnsi="Times New Roman" w:eastAsia="黑体" w:cs="Times New Roman"/>
      <w:sz w:val="21"/>
      <w:lang w:val="en-US" w:eastAsia="zh-CN" w:bidi="ar-SA"/>
    </w:rPr>
  </w:style>
  <w:style w:type="paragraph" w:customStyle="1" w:styleId="121">
    <w:name w:val="标准文件_编号列项（三级）"/>
    <w:qFormat/>
    <w:uiPriority w:val="0"/>
    <w:pPr>
      <w:numPr>
        <w:ilvl w:val="2"/>
        <w:numId w:val="13"/>
      </w:numPr>
      <w:spacing w:after="160" w:line="278" w:lineRule="auto"/>
    </w:pPr>
    <w:rPr>
      <w:rFonts w:ascii="宋体" w:hAnsi="Times New Roman" w:eastAsia="宋体" w:cs="Times New Roman"/>
      <w:sz w:val="21"/>
      <w:lang w:val="en-US" w:eastAsia="zh-CN" w:bidi="ar-SA"/>
    </w:rPr>
  </w:style>
  <w:style w:type="paragraph" w:customStyle="1" w:styleId="122">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3">
    <w:name w:val="发布部门"/>
    <w:next w:val="60"/>
    <w:qFormat/>
    <w:uiPriority w:val="0"/>
    <w:pPr>
      <w:framePr w:w="7433" w:h="585" w:hRule="exact" w:hSpace="180" w:vSpace="180" w:wrap="around" w:vAnchor="margin" w:hAnchor="margin" w:xAlign="center" w:y="14401" w:anchorLock="1"/>
      <w:spacing w:after="160" w:line="278" w:lineRule="auto"/>
      <w:jc w:val="center"/>
    </w:pPr>
    <w:rPr>
      <w:rFonts w:ascii="宋体" w:hAnsi="Times New Roman" w:eastAsia="宋体" w:cs="Times New Roman"/>
      <w:b/>
      <w:w w:val="135"/>
      <w:sz w:val="36"/>
      <w:lang w:val="en-US" w:eastAsia="zh-CN" w:bidi="ar-SA"/>
    </w:rPr>
  </w:style>
  <w:style w:type="paragraph" w:customStyle="1" w:styleId="124">
    <w:name w:val="发布日期"/>
    <w:qFormat/>
    <w:uiPriority w:val="0"/>
    <w:pPr>
      <w:framePr w:w="4000" w:h="473" w:hRule="exact" w:hSpace="180" w:vSpace="180" w:wrap="around" w:vAnchor="margin" w:hAnchor="margin" w:y="13511" w:anchorLock="1"/>
      <w:spacing w:after="160" w:line="278" w:lineRule="auto"/>
    </w:pPr>
    <w:rPr>
      <w:rFonts w:ascii="Times New Roman" w:hAnsi="Times New Roman" w:eastAsia="黑体" w:cs="Times New Roman"/>
      <w:sz w:val="28"/>
      <w:lang w:val="en-US" w:eastAsia="zh-CN" w:bidi="ar-SA"/>
    </w:rPr>
  </w:style>
  <w:style w:type="paragraph" w:customStyle="1" w:styleId="125">
    <w:name w:val="封面标准代替信息"/>
    <w:basedOn w:val="1"/>
    <w:qFormat/>
    <w:uiPriority w:val="0"/>
    <w:pPr>
      <w:framePr w:w="9138" w:h="1244" w:hRule="exact" w:wrap="around"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6">
    <w:name w:val="封面标准名称"/>
    <w:qFormat/>
    <w:uiPriority w:val="0"/>
    <w:pPr>
      <w:framePr w:w="9638" w:h="6917" w:hRule="exact" w:wrap="around" w:vAnchor="margin" w:hAnchor="margin" w:xAlign="center" w:y="5955" w:anchorLock="1"/>
      <w:widowControl w:val="0"/>
      <w:spacing w:after="160" w:line="680" w:lineRule="exact"/>
      <w:jc w:val="center"/>
      <w:textAlignment w:val="center"/>
    </w:pPr>
    <w:rPr>
      <w:rFonts w:ascii="黑体" w:hAnsi="Times New Roman" w:eastAsia="黑体" w:cs="Times New Roman"/>
      <w:sz w:val="52"/>
      <w:lang w:val="en-US" w:eastAsia="zh-CN" w:bidi="ar-SA"/>
    </w:rPr>
  </w:style>
  <w:style w:type="paragraph" w:customStyle="1" w:styleId="127">
    <w:name w:val="封面标准文稿编辑信息"/>
    <w:qFormat/>
    <w:uiPriority w:val="0"/>
    <w:pPr>
      <w:spacing w:before="180" w:after="160" w:line="180" w:lineRule="exact"/>
      <w:jc w:val="center"/>
    </w:pPr>
    <w:rPr>
      <w:rFonts w:ascii="宋体" w:hAnsi="Times New Roman" w:eastAsia="宋体" w:cs="Times New Roman"/>
      <w:sz w:val="21"/>
      <w:lang w:val="en-US" w:eastAsia="zh-CN" w:bidi="ar-SA"/>
    </w:rPr>
  </w:style>
  <w:style w:type="paragraph" w:customStyle="1" w:styleId="128">
    <w:name w:val="封面标准文稿类别"/>
    <w:qFormat/>
    <w:uiPriority w:val="0"/>
    <w:pPr>
      <w:spacing w:before="440" w:after="160" w:line="400" w:lineRule="exact"/>
      <w:jc w:val="center"/>
    </w:pPr>
    <w:rPr>
      <w:rFonts w:ascii="宋体" w:hAnsi="Times New Roman" w:eastAsia="宋体" w:cs="Times New Roman"/>
      <w:sz w:val="24"/>
      <w:lang w:val="en-US" w:eastAsia="zh-CN" w:bidi="ar-SA"/>
    </w:rPr>
  </w:style>
  <w:style w:type="paragraph" w:customStyle="1" w:styleId="129">
    <w:name w:val="封面标准英文名称"/>
    <w:qFormat/>
    <w:uiPriority w:val="0"/>
    <w:pPr>
      <w:widowControl w:val="0"/>
      <w:spacing w:after="160" w:line="360" w:lineRule="exact"/>
      <w:jc w:val="center"/>
    </w:pPr>
    <w:rPr>
      <w:rFonts w:ascii="Times New Roman" w:hAnsi="Times New Roman" w:eastAsia="宋体" w:cs="Times New Roman"/>
      <w:sz w:val="28"/>
      <w:lang w:val="en-US" w:eastAsia="zh-CN" w:bidi="ar-SA"/>
    </w:rPr>
  </w:style>
  <w:style w:type="paragraph" w:customStyle="1" w:styleId="130">
    <w:name w:val="封面一致性程度标识"/>
    <w:qFormat/>
    <w:uiPriority w:val="0"/>
    <w:pPr>
      <w:spacing w:before="440" w:after="160" w:line="440" w:lineRule="exact"/>
      <w:jc w:val="center"/>
    </w:pPr>
    <w:rPr>
      <w:rFonts w:ascii="Times New Roman" w:hAnsi="Times New Roman" w:eastAsia="宋体" w:cs="Times New Roman"/>
      <w:sz w:val="28"/>
      <w:lang w:val="en-US" w:eastAsia="zh-CN" w:bidi="ar-SA"/>
    </w:rPr>
  </w:style>
  <w:style w:type="paragraph" w:customStyle="1" w:styleId="131">
    <w:name w:val="封面正文"/>
    <w:qFormat/>
    <w:uiPriority w:val="0"/>
    <w:pPr>
      <w:spacing w:after="160" w:line="278" w:lineRule="auto"/>
      <w:jc w:val="both"/>
    </w:pPr>
    <w:rPr>
      <w:rFonts w:ascii="Times New Roman" w:hAnsi="Times New Roman" w:eastAsia="宋体" w:cs="Times New Roman"/>
      <w:lang w:val="en-US" w:eastAsia="zh-CN" w:bidi="ar-SA"/>
    </w:rPr>
  </w:style>
  <w:style w:type="paragraph" w:customStyle="1" w:styleId="132">
    <w:name w:val="附录二级无标题条"/>
    <w:basedOn w:val="1"/>
    <w:next w:val="60"/>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3">
    <w:name w:val="附录三级无标题条"/>
    <w:basedOn w:val="132"/>
    <w:next w:val="60"/>
    <w:qFormat/>
    <w:uiPriority w:val="0"/>
    <w:pPr>
      <w:outlineLvl w:val="4"/>
    </w:pPr>
  </w:style>
  <w:style w:type="paragraph" w:customStyle="1" w:styleId="134">
    <w:name w:val="附录四级无标题条"/>
    <w:basedOn w:val="133"/>
    <w:next w:val="60"/>
    <w:qFormat/>
    <w:uiPriority w:val="0"/>
    <w:pPr>
      <w:outlineLvl w:val="5"/>
    </w:pPr>
  </w:style>
  <w:style w:type="paragraph" w:customStyle="1" w:styleId="135">
    <w:name w:val="附录图"/>
    <w:next w:val="60"/>
    <w:qFormat/>
    <w:uiPriority w:val="0"/>
    <w:pPr>
      <w:wordWrap w:val="0"/>
      <w:overflowPunct w:val="0"/>
      <w:autoSpaceDE w:val="0"/>
      <w:spacing w:before="50" w:beforeLines="50" w:after="50" w:afterLines="50" w:line="278" w:lineRule="auto"/>
      <w:jc w:val="center"/>
      <w:textAlignment w:val="baseline"/>
      <w:outlineLvl w:val="1"/>
    </w:pPr>
    <w:rPr>
      <w:rFonts w:ascii="黑体" w:hAnsi="Times New Roman" w:eastAsia="黑体" w:cs="Times New Roman"/>
      <w:kern w:val="21"/>
      <w:sz w:val="21"/>
      <w:lang w:val="en-US" w:eastAsia="zh-CN" w:bidi="ar-SA"/>
    </w:rPr>
  </w:style>
  <w:style w:type="paragraph" w:customStyle="1" w:styleId="136">
    <w:name w:val="标准文件_一级项"/>
    <w:qFormat/>
    <w:uiPriority w:val="0"/>
    <w:pPr>
      <w:numPr>
        <w:ilvl w:val="0"/>
        <w:numId w:val="21"/>
      </w:numPr>
      <w:spacing w:after="160" w:line="278" w:lineRule="auto"/>
    </w:pPr>
    <w:rPr>
      <w:rFonts w:ascii="宋体" w:hAnsi="Times New Roman" w:eastAsia="宋体" w:cs="Times New Roman"/>
      <w:sz w:val="21"/>
      <w:lang w:val="en-US" w:eastAsia="zh-CN" w:bidi="ar-SA"/>
    </w:rPr>
  </w:style>
  <w:style w:type="paragraph" w:customStyle="1" w:styleId="137">
    <w:name w:val="附录五级无标题条"/>
    <w:basedOn w:val="134"/>
    <w:next w:val="60"/>
    <w:qFormat/>
    <w:uiPriority w:val="0"/>
    <w:pPr>
      <w:outlineLvl w:val="6"/>
    </w:pPr>
  </w:style>
  <w:style w:type="paragraph" w:customStyle="1" w:styleId="138">
    <w:name w:val="附录性质"/>
    <w:basedOn w:val="1"/>
    <w:qFormat/>
    <w:uiPriority w:val="0"/>
    <w:pPr>
      <w:widowControl/>
      <w:adjustRightInd/>
      <w:jc w:val="center"/>
    </w:pPr>
    <w:rPr>
      <w:rFonts w:ascii="黑体" w:eastAsia="黑体"/>
    </w:rPr>
  </w:style>
  <w:style w:type="paragraph" w:customStyle="1" w:styleId="139">
    <w:name w:val="附录一级无标题条"/>
    <w:basedOn w:val="91"/>
    <w:next w:val="60"/>
    <w:qFormat/>
    <w:uiPriority w:val="0"/>
    <w:pPr>
      <w:autoSpaceDN w:val="0"/>
      <w:outlineLvl w:val="2"/>
    </w:pPr>
    <w:rPr>
      <w:rFonts w:ascii="宋体" w:hAnsi="宋体" w:eastAsia="宋体"/>
    </w:rPr>
  </w:style>
  <w:style w:type="character" w:customStyle="1" w:styleId="140">
    <w:name w:val="个人答复风格"/>
    <w:qFormat/>
    <w:uiPriority w:val="0"/>
    <w:rPr>
      <w:rFonts w:ascii="Arial" w:hAnsi="Arial" w:eastAsia="宋体" w:cs="Arial"/>
      <w:color w:val="auto"/>
      <w:spacing w:val="0"/>
      <w:sz w:val="20"/>
    </w:rPr>
  </w:style>
  <w:style w:type="character" w:customStyle="1" w:styleId="141">
    <w:name w:val="个人撰写风格"/>
    <w:qFormat/>
    <w:uiPriority w:val="0"/>
    <w:rPr>
      <w:rFonts w:ascii="Arial" w:hAnsi="Arial" w:eastAsia="宋体" w:cs="Arial"/>
      <w:color w:val="auto"/>
      <w:spacing w:val="0"/>
      <w:sz w:val="20"/>
    </w:rPr>
  </w:style>
  <w:style w:type="paragraph" w:customStyle="1" w:styleId="142">
    <w:name w:val="脚注后续"/>
    <w:qFormat/>
    <w:uiPriority w:val="0"/>
    <w:pPr>
      <w:spacing w:after="160" w:line="278" w:lineRule="auto"/>
      <w:ind w:left="350" w:leftChars="350"/>
      <w:jc w:val="both"/>
    </w:pPr>
    <w:rPr>
      <w:rFonts w:ascii="宋体" w:hAnsi="Times New Roman" w:eastAsia="宋体" w:cs="Times New Roman"/>
      <w:sz w:val="18"/>
      <w:lang w:val="en-US" w:eastAsia="zh-CN" w:bidi="ar-SA"/>
    </w:rPr>
  </w:style>
  <w:style w:type="paragraph" w:customStyle="1" w:styleId="143">
    <w:name w:val="列项——"/>
    <w:qFormat/>
    <w:uiPriority w:val="0"/>
    <w:pPr>
      <w:widowControl w:val="0"/>
      <w:numPr>
        <w:ilvl w:val="0"/>
        <w:numId w:val="22"/>
      </w:numPr>
      <w:spacing w:after="160" w:line="278" w:lineRule="auto"/>
      <w:jc w:val="both"/>
    </w:pPr>
    <w:rPr>
      <w:rFonts w:ascii="宋体" w:hAnsi="宋体" w:eastAsia="宋体" w:cs="Times New Roman"/>
      <w:sz w:val="21"/>
      <w:lang w:val="en-US" w:eastAsia="zh-CN" w:bidi="ar-SA"/>
    </w:rPr>
  </w:style>
  <w:style w:type="paragraph" w:customStyle="1" w:styleId="144">
    <w:name w:val="列项·"/>
    <w:basedOn w:val="60"/>
    <w:qFormat/>
    <w:uiPriority w:val="0"/>
    <w:pPr>
      <w:tabs>
        <w:tab w:val="left" w:pos="840"/>
      </w:tabs>
    </w:pPr>
  </w:style>
  <w:style w:type="paragraph" w:customStyle="1" w:styleId="145">
    <w:name w:val="目次、索引正文"/>
    <w:qFormat/>
    <w:uiPriority w:val="0"/>
    <w:pPr>
      <w:spacing w:after="160" w:line="320" w:lineRule="exact"/>
      <w:jc w:val="both"/>
    </w:pPr>
    <w:rPr>
      <w:rFonts w:ascii="宋体" w:hAnsi="Times New Roman" w:eastAsia="宋体" w:cs="Times New Roman"/>
      <w:sz w:val="21"/>
      <w:lang w:val="en-US" w:eastAsia="zh-CN" w:bidi="ar-SA"/>
    </w:rPr>
  </w:style>
  <w:style w:type="paragraph" w:customStyle="1" w:styleId="146">
    <w:name w:val="目录 21"/>
    <w:basedOn w:val="1"/>
    <w:next w:val="1"/>
    <w:semiHidden/>
    <w:qFormat/>
    <w:uiPriority w:val="0"/>
    <w:pPr>
      <w:adjustRightInd/>
      <w:spacing w:line="240" w:lineRule="auto"/>
      <w:jc w:val="left"/>
    </w:pPr>
    <w:rPr>
      <w:bCs/>
      <w:iCs/>
    </w:rPr>
  </w:style>
  <w:style w:type="paragraph" w:customStyle="1" w:styleId="147">
    <w:name w:val="目录 31"/>
    <w:basedOn w:val="1"/>
    <w:next w:val="1"/>
    <w:semiHidden/>
    <w:qFormat/>
    <w:uiPriority w:val="0"/>
    <w:pPr>
      <w:spacing w:line="240" w:lineRule="auto"/>
    </w:pPr>
    <w:rPr>
      <w:rFonts w:ascii="宋体" w:hAnsi="宋体"/>
      <w:iCs/>
    </w:rPr>
  </w:style>
  <w:style w:type="paragraph" w:customStyle="1" w:styleId="148">
    <w:name w:val="目录 41"/>
    <w:basedOn w:val="1"/>
    <w:next w:val="1"/>
    <w:semiHidden/>
    <w:qFormat/>
    <w:uiPriority w:val="0"/>
    <w:pPr>
      <w:adjustRightInd/>
      <w:spacing w:line="240" w:lineRule="auto"/>
      <w:jc w:val="left"/>
    </w:pPr>
  </w:style>
  <w:style w:type="paragraph" w:customStyle="1" w:styleId="149">
    <w:name w:val="目录 51"/>
    <w:basedOn w:val="1"/>
    <w:next w:val="1"/>
    <w:semiHidden/>
    <w:qFormat/>
    <w:uiPriority w:val="0"/>
    <w:pPr>
      <w:spacing w:line="240" w:lineRule="auto"/>
    </w:pPr>
    <w:rPr>
      <w:rFonts w:ascii="宋体" w:hAnsi="宋体"/>
    </w:rPr>
  </w:style>
  <w:style w:type="paragraph" w:customStyle="1" w:styleId="150">
    <w:name w:val="目录 61"/>
    <w:basedOn w:val="1"/>
    <w:next w:val="1"/>
    <w:semiHidden/>
    <w:qFormat/>
    <w:uiPriority w:val="0"/>
    <w:pPr>
      <w:adjustRightInd/>
      <w:spacing w:line="240" w:lineRule="auto"/>
      <w:jc w:val="left"/>
    </w:pPr>
  </w:style>
  <w:style w:type="paragraph" w:customStyle="1" w:styleId="151">
    <w:name w:val="目录 71"/>
    <w:basedOn w:val="150"/>
    <w:semiHidden/>
    <w:qFormat/>
    <w:uiPriority w:val="0"/>
    <w:pPr>
      <w:ind w:left="1260"/>
    </w:pPr>
  </w:style>
  <w:style w:type="paragraph" w:customStyle="1" w:styleId="152">
    <w:name w:val="目录 81"/>
    <w:basedOn w:val="151"/>
    <w:semiHidden/>
    <w:qFormat/>
    <w:uiPriority w:val="0"/>
    <w:pPr>
      <w:ind w:left="1470"/>
    </w:pPr>
  </w:style>
  <w:style w:type="paragraph" w:customStyle="1" w:styleId="153">
    <w:name w:val="目录 91"/>
    <w:basedOn w:val="152"/>
    <w:semiHidden/>
    <w:qFormat/>
    <w:uiPriority w:val="0"/>
    <w:pPr>
      <w:ind w:left="1680"/>
    </w:pPr>
  </w:style>
  <w:style w:type="paragraph" w:customStyle="1" w:styleId="154">
    <w:name w:val="其他标准称谓"/>
    <w:qFormat/>
    <w:uiPriority w:val="0"/>
    <w:pPr>
      <w:spacing w:after="160" w:line="0" w:lineRule="atLeast"/>
      <w:jc w:val="distribute"/>
    </w:pPr>
    <w:rPr>
      <w:rFonts w:ascii="黑体" w:hAnsi="宋体" w:eastAsia="黑体" w:cs="Times New Roman"/>
      <w:sz w:val="52"/>
      <w:lang w:val="en-US" w:eastAsia="zh-CN" w:bidi="ar-SA"/>
    </w:rPr>
  </w:style>
  <w:style w:type="paragraph" w:customStyle="1" w:styleId="155">
    <w:name w:val="其他发布部门"/>
    <w:basedOn w:val="123"/>
    <w:qFormat/>
    <w:uiPriority w:val="0"/>
    <w:pPr>
      <w:framePr w:wrap="around"/>
      <w:spacing w:line="0" w:lineRule="atLeast"/>
    </w:pPr>
    <w:rPr>
      <w:rFonts w:ascii="黑体" w:eastAsia="黑体"/>
      <w:b w:val="0"/>
    </w:rPr>
  </w:style>
  <w:style w:type="paragraph" w:customStyle="1" w:styleId="156">
    <w:name w:val="前言标题"/>
    <w:next w:val="1"/>
    <w:qFormat/>
    <w:uiPriority w:val="0"/>
    <w:pPr>
      <w:numPr>
        <w:ilvl w:val="0"/>
        <w:numId w:val="2"/>
      </w:numPr>
      <w:shd w:val="clear" w:color="FFFFFF" w:fill="FFFFFF"/>
      <w:spacing w:before="540" w:after="600" w:line="278" w:lineRule="auto"/>
      <w:jc w:val="center"/>
      <w:outlineLvl w:val="0"/>
    </w:pPr>
    <w:rPr>
      <w:rFonts w:ascii="黑体" w:hAnsi="Times New Roman" w:eastAsia="黑体" w:cs="Times New Roman"/>
      <w:sz w:val="32"/>
      <w:lang w:val="en-US" w:eastAsia="zh-CN" w:bidi="ar-SA"/>
    </w:rPr>
  </w:style>
  <w:style w:type="paragraph" w:customStyle="1" w:styleId="157">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8">
    <w:name w:val="实施日期"/>
    <w:basedOn w:val="124"/>
    <w:qFormat/>
    <w:uiPriority w:val="0"/>
    <w:pPr>
      <w:framePr w:hSpace="0" w:wrap="around" w:xAlign="right"/>
      <w:jc w:val="right"/>
    </w:pPr>
  </w:style>
  <w:style w:type="paragraph" w:customStyle="1" w:styleId="159">
    <w:name w:val="四级无标题条"/>
    <w:basedOn w:val="1"/>
    <w:qFormat/>
    <w:uiPriority w:val="0"/>
    <w:pPr>
      <w:numPr>
        <w:ilvl w:val="5"/>
        <w:numId w:val="20"/>
      </w:numPr>
      <w:adjustRightInd/>
      <w:spacing w:line="240" w:lineRule="auto"/>
    </w:pPr>
    <w:rPr>
      <w:rFonts w:ascii="宋体" w:hAnsi="宋体"/>
      <w:szCs w:val="24"/>
    </w:rPr>
  </w:style>
  <w:style w:type="paragraph" w:customStyle="1" w:styleId="160">
    <w:name w:val="文献分类号"/>
    <w:qFormat/>
    <w:uiPriority w:val="0"/>
    <w:pPr>
      <w:framePr w:hSpace="180" w:vSpace="180" w:wrap="around" w:vAnchor="margin" w:hAnchor="margin" w:y="1" w:anchorLock="1"/>
      <w:widowControl w:val="0"/>
      <w:spacing w:after="160" w:line="278" w:lineRule="auto"/>
      <w:textAlignment w:val="center"/>
    </w:pPr>
    <w:rPr>
      <w:rFonts w:ascii="Times New Roman" w:hAnsi="Times New Roman" w:eastAsia="黑体" w:cs="Times New Roman"/>
      <w:sz w:val="21"/>
      <w:lang w:val="en-US" w:eastAsia="zh-CN" w:bidi="ar-SA"/>
    </w:rPr>
  </w:style>
  <w:style w:type="paragraph" w:customStyle="1" w:styleId="161">
    <w:name w:val="无标题条"/>
    <w:next w:val="60"/>
    <w:qFormat/>
    <w:uiPriority w:val="0"/>
    <w:pPr>
      <w:spacing w:after="160" w:line="278" w:lineRule="auto"/>
      <w:jc w:val="both"/>
    </w:pPr>
    <w:rPr>
      <w:rFonts w:ascii="宋体" w:hAnsi="宋体" w:eastAsia="宋体" w:cs="Times New Roman"/>
      <w:sz w:val="21"/>
      <w:lang w:val="en-US" w:eastAsia="zh-CN" w:bidi="ar-SA"/>
    </w:rPr>
  </w:style>
  <w:style w:type="paragraph" w:customStyle="1" w:styleId="162">
    <w:name w:val="五级无标题条"/>
    <w:basedOn w:val="1"/>
    <w:qFormat/>
    <w:uiPriority w:val="0"/>
    <w:pPr>
      <w:numPr>
        <w:ilvl w:val="6"/>
        <w:numId w:val="20"/>
      </w:numPr>
      <w:adjustRightInd/>
    </w:pPr>
    <w:rPr>
      <w:szCs w:val="24"/>
    </w:rPr>
  </w:style>
  <w:style w:type="paragraph" w:customStyle="1" w:styleId="163">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4">
    <w:name w:val="注:后续"/>
    <w:qFormat/>
    <w:uiPriority w:val="0"/>
    <w:pPr>
      <w:spacing w:after="160"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5">
    <w:name w:val="注×:后续"/>
    <w:basedOn w:val="164"/>
    <w:qFormat/>
    <w:uiPriority w:val="0"/>
    <w:pPr>
      <w:ind w:left="1406" w:leftChars="0" w:hanging="499" w:firstLineChars="0"/>
    </w:pPr>
  </w:style>
  <w:style w:type="paragraph" w:customStyle="1" w:styleId="166">
    <w:name w:val="标准文件_一级无标题"/>
    <w:basedOn w:val="109"/>
    <w:qFormat/>
    <w:uiPriority w:val="0"/>
    <w:pPr>
      <w:spacing w:before="0" w:beforeLines="0" w:after="0" w:afterLines="0"/>
      <w:ind w:left="426"/>
      <w:outlineLvl w:val="9"/>
    </w:pPr>
    <w:rPr>
      <w:rFonts w:ascii="宋体" w:eastAsia="宋体"/>
    </w:rPr>
  </w:style>
  <w:style w:type="paragraph" w:customStyle="1" w:styleId="167">
    <w:name w:val="标准文件_五级无标题"/>
    <w:basedOn w:val="107"/>
    <w:qFormat/>
    <w:uiPriority w:val="0"/>
    <w:pPr>
      <w:spacing w:before="0" w:beforeLines="0" w:after="0" w:afterLines="0"/>
      <w:outlineLvl w:val="9"/>
    </w:pPr>
    <w:rPr>
      <w:rFonts w:ascii="宋体" w:eastAsia="宋体"/>
    </w:rPr>
  </w:style>
  <w:style w:type="paragraph" w:customStyle="1" w:styleId="168">
    <w:name w:val="标准文件_三级无标题"/>
    <w:basedOn w:val="98"/>
    <w:qFormat/>
    <w:uiPriority w:val="0"/>
    <w:pPr>
      <w:spacing w:before="0" w:beforeLines="0" w:after="0" w:afterLines="0"/>
      <w:outlineLvl w:val="9"/>
    </w:pPr>
    <w:rPr>
      <w:rFonts w:ascii="宋体" w:eastAsia="宋体"/>
    </w:rPr>
  </w:style>
  <w:style w:type="paragraph" w:customStyle="1" w:styleId="169">
    <w:name w:val="标准文件_二级无标题"/>
    <w:basedOn w:val="69"/>
    <w:qFormat/>
    <w:uiPriority w:val="0"/>
    <w:pPr>
      <w:spacing w:before="0" w:beforeLines="0" w:after="0" w:afterLines="0"/>
      <w:outlineLvl w:val="9"/>
    </w:pPr>
    <w:rPr>
      <w:rFonts w:ascii="宋体" w:eastAsia="宋体"/>
    </w:rPr>
  </w:style>
  <w:style w:type="paragraph" w:customStyle="1" w:styleId="170">
    <w:name w:val="标准_四级无标题"/>
    <w:basedOn w:val="102"/>
    <w:next w:val="60"/>
    <w:qFormat/>
    <w:uiPriority w:val="0"/>
    <w:rPr>
      <w:rFonts w:eastAsia="宋体"/>
    </w:rPr>
  </w:style>
  <w:style w:type="paragraph" w:customStyle="1" w:styleId="171">
    <w:name w:val="标准文件_四级无标题"/>
    <w:basedOn w:val="102"/>
    <w:qFormat/>
    <w:uiPriority w:val="0"/>
    <w:pPr>
      <w:spacing w:before="0" w:beforeLines="0" w:after="0" w:afterLines="0"/>
      <w:outlineLvl w:val="9"/>
    </w:pPr>
    <w:rPr>
      <w:rFonts w:ascii="宋体" w:hAnsi="黑体" w:eastAsia="宋体"/>
      <w:szCs w:val="52"/>
    </w:rPr>
  </w:style>
  <w:style w:type="paragraph" w:customStyle="1" w:styleId="172">
    <w:name w:val="标准文件_大写罗马数字编号列项"/>
    <w:basedOn w:val="60"/>
    <w:qFormat/>
    <w:uiPriority w:val="0"/>
    <w:pPr>
      <w:numPr>
        <w:ilvl w:val="0"/>
        <w:numId w:val="23"/>
      </w:numPr>
      <w:ind w:firstLine="0" w:firstLineChars="0"/>
    </w:pPr>
    <w:rPr>
      <w:rFonts w:ascii="Times New Roman" w:cs="Arial"/>
      <w:szCs w:val="28"/>
    </w:rPr>
  </w:style>
  <w:style w:type="paragraph" w:customStyle="1" w:styleId="173">
    <w:name w:val="标准文件_小写罗马数字编号列项"/>
    <w:basedOn w:val="60"/>
    <w:qFormat/>
    <w:uiPriority w:val="0"/>
    <w:pPr>
      <w:numPr>
        <w:ilvl w:val="0"/>
        <w:numId w:val="24"/>
      </w:numPr>
      <w:ind w:firstLine="0" w:firstLineChars="0"/>
    </w:pPr>
    <w:rPr>
      <w:rFonts w:cs="Arial"/>
      <w:szCs w:val="28"/>
    </w:rPr>
  </w:style>
  <w:style w:type="paragraph" w:customStyle="1" w:styleId="174">
    <w:name w:val="标准文件_附录标题"/>
    <w:basedOn w:val="80"/>
    <w:qFormat/>
    <w:uiPriority w:val="0"/>
    <w:pPr>
      <w:numPr>
        <w:numId w:val="0"/>
      </w:numPr>
      <w:spacing w:after="280"/>
      <w:outlineLvl w:val="9"/>
    </w:pPr>
  </w:style>
  <w:style w:type="paragraph" w:customStyle="1" w:styleId="175">
    <w:name w:val="标准文件_二级项"/>
    <w:qFormat/>
    <w:uiPriority w:val="0"/>
    <w:pPr>
      <w:spacing w:after="160" w:line="278" w:lineRule="auto"/>
    </w:pPr>
    <w:rPr>
      <w:rFonts w:ascii="宋体" w:hAnsi="Times New Roman" w:eastAsia="宋体" w:cs="Times New Roman"/>
      <w:sz w:val="21"/>
      <w:lang w:val="en-US" w:eastAsia="zh-CN" w:bidi="ar-SA"/>
    </w:rPr>
  </w:style>
  <w:style w:type="paragraph" w:customStyle="1" w:styleId="176">
    <w:name w:val="标准文件_三级项"/>
    <w:basedOn w:val="1"/>
    <w:qFormat/>
    <w:uiPriority w:val="0"/>
    <w:pPr>
      <w:numPr>
        <w:ilvl w:val="2"/>
        <w:numId w:val="21"/>
      </w:numPr>
      <w:spacing w:line="536870612" w:lineRule="auto"/>
    </w:pPr>
    <w:rPr>
      <w:rFonts w:ascii="Times New Roman" w:hAnsi="Times New Roman"/>
    </w:rPr>
  </w:style>
  <w:style w:type="paragraph" w:customStyle="1" w:styleId="177">
    <w:name w:val="图表脚注说明"/>
    <w:basedOn w:val="1"/>
    <w:next w:val="60"/>
    <w:qFormat/>
    <w:uiPriority w:val="0"/>
    <w:pPr>
      <w:numPr>
        <w:ilvl w:val="0"/>
        <w:numId w:val="25"/>
      </w:numPr>
      <w:adjustRightInd/>
      <w:spacing w:line="240" w:lineRule="auto"/>
    </w:pPr>
    <w:rPr>
      <w:rFonts w:ascii="宋体" w:hAnsi="Times New Roman"/>
      <w:sz w:val="18"/>
      <w:szCs w:val="18"/>
    </w:rPr>
  </w:style>
  <w:style w:type="paragraph" w:customStyle="1" w:styleId="178">
    <w:name w:val="标准文件_字母编号列项（一级）"/>
    <w:qFormat/>
    <w:uiPriority w:val="0"/>
    <w:pPr>
      <w:numPr>
        <w:ilvl w:val="0"/>
        <w:numId w:val="13"/>
      </w:numPr>
      <w:spacing w:after="160" w:line="278" w:lineRule="auto"/>
      <w:jc w:val="both"/>
    </w:pPr>
    <w:rPr>
      <w:rFonts w:ascii="宋体" w:hAnsi="Times New Roman" w:eastAsia="宋体" w:cs="Times New Roman"/>
      <w:sz w:val="21"/>
      <w:lang w:val="en-US" w:eastAsia="zh-CN" w:bidi="ar-SA"/>
    </w:rPr>
  </w:style>
  <w:style w:type="paragraph" w:customStyle="1" w:styleId="179">
    <w:name w:val="标准文件_索引字母"/>
    <w:next w:val="60"/>
    <w:qFormat/>
    <w:uiPriority w:val="0"/>
    <w:pPr>
      <w:spacing w:after="160" w:line="278" w:lineRule="auto"/>
      <w:jc w:val="center"/>
    </w:pPr>
    <w:rPr>
      <w:rFonts w:ascii="宋体" w:hAnsi="宋体" w:eastAsia="Times New Roman" w:cs="Times New Roman"/>
      <w:b/>
      <w:kern w:val="2"/>
      <w:sz w:val="21"/>
      <w:lang w:val="en-US" w:eastAsia="zh-CN" w:bidi="ar-SA"/>
    </w:rPr>
  </w:style>
  <w:style w:type="paragraph" w:customStyle="1" w:styleId="180">
    <w:name w:val="标准文件_附录前"/>
    <w:next w:val="60"/>
    <w:qFormat/>
    <w:uiPriority w:val="0"/>
    <w:pPr>
      <w:spacing w:after="160" w:line="20" w:lineRule="atLeast"/>
      <w:ind w:firstLine="200"/>
    </w:pPr>
    <w:rPr>
      <w:rFonts w:ascii="宋体" w:hAnsi="宋体" w:eastAsia="宋体" w:cs="Times New Roman"/>
      <w:kern w:val="2"/>
      <w:sz w:val="10"/>
      <w:lang w:val="en-US" w:eastAsia="zh-CN" w:bidi="ar-SA"/>
    </w:rPr>
  </w:style>
  <w:style w:type="paragraph" w:customStyle="1" w:styleId="181">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82">
    <w:name w:val="标准文件_表格"/>
    <w:basedOn w:val="60"/>
    <w:qFormat/>
    <w:uiPriority w:val="0"/>
    <w:pPr>
      <w:ind w:firstLine="0" w:firstLineChars="0"/>
      <w:jc w:val="center"/>
    </w:pPr>
    <w:rPr>
      <w:sz w:val="18"/>
    </w:rPr>
  </w:style>
  <w:style w:type="paragraph" w:customStyle="1" w:styleId="183">
    <w:name w:val="标准文件_注："/>
    <w:next w:val="60"/>
    <w:qFormat/>
    <w:uiPriority w:val="0"/>
    <w:pPr>
      <w:widowControl w:val="0"/>
      <w:numPr>
        <w:ilvl w:val="0"/>
        <w:numId w:val="26"/>
      </w:numPr>
      <w:autoSpaceDE w:val="0"/>
      <w:autoSpaceDN w:val="0"/>
      <w:spacing w:after="160" w:line="278" w:lineRule="auto"/>
      <w:jc w:val="both"/>
    </w:pPr>
    <w:rPr>
      <w:rFonts w:ascii="宋体" w:hAnsi="Times New Roman" w:eastAsia="宋体" w:cs="Times New Roman"/>
      <w:sz w:val="18"/>
      <w:szCs w:val="18"/>
      <w:lang w:val="en-US" w:eastAsia="zh-CN" w:bidi="ar-SA"/>
    </w:rPr>
  </w:style>
  <w:style w:type="paragraph" w:customStyle="1" w:styleId="184">
    <w:name w:val="标准文件_注×："/>
    <w:qFormat/>
    <w:uiPriority w:val="0"/>
    <w:pPr>
      <w:widowControl w:val="0"/>
      <w:numPr>
        <w:ilvl w:val="0"/>
        <w:numId w:val="27"/>
      </w:numPr>
      <w:autoSpaceDE w:val="0"/>
      <w:autoSpaceDN w:val="0"/>
      <w:spacing w:after="160" w:line="278" w:lineRule="auto"/>
      <w:jc w:val="both"/>
    </w:pPr>
    <w:rPr>
      <w:rFonts w:ascii="宋体" w:hAnsi="Times New Roman" w:eastAsia="宋体" w:cs="Times New Roman"/>
      <w:sz w:val="18"/>
      <w:szCs w:val="18"/>
      <w:lang w:val="en-US" w:eastAsia="zh-CN" w:bidi="ar-SA"/>
    </w:rPr>
  </w:style>
  <w:style w:type="paragraph" w:customStyle="1" w:styleId="185">
    <w:name w:val="标准文件_示例："/>
    <w:next w:val="186"/>
    <w:qFormat/>
    <w:uiPriority w:val="0"/>
    <w:pPr>
      <w:widowControl w:val="0"/>
      <w:numPr>
        <w:ilvl w:val="0"/>
        <w:numId w:val="28"/>
      </w:numPr>
      <w:spacing w:after="160" w:line="278" w:lineRule="auto"/>
      <w:jc w:val="both"/>
    </w:pPr>
    <w:rPr>
      <w:rFonts w:ascii="宋体" w:hAnsi="Times New Roman" w:eastAsia="宋体" w:cs="Times New Roman"/>
      <w:sz w:val="18"/>
      <w:szCs w:val="18"/>
      <w:lang w:val="en-US" w:eastAsia="zh-CN" w:bidi="ar-SA"/>
    </w:rPr>
  </w:style>
  <w:style w:type="paragraph" w:customStyle="1" w:styleId="186">
    <w:name w:val="标准文件_示例内容"/>
    <w:basedOn w:val="60"/>
    <w:qFormat/>
    <w:uiPriority w:val="0"/>
    <w:pPr>
      <w:ind w:firstLine="420"/>
    </w:pPr>
    <w:rPr>
      <w:sz w:val="18"/>
    </w:rPr>
  </w:style>
  <w:style w:type="paragraph" w:customStyle="1" w:styleId="187">
    <w:name w:val="标准文件_示例×："/>
    <w:basedOn w:val="1"/>
    <w:next w:val="186"/>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8">
    <w:name w:val="标准文件_段 Char"/>
    <w:link w:val="60"/>
    <w:qFormat/>
    <w:uiPriority w:val="0"/>
    <w:rPr>
      <w:rFonts w:ascii="宋体" w:hAnsi="Times New Roman"/>
      <w:sz w:val="21"/>
    </w:rPr>
  </w:style>
  <w:style w:type="paragraph" w:customStyle="1" w:styleId="189">
    <w:name w:val="标准文件_表格续"/>
    <w:basedOn w:val="60"/>
    <w:next w:val="60"/>
    <w:qFormat/>
    <w:uiPriority w:val="0"/>
    <w:pPr>
      <w:jc w:val="center"/>
    </w:pPr>
    <w:rPr>
      <w:rFonts w:ascii="黑体" w:hAnsi="黑体" w:eastAsia="黑体"/>
    </w:rPr>
  </w:style>
  <w:style w:type="character" w:styleId="190">
    <w:name w:val="Placeholder Text"/>
    <w:basedOn w:val="31"/>
    <w:semiHidden/>
    <w:qFormat/>
    <w:uiPriority w:val="99"/>
    <w:rPr>
      <w:color w:val="808080"/>
    </w:rPr>
  </w:style>
  <w:style w:type="paragraph" w:customStyle="1" w:styleId="191">
    <w:name w:val="标准文件_二级项2"/>
    <w:basedOn w:val="60"/>
    <w:qFormat/>
    <w:uiPriority w:val="0"/>
    <w:pPr>
      <w:numPr>
        <w:ilvl w:val="1"/>
        <w:numId w:val="21"/>
      </w:numPr>
      <w:ind w:firstLine="0" w:firstLineChars="0"/>
    </w:pPr>
  </w:style>
  <w:style w:type="paragraph" w:customStyle="1" w:styleId="192">
    <w:name w:val="标准文件_三级项2"/>
    <w:basedOn w:val="60"/>
    <w:qFormat/>
    <w:uiPriority w:val="0"/>
    <w:pPr>
      <w:numPr>
        <w:ilvl w:val="0"/>
        <w:numId w:val="30"/>
      </w:numPr>
      <w:spacing w:line="300" w:lineRule="exact"/>
      <w:ind w:firstLineChars="0"/>
    </w:pPr>
    <w:rPr>
      <w:rFonts w:ascii="Times New Roman"/>
    </w:rPr>
  </w:style>
  <w:style w:type="paragraph" w:customStyle="1" w:styleId="193">
    <w:name w:val="标准文件_一级项2"/>
    <w:basedOn w:val="60"/>
    <w:qFormat/>
    <w:uiPriority w:val="0"/>
    <w:pPr>
      <w:numPr>
        <w:ilvl w:val="0"/>
        <w:numId w:val="31"/>
      </w:numPr>
      <w:spacing w:line="300" w:lineRule="exact"/>
      <w:ind w:firstLineChars="0"/>
    </w:pPr>
    <w:rPr>
      <w:rFonts w:ascii="Times New Roman"/>
    </w:rPr>
  </w:style>
  <w:style w:type="paragraph" w:customStyle="1" w:styleId="194">
    <w:name w:val="标准文件_提示"/>
    <w:basedOn w:val="60"/>
    <w:next w:val="60"/>
    <w:qFormat/>
    <w:uiPriority w:val="0"/>
    <w:pPr>
      <w:ind w:firstLine="420"/>
    </w:pPr>
    <w:rPr>
      <w:rFonts w:ascii="黑体" w:eastAsia="黑体"/>
    </w:rPr>
  </w:style>
  <w:style w:type="character" w:customStyle="1" w:styleId="195">
    <w:name w:val="标准文件_来源"/>
    <w:basedOn w:val="31"/>
    <w:qFormat/>
    <w:uiPriority w:val="1"/>
    <w:rPr>
      <w:rFonts w:eastAsia="宋体"/>
      <w:sz w:val="21"/>
    </w:rPr>
  </w:style>
  <w:style w:type="paragraph" w:customStyle="1" w:styleId="196">
    <w:name w:val="标准文件_图表说明"/>
    <w:qFormat/>
    <w:uiPriority w:val="0"/>
    <w:pPr>
      <w:spacing w:after="160" w:line="276" w:lineRule="auto"/>
      <w:ind w:firstLine="420"/>
    </w:pPr>
    <w:rPr>
      <w:rFonts w:ascii="宋体" w:hAnsi="宋体" w:eastAsia="宋体" w:cs="Times New Roman"/>
      <w:kern w:val="2"/>
      <w:sz w:val="18"/>
      <w:lang w:val="en-US" w:eastAsia="zh-CN" w:bidi="ar-SA"/>
    </w:rPr>
  </w:style>
  <w:style w:type="paragraph" w:customStyle="1" w:styleId="197">
    <w:name w:val="其他发布日期"/>
    <w:basedOn w:val="124"/>
    <w:qFormat/>
    <w:uiPriority w:val="0"/>
    <w:pPr>
      <w:framePr w:w="3997" w:h="471" w:hRule="exact" w:hSpace="0" w:vSpace="181" w:wrap="around" w:vAnchor="page" w:hAnchor="page" w:x="1419" w:y="14097"/>
    </w:pPr>
  </w:style>
  <w:style w:type="paragraph" w:customStyle="1" w:styleId="198">
    <w:name w:val="其他实施日期"/>
    <w:basedOn w:val="158"/>
    <w:qFormat/>
    <w:uiPriority w:val="0"/>
    <w:pPr>
      <w:framePr w:w="3997" w:h="471" w:hRule="exact" w:vSpace="181" w:wrap="around" w:vAnchor="page" w:hAnchor="page" w:x="7089" w:y="14097"/>
    </w:pPr>
  </w:style>
  <w:style w:type="paragraph" w:customStyle="1" w:styleId="199">
    <w:name w:val="标准文件_文件编号"/>
    <w:basedOn w:val="60"/>
    <w:qFormat/>
    <w:uiPriority w:val="0"/>
    <w:pPr>
      <w:framePr w:w="9356" w:h="624" w:hRule="exact" w:hSpace="181" w:vSpace="181" w:wrap="around" w:vAnchor="page" w:hAnchor="page" w:x="1419" w:y="3284"/>
      <w:wordWrap w:val="0"/>
      <w:spacing w:line="280" w:lineRule="exact"/>
      <w:ind w:firstLine="0" w:firstLineChars="0"/>
      <w:jc w:val="right"/>
    </w:pPr>
    <w:rPr>
      <w:rFonts w:ascii="黑体" w:eastAsia="黑体"/>
      <w:bCs/>
      <w:sz w:val="28"/>
      <w:szCs w:val="28"/>
    </w:rPr>
  </w:style>
  <w:style w:type="paragraph" w:customStyle="1" w:styleId="200">
    <w:name w:val="标准文件_替换文件编号"/>
    <w:basedOn w:val="199"/>
    <w:qFormat/>
    <w:uiPriority w:val="0"/>
    <w:pPr>
      <w:framePr w:wrap="around"/>
      <w:spacing w:before="57"/>
    </w:pPr>
    <w:rPr>
      <w:sz w:val="21"/>
    </w:rPr>
  </w:style>
  <w:style w:type="paragraph" w:customStyle="1" w:styleId="201">
    <w:name w:val="标准文件_文件名称"/>
    <w:basedOn w:val="60"/>
    <w:next w:val="60"/>
    <w:qFormat/>
    <w:uiPriority w:val="0"/>
    <w:pPr>
      <w:framePr w:w="9639" w:h="6976" w:hRule="exact" w:wrap="around" w:vAnchor="page" w:hAnchor="page" w:y="6408"/>
      <w:autoSpaceDE/>
      <w:autoSpaceDN/>
      <w:spacing w:line="700" w:lineRule="exact"/>
      <w:ind w:firstLine="0" w:firstLineChars="0"/>
      <w:jc w:val="center"/>
    </w:pPr>
    <w:rPr>
      <w:rFonts w:ascii="黑体" w:hAnsi="黑体" w:eastAsia="黑体"/>
      <w:bCs/>
      <w:sz w:val="52"/>
    </w:rPr>
  </w:style>
  <w:style w:type="paragraph" w:customStyle="1" w:styleId="202">
    <w:name w:val="标准文件_附录图标号"/>
    <w:basedOn w:val="60"/>
    <w:next w:val="60"/>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3">
    <w:name w:val="标准文件_附录表标号"/>
    <w:basedOn w:val="60"/>
    <w:next w:val="60"/>
    <w:qFormat/>
    <w:uiPriority w:val="0"/>
    <w:pPr>
      <w:numPr>
        <w:ilvl w:val="0"/>
        <w:numId w:val="5"/>
      </w:numPr>
      <w:spacing w:line="14" w:lineRule="exact"/>
      <w:ind w:firstLine="0" w:firstLineChars="0"/>
      <w:jc w:val="center"/>
    </w:pPr>
    <w:rPr>
      <w:rFonts w:eastAsia="黑体"/>
      <w:vanish/>
      <w:sz w:val="2"/>
    </w:rPr>
  </w:style>
  <w:style w:type="paragraph" w:customStyle="1" w:styleId="204">
    <w:name w:val="标准文件_引言一级条标题"/>
    <w:basedOn w:val="60"/>
    <w:next w:val="60"/>
    <w:qFormat/>
    <w:uiPriority w:val="0"/>
    <w:pPr>
      <w:numPr>
        <w:ilvl w:val="1"/>
        <w:numId w:val="8"/>
      </w:numPr>
      <w:spacing w:before="50" w:beforeLines="50" w:after="50" w:afterLines="50"/>
      <w:ind w:firstLineChars="0"/>
    </w:pPr>
    <w:rPr>
      <w:rFonts w:ascii="黑体" w:eastAsia="黑体"/>
    </w:rPr>
  </w:style>
  <w:style w:type="paragraph" w:customStyle="1" w:styleId="205">
    <w:name w:val="标准文件_引言二级条标题"/>
    <w:basedOn w:val="60"/>
    <w:next w:val="60"/>
    <w:qFormat/>
    <w:uiPriority w:val="0"/>
    <w:pPr>
      <w:numPr>
        <w:ilvl w:val="2"/>
        <w:numId w:val="8"/>
      </w:numPr>
      <w:spacing w:before="50" w:beforeLines="50" w:after="50" w:afterLines="50"/>
      <w:ind w:firstLineChars="0"/>
    </w:pPr>
    <w:rPr>
      <w:rFonts w:ascii="黑体" w:eastAsia="黑体"/>
    </w:rPr>
  </w:style>
  <w:style w:type="paragraph" w:customStyle="1" w:styleId="206">
    <w:name w:val="标准文件_引言三级条标题"/>
    <w:basedOn w:val="60"/>
    <w:next w:val="60"/>
    <w:qFormat/>
    <w:uiPriority w:val="0"/>
    <w:pPr>
      <w:numPr>
        <w:ilvl w:val="3"/>
        <w:numId w:val="8"/>
      </w:numPr>
      <w:spacing w:before="50" w:beforeLines="50" w:after="50" w:afterLines="50"/>
      <w:ind w:firstLineChars="0"/>
    </w:pPr>
    <w:rPr>
      <w:rFonts w:ascii="黑体" w:eastAsia="黑体"/>
    </w:rPr>
  </w:style>
  <w:style w:type="paragraph" w:customStyle="1" w:styleId="207">
    <w:name w:val="标准文件_引言四级条标题"/>
    <w:basedOn w:val="60"/>
    <w:next w:val="60"/>
    <w:qFormat/>
    <w:uiPriority w:val="0"/>
    <w:pPr>
      <w:numPr>
        <w:ilvl w:val="4"/>
        <w:numId w:val="8"/>
      </w:numPr>
      <w:spacing w:before="50" w:beforeLines="50" w:after="50" w:afterLines="50"/>
      <w:ind w:firstLineChars="0"/>
    </w:pPr>
    <w:rPr>
      <w:rFonts w:ascii="黑体" w:eastAsia="黑体"/>
    </w:rPr>
  </w:style>
  <w:style w:type="paragraph" w:customStyle="1" w:styleId="208">
    <w:name w:val="标准文件_引言五级条标题"/>
    <w:basedOn w:val="60"/>
    <w:next w:val="60"/>
    <w:qFormat/>
    <w:uiPriority w:val="0"/>
    <w:pPr>
      <w:numPr>
        <w:ilvl w:val="5"/>
        <w:numId w:val="8"/>
      </w:numPr>
      <w:spacing w:before="50" w:beforeLines="50" w:after="50" w:afterLines="50"/>
      <w:ind w:firstLineChars="0"/>
    </w:pPr>
    <w:rPr>
      <w:rFonts w:ascii="黑体" w:eastAsia="黑体"/>
    </w:rPr>
  </w:style>
  <w:style w:type="paragraph" w:customStyle="1" w:styleId="209">
    <w:name w:val="标准文件_注后"/>
    <w:basedOn w:val="60"/>
    <w:qFormat/>
    <w:uiPriority w:val="0"/>
    <w:pPr>
      <w:ind w:left="811" w:firstLine="0" w:firstLineChars="0"/>
    </w:pPr>
    <w:rPr>
      <w:sz w:val="18"/>
    </w:rPr>
  </w:style>
  <w:style w:type="paragraph" w:customStyle="1" w:styleId="210">
    <w:name w:val="标准文件_注X后"/>
    <w:basedOn w:val="60"/>
    <w:qFormat/>
    <w:uiPriority w:val="0"/>
    <w:pPr>
      <w:ind w:left="811" w:firstLine="0" w:firstLineChars="0"/>
    </w:pPr>
    <w:rPr>
      <w:sz w:val="18"/>
    </w:rPr>
  </w:style>
  <w:style w:type="paragraph" w:customStyle="1" w:styleId="211">
    <w:name w:val="标准文件_示例后"/>
    <w:basedOn w:val="60"/>
    <w:qFormat/>
    <w:uiPriority w:val="0"/>
    <w:pPr>
      <w:ind w:left="964" w:firstLine="0" w:firstLineChars="0"/>
    </w:pPr>
    <w:rPr>
      <w:sz w:val="18"/>
    </w:rPr>
  </w:style>
  <w:style w:type="paragraph" w:customStyle="1" w:styleId="212">
    <w:name w:val="标准文件_示例X后"/>
    <w:basedOn w:val="60"/>
    <w:link w:val="213"/>
    <w:qFormat/>
    <w:uiPriority w:val="0"/>
    <w:pPr>
      <w:ind w:left="1049" w:firstLine="0" w:firstLineChars="0"/>
    </w:pPr>
    <w:rPr>
      <w:sz w:val="18"/>
    </w:rPr>
  </w:style>
  <w:style w:type="character" w:customStyle="1" w:styleId="213">
    <w:name w:val="标准文件_示例X后 字符"/>
    <w:basedOn w:val="188"/>
    <w:link w:val="212"/>
    <w:qFormat/>
    <w:uiPriority w:val="0"/>
    <w:rPr>
      <w:rFonts w:ascii="宋体" w:hAnsi="Times New Roman"/>
      <w:sz w:val="18"/>
    </w:rPr>
  </w:style>
  <w:style w:type="paragraph" w:customStyle="1" w:styleId="214">
    <w:name w:val="标准文件_索引项"/>
    <w:basedOn w:val="60"/>
    <w:next w:val="60"/>
    <w:qFormat/>
    <w:uiPriority w:val="0"/>
    <w:pPr>
      <w:tabs>
        <w:tab w:val="right" w:leader="dot" w:pos="9356"/>
      </w:tabs>
      <w:ind w:left="210" w:hanging="210" w:firstLineChars="0"/>
      <w:jc w:val="left"/>
    </w:pPr>
  </w:style>
  <w:style w:type="paragraph" w:customStyle="1" w:styleId="215">
    <w:name w:val="标准文件_附录一级无标题"/>
    <w:basedOn w:val="82"/>
    <w:qFormat/>
    <w:uiPriority w:val="0"/>
    <w:pPr>
      <w:spacing w:before="0" w:beforeLines="0" w:after="0" w:afterLines="0" w:line="276" w:lineRule="auto"/>
      <w:outlineLvl w:val="9"/>
    </w:pPr>
    <w:rPr>
      <w:rFonts w:ascii="宋体" w:eastAsia="宋体"/>
    </w:rPr>
  </w:style>
  <w:style w:type="paragraph" w:customStyle="1" w:styleId="216">
    <w:name w:val="标准文件_附录二级无标题"/>
    <w:basedOn w:val="83"/>
    <w:qFormat/>
    <w:uiPriority w:val="0"/>
    <w:pPr>
      <w:spacing w:before="0" w:beforeLines="0" w:after="0" w:afterLines="0" w:line="276" w:lineRule="auto"/>
      <w:outlineLvl w:val="9"/>
    </w:pPr>
    <w:rPr>
      <w:rFonts w:ascii="宋体" w:eastAsia="宋体"/>
    </w:rPr>
  </w:style>
  <w:style w:type="paragraph" w:customStyle="1" w:styleId="217">
    <w:name w:val="标准文件_附录三级无标题"/>
    <w:basedOn w:val="85"/>
    <w:qFormat/>
    <w:uiPriority w:val="0"/>
    <w:pPr>
      <w:spacing w:before="0" w:beforeLines="0" w:after="0" w:afterLines="0" w:line="276" w:lineRule="auto"/>
      <w:outlineLvl w:val="9"/>
    </w:pPr>
    <w:rPr>
      <w:rFonts w:ascii="宋体" w:eastAsia="宋体"/>
    </w:rPr>
  </w:style>
  <w:style w:type="paragraph" w:customStyle="1" w:styleId="218">
    <w:name w:val="标准文件_附录四级无标题"/>
    <w:basedOn w:val="86"/>
    <w:qFormat/>
    <w:uiPriority w:val="0"/>
    <w:pPr>
      <w:spacing w:before="0" w:beforeLines="0" w:after="0" w:afterLines="0" w:line="276" w:lineRule="auto"/>
      <w:outlineLvl w:val="9"/>
    </w:pPr>
    <w:rPr>
      <w:rFonts w:ascii="宋体" w:eastAsia="宋体"/>
    </w:rPr>
  </w:style>
  <w:style w:type="paragraph" w:customStyle="1" w:styleId="219">
    <w:name w:val="标准文件_附录五级无标题"/>
    <w:basedOn w:val="88"/>
    <w:qFormat/>
    <w:uiPriority w:val="0"/>
    <w:pPr>
      <w:spacing w:before="0" w:beforeLines="0" w:after="0" w:afterLines="0" w:line="276" w:lineRule="auto"/>
      <w:outlineLvl w:val="9"/>
    </w:pPr>
    <w:rPr>
      <w:rFonts w:ascii="宋体" w:eastAsia="宋体"/>
    </w:rPr>
  </w:style>
  <w:style w:type="paragraph" w:customStyle="1" w:styleId="220">
    <w:name w:val="标准文件_引言一级无标题"/>
    <w:basedOn w:val="204"/>
    <w:next w:val="60"/>
    <w:qFormat/>
    <w:uiPriority w:val="0"/>
    <w:pPr>
      <w:spacing w:before="0" w:beforeLines="0" w:after="0" w:afterLines="0" w:line="276" w:lineRule="auto"/>
    </w:pPr>
    <w:rPr>
      <w:rFonts w:ascii="宋体" w:eastAsia="宋体"/>
    </w:rPr>
  </w:style>
  <w:style w:type="paragraph" w:customStyle="1" w:styleId="221">
    <w:name w:val="标准文件_引言二级无标题"/>
    <w:basedOn w:val="205"/>
    <w:next w:val="60"/>
    <w:qFormat/>
    <w:uiPriority w:val="0"/>
    <w:pPr>
      <w:spacing w:before="0" w:beforeLines="0" w:after="0" w:afterLines="0" w:line="276" w:lineRule="auto"/>
    </w:pPr>
    <w:rPr>
      <w:rFonts w:ascii="宋体" w:eastAsia="宋体"/>
    </w:rPr>
  </w:style>
  <w:style w:type="paragraph" w:customStyle="1" w:styleId="222">
    <w:name w:val="标准文件_引言三级无标题"/>
    <w:basedOn w:val="206"/>
    <w:qFormat/>
    <w:uiPriority w:val="0"/>
    <w:pPr>
      <w:spacing w:before="0" w:beforeLines="0" w:after="0" w:afterLines="0" w:line="276" w:lineRule="auto"/>
    </w:pPr>
    <w:rPr>
      <w:rFonts w:ascii="宋体" w:eastAsia="宋体"/>
    </w:rPr>
  </w:style>
  <w:style w:type="paragraph" w:customStyle="1" w:styleId="223">
    <w:name w:val="标准文件_引言四级无标题"/>
    <w:basedOn w:val="207"/>
    <w:next w:val="60"/>
    <w:qFormat/>
    <w:uiPriority w:val="0"/>
    <w:pPr>
      <w:spacing w:before="0" w:beforeLines="0" w:after="0" w:afterLines="0" w:line="276" w:lineRule="auto"/>
    </w:pPr>
    <w:rPr>
      <w:rFonts w:ascii="宋体" w:eastAsia="宋体"/>
    </w:rPr>
  </w:style>
  <w:style w:type="paragraph" w:customStyle="1" w:styleId="224">
    <w:name w:val="标准文件_引言五级无标题"/>
    <w:basedOn w:val="208"/>
    <w:next w:val="60"/>
    <w:qFormat/>
    <w:uiPriority w:val="0"/>
    <w:pPr>
      <w:spacing w:before="0" w:beforeLines="0" w:after="0" w:afterLines="0" w:line="276" w:lineRule="auto"/>
    </w:pPr>
    <w:rPr>
      <w:rFonts w:ascii="宋体" w:eastAsia="宋体"/>
    </w:rPr>
  </w:style>
  <w:style w:type="paragraph" w:customStyle="1" w:styleId="225">
    <w:name w:val="标准文件_索引标题"/>
    <w:basedOn w:val="67"/>
    <w:next w:val="60"/>
    <w:qFormat/>
    <w:uiPriority w:val="0"/>
    <w:rPr>
      <w:rFonts w:hAnsi="黑体"/>
    </w:rPr>
  </w:style>
  <w:style w:type="paragraph" w:customStyle="1" w:styleId="226">
    <w:name w:val="标准文件_脚注内容"/>
    <w:basedOn w:val="60"/>
    <w:qFormat/>
    <w:uiPriority w:val="0"/>
    <w:pPr>
      <w:ind w:left="400" w:leftChars="200" w:hanging="200" w:hangingChars="200"/>
    </w:pPr>
    <w:rPr>
      <w:sz w:val="15"/>
    </w:rPr>
  </w:style>
  <w:style w:type="paragraph" w:customStyle="1" w:styleId="227">
    <w:name w:val="标准文件_术语条一"/>
    <w:basedOn w:val="166"/>
    <w:next w:val="60"/>
    <w:qFormat/>
    <w:uiPriority w:val="0"/>
  </w:style>
  <w:style w:type="paragraph" w:customStyle="1" w:styleId="228">
    <w:name w:val="标准文件_术语条二"/>
    <w:basedOn w:val="169"/>
    <w:next w:val="60"/>
    <w:qFormat/>
    <w:uiPriority w:val="0"/>
  </w:style>
  <w:style w:type="paragraph" w:customStyle="1" w:styleId="229">
    <w:name w:val="标准文件_术语条三"/>
    <w:basedOn w:val="168"/>
    <w:next w:val="60"/>
    <w:qFormat/>
    <w:uiPriority w:val="0"/>
  </w:style>
  <w:style w:type="paragraph" w:customStyle="1" w:styleId="230">
    <w:name w:val="标准文件_术语条四"/>
    <w:basedOn w:val="171"/>
    <w:next w:val="60"/>
    <w:qFormat/>
    <w:uiPriority w:val="0"/>
  </w:style>
  <w:style w:type="paragraph" w:customStyle="1" w:styleId="231">
    <w:name w:val="标准文件_术语条五"/>
    <w:basedOn w:val="167"/>
    <w:next w:val="60"/>
    <w:qFormat/>
    <w:uiPriority w:val="0"/>
  </w:style>
  <w:style w:type="paragraph" w:customStyle="1" w:styleId="232">
    <w:name w:val="Default"/>
    <w:qFormat/>
    <w:uiPriority w:val="0"/>
    <w:pPr>
      <w:widowControl w:val="0"/>
      <w:autoSpaceDE w:val="0"/>
      <w:autoSpaceDN w:val="0"/>
      <w:adjustRightInd w:val="0"/>
      <w:spacing w:after="160" w:line="278" w:lineRule="auto"/>
    </w:pPr>
    <w:rPr>
      <w:rFonts w:ascii="宋体" w:hAnsi="Calibri" w:eastAsia="宋体" w:cs="宋体"/>
      <w:color w:val="000000"/>
      <w:sz w:val="24"/>
      <w:szCs w:val="24"/>
      <w:lang w:val="en-US" w:eastAsia="zh-CN" w:bidi="ar-SA"/>
    </w:rPr>
  </w:style>
  <w:style w:type="character" w:customStyle="1" w:styleId="233">
    <w:name w:val="发布"/>
    <w:basedOn w:val="31"/>
    <w:qFormat/>
    <w:uiPriority w:val="0"/>
    <w:rPr>
      <w:rFonts w:ascii="黑体" w:eastAsia="黑体"/>
      <w:spacing w:val="85"/>
      <w:w w:val="100"/>
      <w:position w:val="3"/>
      <w:sz w:val="28"/>
      <w:szCs w:val="28"/>
    </w:rPr>
  </w:style>
  <w:style w:type="paragraph" w:customStyle="1" w:styleId="234">
    <w:name w:val="段"/>
    <w:basedOn w:val="1"/>
    <w:link w:val="236"/>
    <w:qFormat/>
    <w:uiPriority w:val="0"/>
    <w:pPr>
      <w:widowControl/>
      <w:autoSpaceDE w:val="0"/>
      <w:autoSpaceDN w:val="0"/>
      <w:adjustRightInd/>
      <w:spacing w:after="200" w:line="240" w:lineRule="auto"/>
      <w:ind w:firstLine="420" w:firstLineChars="200"/>
    </w:pPr>
    <w:rPr>
      <w:rFonts w:ascii="宋体" w:hAnsi="Times New Roman"/>
    </w:rPr>
  </w:style>
  <w:style w:type="paragraph" w:customStyle="1" w:styleId="235">
    <w:name w:val="列出段落1"/>
    <w:basedOn w:val="1"/>
    <w:qFormat/>
    <w:uiPriority w:val="0"/>
    <w:pPr>
      <w:widowControl/>
      <w:adjustRightInd/>
      <w:spacing w:line="240" w:lineRule="auto"/>
      <w:ind w:firstLine="420" w:firstLineChars="200"/>
      <w:jc w:val="left"/>
    </w:pPr>
    <w:rPr>
      <w:kern w:val="0"/>
      <w:sz w:val="24"/>
      <w:szCs w:val="24"/>
      <w:lang w:eastAsia="en-US"/>
    </w:rPr>
  </w:style>
  <w:style w:type="character" w:customStyle="1" w:styleId="236">
    <w:name w:val="段 Char"/>
    <w:link w:val="234"/>
    <w:qFormat/>
    <w:uiPriority w:val="0"/>
    <w:rPr>
      <w:rFonts w:ascii="宋体" w:hAnsi="Times New Roman"/>
      <w:kern w:val="2"/>
      <w:sz w:val="21"/>
      <w:szCs w:val="21"/>
    </w:rPr>
  </w:style>
  <w:style w:type="paragraph" w:customStyle="1" w:styleId="237">
    <w:name w:val="正文公式编号制表符"/>
    <w:basedOn w:val="234"/>
    <w:next w:val="234"/>
    <w:qFormat/>
    <w:uiPriority w:val="0"/>
    <w:pPr>
      <w:tabs>
        <w:tab w:val="center" w:pos="4201"/>
        <w:tab w:val="right" w:leader="dot" w:pos="9298"/>
      </w:tabs>
      <w:spacing w:after="0"/>
      <w:ind w:firstLine="0" w:firstLineChars="0"/>
    </w:pPr>
    <w:rPr>
      <w:kern w:val="0"/>
      <w:szCs w:val="20"/>
    </w:rPr>
  </w:style>
  <w:style w:type="paragraph" w:customStyle="1" w:styleId="238">
    <w:name w:val="Revision"/>
    <w:hidden/>
    <w:unhideWhenUsed/>
    <w:uiPriority w:val="99"/>
    <w:pPr>
      <w:spacing w:after="0" w:line="240" w:lineRule="auto"/>
    </w:pPr>
    <w:rPr>
      <w:rFonts w:ascii="Calibri" w:hAnsi="Calibri" w:eastAsia="宋体" w:cs="Times New Roman"/>
      <w:kern w:val="2"/>
      <w:sz w:val="21"/>
      <w:szCs w:val="21"/>
      <w:lang w:val="en-US" w:eastAsia="zh-CN" w:bidi="ar-SA"/>
    </w:rPr>
  </w:style>
  <w:style w:type="character" w:customStyle="1" w:styleId="239">
    <w:name w:val="批注文字 字符"/>
    <w:basedOn w:val="31"/>
    <w:link w:val="13"/>
    <w:uiPriority w:val="99"/>
    <w:rPr>
      <w:rFonts w:ascii="Calibri" w:hAnsi="Calibri"/>
      <w:kern w:val="2"/>
      <w:sz w:val="21"/>
      <w:szCs w:val="21"/>
    </w:rPr>
  </w:style>
  <w:style w:type="character" w:customStyle="1" w:styleId="240">
    <w:name w:val="批注主题 字符"/>
    <w:basedOn w:val="239"/>
    <w:link w:val="28"/>
    <w:semiHidden/>
    <w:uiPriority w:val="99"/>
    <w:rPr>
      <w:rFonts w:ascii="Calibri" w:hAnsi="Calibri"/>
      <w:b/>
      <w:bCs/>
      <w:kern w:val="2"/>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glossaryDocument" Target="glossary/document.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tiff"/><Relationship Id="rId15" Type="http://schemas.openxmlformats.org/officeDocument/2006/relationships/theme" Target="theme/theme1.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086EBC1C8E7E435497651B7D3C5EE4AB"/>
        <w:style w:val=""/>
        <w:category>
          <w:name w:val="常规"/>
          <w:gallery w:val="placeholder"/>
        </w:category>
        <w:types>
          <w:type w:val="bbPlcHdr"/>
        </w:types>
        <w:behaviors>
          <w:behavior w:val="content"/>
        </w:behaviors>
        <w:description w:val=""/>
        <w:guid w:val="{17F20108-A04C-4D07-97C9-098ADD32902F}"/>
      </w:docPartPr>
      <w:docPartBody>
        <w:p w14:paraId="42E5D6DA">
          <w:pPr>
            <w:pStyle w:val="5"/>
            <w:rPr>
              <w:rFonts w:hint="eastAsia"/>
            </w:rPr>
          </w:pPr>
          <w:r>
            <w:rPr>
              <w:rStyle w:val="4"/>
              <w:rFonts w:hint="eastAsia"/>
            </w:rPr>
            <w:t>单击或点击此处输入文字。</w:t>
          </w:r>
        </w:p>
      </w:docPartBody>
    </w:docPart>
    <w:docPart>
      <w:docPartPr>
        <w:name w:val="96880BD152624050B5B36B184EA38AB7"/>
        <w:style w:val=""/>
        <w:category>
          <w:name w:val="常规"/>
          <w:gallery w:val="placeholder"/>
        </w:category>
        <w:types>
          <w:type w:val="bbPlcHdr"/>
        </w:types>
        <w:behaviors>
          <w:behavior w:val="content"/>
        </w:behaviors>
        <w:description w:val=""/>
        <w:guid w:val="{A124F1D0-AB77-4E84-806E-0CEE0EE6C976}"/>
      </w:docPartPr>
      <w:docPartBody>
        <w:p w14:paraId="60C3638E">
          <w:pPr>
            <w:pStyle w:val="6"/>
            <w:rPr>
              <w:rFonts w:hint="eastAsia"/>
            </w:rPr>
          </w:pPr>
          <w:r>
            <w:rPr>
              <w:rStyle w:val="4"/>
              <w:rFonts w:hint="eastAsia"/>
            </w:rPr>
            <w:t>选择一项。</w:t>
          </w:r>
        </w:p>
      </w:docPartBody>
    </w:docPart>
    <w:docPart>
      <w:docPartPr>
        <w:name w:val="4853198DA108483AA16B119431E9988D"/>
        <w:style w:val=""/>
        <w:category>
          <w:name w:val="常规"/>
          <w:gallery w:val="placeholder"/>
        </w:category>
        <w:types>
          <w:type w:val="bbPlcHdr"/>
        </w:types>
        <w:behaviors>
          <w:behavior w:val="content"/>
        </w:behaviors>
        <w:description w:val=""/>
        <w:guid w:val="{767159D3-0B12-4070-AB3A-93B54920C893}"/>
      </w:docPartPr>
      <w:docPartBody>
        <w:p w14:paraId="2315E9C3">
          <w:pPr>
            <w:pStyle w:val="7"/>
            <w:rPr>
              <w:rFonts w:hint="eastAsia"/>
            </w:rPr>
          </w:pPr>
          <w:r>
            <w:rPr>
              <w:rStyle w:val="4"/>
              <w:rFonts w:hint="eastAsia"/>
            </w:rPr>
            <w:t>选择一项。</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6E5"/>
    <w:rsid w:val="00004599"/>
    <w:rsid w:val="000065FD"/>
    <w:rsid w:val="00030FF0"/>
    <w:rsid w:val="00032C09"/>
    <w:rsid w:val="000348F1"/>
    <w:rsid w:val="00095F9D"/>
    <w:rsid w:val="000C1943"/>
    <w:rsid w:val="000C6414"/>
    <w:rsid w:val="000E3DFF"/>
    <w:rsid w:val="000F546A"/>
    <w:rsid w:val="00101137"/>
    <w:rsid w:val="00126A9B"/>
    <w:rsid w:val="0017368F"/>
    <w:rsid w:val="001939F5"/>
    <w:rsid w:val="00193F12"/>
    <w:rsid w:val="00194EA8"/>
    <w:rsid w:val="001B6633"/>
    <w:rsid w:val="001D3D82"/>
    <w:rsid w:val="001F46DB"/>
    <w:rsid w:val="001F74C7"/>
    <w:rsid w:val="002140A8"/>
    <w:rsid w:val="00220953"/>
    <w:rsid w:val="0023683D"/>
    <w:rsid w:val="00250520"/>
    <w:rsid w:val="002631A7"/>
    <w:rsid w:val="00293156"/>
    <w:rsid w:val="002966E5"/>
    <w:rsid w:val="002A352A"/>
    <w:rsid w:val="002A4402"/>
    <w:rsid w:val="002A7342"/>
    <w:rsid w:val="002D3C87"/>
    <w:rsid w:val="002D3D2B"/>
    <w:rsid w:val="002E1AC1"/>
    <w:rsid w:val="002F7B3D"/>
    <w:rsid w:val="00312EBE"/>
    <w:rsid w:val="00334BD7"/>
    <w:rsid w:val="00346642"/>
    <w:rsid w:val="003473C8"/>
    <w:rsid w:val="0035090E"/>
    <w:rsid w:val="0037740E"/>
    <w:rsid w:val="00397A22"/>
    <w:rsid w:val="003A25A1"/>
    <w:rsid w:val="003A46F1"/>
    <w:rsid w:val="003B2F9B"/>
    <w:rsid w:val="003B6C81"/>
    <w:rsid w:val="003E5D24"/>
    <w:rsid w:val="004406E6"/>
    <w:rsid w:val="00442873"/>
    <w:rsid w:val="0045248A"/>
    <w:rsid w:val="00474E35"/>
    <w:rsid w:val="004D150E"/>
    <w:rsid w:val="004D580B"/>
    <w:rsid w:val="004F4D55"/>
    <w:rsid w:val="005060B7"/>
    <w:rsid w:val="0052486F"/>
    <w:rsid w:val="005300D7"/>
    <w:rsid w:val="00532B7A"/>
    <w:rsid w:val="00537DD8"/>
    <w:rsid w:val="00542832"/>
    <w:rsid w:val="005479FE"/>
    <w:rsid w:val="0056736C"/>
    <w:rsid w:val="00571A0D"/>
    <w:rsid w:val="00572B26"/>
    <w:rsid w:val="005A3A9C"/>
    <w:rsid w:val="005A5FC8"/>
    <w:rsid w:val="005B3F2E"/>
    <w:rsid w:val="005C7E43"/>
    <w:rsid w:val="005D6240"/>
    <w:rsid w:val="005E246F"/>
    <w:rsid w:val="00600364"/>
    <w:rsid w:val="00611722"/>
    <w:rsid w:val="00612FC4"/>
    <w:rsid w:val="0061684E"/>
    <w:rsid w:val="006231FD"/>
    <w:rsid w:val="00627C4D"/>
    <w:rsid w:val="0064092B"/>
    <w:rsid w:val="00651275"/>
    <w:rsid w:val="00653FB3"/>
    <w:rsid w:val="006610AA"/>
    <w:rsid w:val="006966DE"/>
    <w:rsid w:val="006E0F73"/>
    <w:rsid w:val="006F7B4D"/>
    <w:rsid w:val="00703BCA"/>
    <w:rsid w:val="00705440"/>
    <w:rsid w:val="007250DC"/>
    <w:rsid w:val="00731E8E"/>
    <w:rsid w:val="007332A2"/>
    <w:rsid w:val="007435D8"/>
    <w:rsid w:val="00753238"/>
    <w:rsid w:val="00772B9B"/>
    <w:rsid w:val="00776941"/>
    <w:rsid w:val="007A715E"/>
    <w:rsid w:val="007A7608"/>
    <w:rsid w:val="007B572F"/>
    <w:rsid w:val="007D44AB"/>
    <w:rsid w:val="007D5532"/>
    <w:rsid w:val="007E2ADB"/>
    <w:rsid w:val="007F124B"/>
    <w:rsid w:val="007F4C79"/>
    <w:rsid w:val="00810788"/>
    <w:rsid w:val="0081562A"/>
    <w:rsid w:val="008265CE"/>
    <w:rsid w:val="008504E2"/>
    <w:rsid w:val="00854F67"/>
    <w:rsid w:val="0087293E"/>
    <w:rsid w:val="0088023C"/>
    <w:rsid w:val="00891705"/>
    <w:rsid w:val="00894D8E"/>
    <w:rsid w:val="008A3D6E"/>
    <w:rsid w:val="008B6EE2"/>
    <w:rsid w:val="008D0EB0"/>
    <w:rsid w:val="008E736E"/>
    <w:rsid w:val="008F2EBD"/>
    <w:rsid w:val="008F4455"/>
    <w:rsid w:val="008F761D"/>
    <w:rsid w:val="0091591C"/>
    <w:rsid w:val="0093636D"/>
    <w:rsid w:val="00967E54"/>
    <w:rsid w:val="00973DA9"/>
    <w:rsid w:val="00984C23"/>
    <w:rsid w:val="00986D74"/>
    <w:rsid w:val="00996B59"/>
    <w:rsid w:val="00996B63"/>
    <w:rsid w:val="009A00C4"/>
    <w:rsid w:val="009C0D6F"/>
    <w:rsid w:val="009C5046"/>
    <w:rsid w:val="009F5573"/>
    <w:rsid w:val="00A04B46"/>
    <w:rsid w:val="00A07DB8"/>
    <w:rsid w:val="00A22814"/>
    <w:rsid w:val="00A42461"/>
    <w:rsid w:val="00A57873"/>
    <w:rsid w:val="00A72CAC"/>
    <w:rsid w:val="00A90B5F"/>
    <w:rsid w:val="00AD1AB3"/>
    <w:rsid w:val="00AD2400"/>
    <w:rsid w:val="00AD5DEB"/>
    <w:rsid w:val="00B0168F"/>
    <w:rsid w:val="00B016AC"/>
    <w:rsid w:val="00B02528"/>
    <w:rsid w:val="00B11BEC"/>
    <w:rsid w:val="00B14F7E"/>
    <w:rsid w:val="00B23E02"/>
    <w:rsid w:val="00B26191"/>
    <w:rsid w:val="00B31484"/>
    <w:rsid w:val="00B3348C"/>
    <w:rsid w:val="00B369A8"/>
    <w:rsid w:val="00B36C4D"/>
    <w:rsid w:val="00B54A93"/>
    <w:rsid w:val="00B65160"/>
    <w:rsid w:val="00B65B92"/>
    <w:rsid w:val="00B77C27"/>
    <w:rsid w:val="00B91B08"/>
    <w:rsid w:val="00B97EC9"/>
    <w:rsid w:val="00BB13A2"/>
    <w:rsid w:val="00BD0A9B"/>
    <w:rsid w:val="00BD1E02"/>
    <w:rsid w:val="00BD6EB1"/>
    <w:rsid w:val="00BE5003"/>
    <w:rsid w:val="00C03ABD"/>
    <w:rsid w:val="00C04116"/>
    <w:rsid w:val="00C15DB8"/>
    <w:rsid w:val="00C20DB4"/>
    <w:rsid w:val="00C4269D"/>
    <w:rsid w:val="00C4320D"/>
    <w:rsid w:val="00C44151"/>
    <w:rsid w:val="00C46CB9"/>
    <w:rsid w:val="00C97327"/>
    <w:rsid w:val="00CE70F1"/>
    <w:rsid w:val="00D078E3"/>
    <w:rsid w:val="00D15B79"/>
    <w:rsid w:val="00D24C88"/>
    <w:rsid w:val="00D31BFB"/>
    <w:rsid w:val="00D478EC"/>
    <w:rsid w:val="00D61B94"/>
    <w:rsid w:val="00D64D6F"/>
    <w:rsid w:val="00D701CF"/>
    <w:rsid w:val="00D840EB"/>
    <w:rsid w:val="00DB3481"/>
    <w:rsid w:val="00DD071B"/>
    <w:rsid w:val="00DD2446"/>
    <w:rsid w:val="00DE0D6C"/>
    <w:rsid w:val="00DE598E"/>
    <w:rsid w:val="00E32B74"/>
    <w:rsid w:val="00E50716"/>
    <w:rsid w:val="00E762D0"/>
    <w:rsid w:val="00E96577"/>
    <w:rsid w:val="00E96CE9"/>
    <w:rsid w:val="00ED3353"/>
    <w:rsid w:val="00ED45D8"/>
    <w:rsid w:val="00ED6C5F"/>
    <w:rsid w:val="00F000C2"/>
    <w:rsid w:val="00F2477E"/>
    <w:rsid w:val="00F76016"/>
    <w:rsid w:val="00F80D49"/>
    <w:rsid w:val="00FC6C00"/>
    <w:rsid w:val="00FD2794"/>
    <w:rsid w:val="00FD7D73"/>
    <w:rsid w:val="00FF01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spacing w:after="160" w:line="278" w:lineRule="auto"/>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086EBC1C8E7E435497651B7D3C5EE4AB"/>
    <w:qFormat/>
    <w:uiPriority w:val="0"/>
    <w:pPr>
      <w:widowControl w:val="0"/>
      <w:spacing w:after="160" w:line="278" w:lineRule="auto"/>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6">
    <w:name w:val="96880BD152624050B5B36B184EA38AB7"/>
    <w:qFormat/>
    <w:uiPriority w:val="0"/>
    <w:pPr>
      <w:widowControl w:val="0"/>
      <w:spacing w:after="160" w:line="278" w:lineRule="auto"/>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7">
    <w:name w:val="4853198DA108483AA16B119431E9988D"/>
    <w:qFormat/>
    <w:uiPriority w:val="0"/>
    <w:pPr>
      <w:widowControl w:val="0"/>
      <w:spacing w:after="160" w:line="278" w:lineRule="auto"/>
      <w:jc w:val="both"/>
    </w:pPr>
    <w:rPr>
      <w:rFonts w:asciiTheme="minorHAnsi" w:hAnsiTheme="minorHAnsi" w:eastAsiaTheme="minorEastAsia" w:cstheme="minorBidi"/>
      <w:kern w:val="2"/>
      <w:sz w:val="21"/>
      <w:szCs w:val="22"/>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D477AEE-436C-4AC9-80FE-A74E49B6DA90}">
  <ds:schemaRefs/>
</ds:datastoreItem>
</file>

<file path=docProps/app.xml><?xml version="1.0" encoding="utf-8"?>
<Properties xmlns="http://schemas.openxmlformats.org/officeDocument/2006/extended-properties" xmlns:vt="http://schemas.openxmlformats.org/officeDocument/2006/docPropsVTypes">
  <Template>Normal</Template>
  <Company>PCMI</Company>
  <Pages>16</Pages>
  <Words>6809</Words>
  <Characters>7022</Characters>
  <Lines>384</Lines>
  <Paragraphs>462</Paragraphs>
  <TotalTime>382</TotalTime>
  <ScaleCrop>false</ScaleCrop>
  <LinksUpToDate>false</LinksUpToDate>
  <CharactersWithSpaces>7860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2026-09-16T06:18:00Z</dcterms:created>
  <dc:creator>admin</dc:creator>
  <dc:description>&lt;config cover="true" show_menu="true" version="1.0.0" doctype="SDKXY"&gt;_x000d_
&lt;/config&gt;</dc:description>
  <cp:lastModifiedBy>金声</cp:lastModifiedBy>
  <cp:lastPrinted>2026-07-09T04:04:00Z</cp:lastPrinted>
  <dcterms:modified xsi:type="dcterms:W3CDTF">2026-09-23T03:41:50Z</dcterms:modified>
  <dc:title>地方标准</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True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2052-12.1.0.24034</vt:lpwstr>
  </property>
  <property fmtid="{D5CDD505-2E9C-101B-9397-08002B2CF9AE}" pid="15" name="KSOTemplateDocerSaveRecord">
    <vt:lpwstr>eyJoZGlkIjoiYzUxNmUyN2M1NDExYWQ2NTIwYWUyZTMzYWRkNjUxZDMiLCJ1c2VySWQiOiIxMjAwOTQ3MDI4In0=</vt:lpwstr>
  </property>
  <property fmtid="{D5CDD505-2E9C-101B-9397-08002B2CF9AE}" pid="16" name="ICV">
    <vt:lpwstr>933122452A50440886C695CC9363BC6D_13</vt:lpwstr>
  </property>
</Properties>
</file>