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after="0" w:line="600" w:lineRule="exact"/>
        <w:jc w:val="both"/>
        <w:rPr>
          <w:rFonts w:hint="eastAsia" w:ascii="黑体" w:hAnsi="黑体" w:eastAsia="黑体" w:cs="黑体"/>
          <w:kern w:val="2"/>
          <w:sz w:val="32"/>
          <w:szCs w:val="32"/>
          <w:lang w:val="en-US" w:eastAsia="zh-CN"/>
        </w:rPr>
      </w:pPr>
      <w:bookmarkStart w:id="0" w:name="_GoBack"/>
      <w:bookmarkEnd w:id="0"/>
      <w:r>
        <w:rPr>
          <w:rFonts w:hint="eastAsia" w:ascii="黑体" w:hAnsi="黑体" w:eastAsia="黑体" w:cs="黑体"/>
          <w:kern w:val="2"/>
          <w:sz w:val="32"/>
          <w:szCs w:val="32"/>
          <w:lang w:eastAsia="zh-CN"/>
        </w:rPr>
        <w:t>附件</w:t>
      </w:r>
      <w:r>
        <w:rPr>
          <w:rFonts w:hint="eastAsia" w:ascii="黑体" w:hAnsi="黑体" w:eastAsia="黑体" w:cs="黑体"/>
          <w:kern w:val="2"/>
          <w:sz w:val="32"/>
          <w:szCs w:val="32"/>
          <w:lang w:val="en-US" w:eastAsia="zh-CN"/>
        </w:rPr>
        <w:t>1</w:t>
      </w:r>
    </w:p>
    <w:p>
      <w:pPr>
        <w:widowControl w:val="0"/>
        <w:spacing w:after="0" w:line="600" w:lineRule="exact"/>
        <w:jc w:val="both"/>
        <w:rPr>
          <w:rFonts w:ascii="仿宋_GB2312" w:hAnsi="仿宋_GB2312" w:eastAsia="仿宋_GB2312" w:cs="仿宋_GB2312"/>
          <w:kern w:val="2"/>
          <w:sz w:val="32"/>
          <w:szCs w:val="32"/>
          <w:lang w:eastAsia="zh-CN"/>
        </w:rPr>
      </w:pPr>
    </w:p>
    <w:p>
      <w:pPr>
        <w:widowControl w:val="0"/>
        <w:spacing w:after="0" w:line="600" w:lineRule="exact"/>
        <w:jc w:val="center"/>
        <w:rPr>
          <w:rFonts w:hint="eastAsia" w:ascii="方正小标宋简体" w:hAnsi="方正小标宋简体" w:eastAsia="方正小标宋简体" w:cs="方正小标宋简体"/>
          <w:b w:val="0"/>
          <w:bCs w:val="0"/>
          <w:kern w:val="2"/>
          <w:sz w:val="36"/>
          <w:szCs w:val="36"/>
          <w:lang w:eastAsia="zh-CN"/>
        </w:rPr>
      </w:pPr>
      <w:r>
        <w:rPr>
          <w:rFonts w:hint="eastAsia" w:ascii="方正小标宋简体" w:hAnsi="方正小标宋简体" w:eastAsia="方正小标宋简体" w:cs="方正小标宋简体"/>
          <w:b w:val="0"/>
          <w:bCs w:val="0"/>
          <w:kern w:val="2"/>
          <w:sz w:val="36"/>
          <w:szCs w:val="36"/>
          <w:lang w:eastAsia="zh-CN"/>
        </w:rPr>
        <w:t>供排水工程生产安全重大事故隐患</w:t>
      </w:r>
    </w:p>
    <w:p>
      <w:pPr>
        <w:widowControl w:val="0"/>
        <w:spacing w:after="0" w:line="600" w:lineRule="exact"/>
        <w:jc w:val="center"/>
        <w:rPr>
          <w:rFonts w:hint="eastAsia" w:ascii="方正小标宋简体" w:hAnsi="方正小标宋简体" w:eastAsia="方正小标宋简体" w:cs="方正小标宋简体"/>
          <w:b w:val="0"/>
          <w:bCs w:val="0"/>
          <w:kern w:val="2"/>
          <w:sz w:val="36"/>
          <w:szCs w:val="36"/>
          <w:lang w:eastAsia="zh-CN"/>
        </w:rPr>
      </w:pPr>
      <w:r>
        <w:rPr>
          <w:rFonts w:hint="eastAsia" w:ascii="方正小标宋简体" w:hAnsi="方正小标宋简体" w:eastAsia="方正小标宋简体" w:cs="方正小标宋简体"/>
          <w:b w:val="0"/>
          <w:bCs w:val="0"/>
          <w:kern w:val="2"/>
          <w:sz w:val="36"/>
          <w:szCs w:val="36"/>
          <w:lang w:eastAsia="zh-CN"/>
        </w:rPr>
        <w:t>易发问题清单</w:t>
      </w:r>
    </w:p>
    <w:p>
      <w:pPr>
        <w:widowControl w:val="0"/>
        <w:spacing w:after="0" w:line="600" w:lineRule="exact"/>
        <w:ind w:firstLine="642" w:firstLineChars="200"/>
        <w:jc w:val="both"/>
        <w:rPr>
          <w:rFonts w:hint="eastAsia" w:ascii="黑体" w:hAnsi="黑体" w:eastAsia="黑体" w:cs="黑体"/>
          <w:b/>
          <w:bCs/>
          <w:sz w:val="32"/>
          <w:lang w:eastAsia="zh-CN"/>
        </w:rPr>
      </w:pPr>
    </w:p>
    <w:p>
      <w:pPr>
        <w:widowControl w:val="0"/>
        <w:spacing w:after="0" w:line="600" w:lineRule="exact"/>
        <w:ind w:firstLine="640" w:firstLineChars="200"/>
        <w:jc w:val="both"/>
        <w:rPr>
          <w:rFonts w:ascii="黑体" w:hAnsi="黑体" w:eastAsia="黑体" w:cs="黑体"/>
          <w:b w:val="0"/>
          <w:bCs w:val="0"/>
          <w:sz w:val="32"/>
          <w:lang w:eastAsia="zh-CN"/>
        </w:rPr>
      </w:pPr>
      <w:r>
        <w:rPr>
          <w:rFonts w:hint="eastAsia" w:ascii="黑体" w:hAnsi="黑体" w:eastAsia="黑体" w:cs="黑体"/>
          <w:b w:val="0"/>
          <w:bCs w:val="0"/>
          <w:sz w:val="32"/>
          <w:lang w:eastAsia="zh-CN"/>
        </w:rPr>
        <w:t>一、基础管理</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1.建筑施工企业未按照规定要求足额配备安全生产管理人员，或其主要负责人、项目负责人、专职安全生产管理人员未取得有效安全生产考核合格证书从事相关工作</w:t>
      </w:r>
      <w:r>
        <w:rPr>
          <w:rFonts w:hint="eastAsia" w:ascii="仿宋_GB2312" w:hAnsi="仿宋_GB2312" w:eastAsia="仿宋_GB2312" w:cs="仿宋_GB2312"/>
          <w:sz w:val="32"/>
          <w:lang w:eastAsia="zh"/>
        </w:rPr>
        <w:t>。</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2.建筑施工特种作业人员未取得有效特种作业人员操作资格证书上岗作业</w:t>
      </w:r>
      <w:r>
        <w:rPr>
          <w:rFonts w:hint="eastAsia" w:ascii="仿宋_GB2312" w:hAnsi="仿宋_GB2312" w:eastAsia="仿宋_GB2312" w:cs="仿宋_GB2312"/>
          <w:sz w:val="32"/>
          <w:lang w:eastAsia="zh"/>
        </w:rPr>
        <w:t>。</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3.危险性较大的分部分项工程未编制、未审核专项施工方案，或专项施工方案存在严重缺陷的，或未按规定组织专家对“超过一定规模的危险性较大的分部分项工程范围”的专项施工方案进行论证。</w:t>
      </w:r>
    </w:p>
    <w:p>
      <w:pPr>
        <w:widowControl w:val="0"/>
        <w:spacing w:after="0" w:line="600" w:lineRule="exact"/>
        <w:ind w:firstLine="640" w:firstLineChars="200"/>
        <w:jc w:val="both"/>
        <w:rPr>
          <w:rFonts w:ascii="黑体" w:hAnsi="黑体" w:eastAsia="黑体" w:cs="黑体"/>
          <w:sz w:val="32"/>
          <w:lang w:eastAsia="zh-CN"/>
        </w:rPr>
      </w:pPr>
      <w:r>
        <w:rPr>
          <w:rFonts w:hint="eastAsia" w:ascii="黑体" w:hAnsi="黑体" w:eastAsia="黑体" w:cs="黑体"/>
          <w:sz w:val="32"/>
          <w:lang w:eastAsia="zh-CN"/>
        </w:rPr>
        <w:t>二、专项工程</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1.基坑、边坡土方超挖且未采取有效措施</w:t>
      </w:r>
      <w:r>
        <w:rPr>
          <w:rFonts w:hint="eastAsia" w:ascii="仿宋_GB2312" w:hAnsi="仿宋_GB2312" w:eastAsia="仿宋_GB2312" w:cs="仿宋_GB2312"/>
          <w:sz w:val="32"/>
          <w:lang w:eastAsia="zh"/>
        </w:rPr>
        <w:t>。</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2.基坑底部出现管涌或突涌，且未及时处理</w:t>
      </w:r>
      <w:r>
        <w:rPr>
          <w:rFonts w:hint="eastAsia" w:ascii="仿宋_GB2312" w:hAnsi="仿宋_GB2312" w:eastAsia="仿宋_GB2312" w:cs="仿宋_GB2312"/>
          <w:sz w:val="32"/>
          <w:lang w:eastAsia="zh"/>
        </w:rPr>
        <w:t>。</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3.支护结构或周边建筑物变形值超过设计变形控制值，且未及时处理。</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4.基坑周边施工临时堆载超过设计允许值</w:t>
      </w:r>
      <w:r>
        <w:rPr>
          <w:rFonts w:hint="eastAsia" w:ascii="仿宋_GB2312" w:hAnsi="仿宋_GB2312" w:eastAsia="仿宋_GB2312" w:cs="仿宋_GB2312"/>
          <w:sz w:val="32"/>
          <w:lang w:eastAsia="zh"/>
        </w:rPr>
        <w:t>。</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5.脚手架工程未设置连墙件或连墙件整层缺失</w:t>
      </w:r>
      <w:r>
        <w:rPr>
          <w:rFonts w:hint="eastAsia" w:ascii="仿宋_GB2312" w:hAnsi="仿宋_GB2312" w:eastAsia="仿宋_GB2312" w:cs="仿宋_GB2312"/>
          <w:sz w:val="32"/>
          <w:lang w:eastAsia="zh"/>
        </w:rPr>
        <w:t>。</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6.建筑起重机械的安全装置不齐全、失效或者被违规拆除、破坏</w:t>
      </w:r>
      <w:r>
        <w:rPr>
          <w:rFonts w:hint="eastAsia" w:ascii="仿宋_GB2312" w:hAnsi="仿宋_GB2312" w:eastAsia="仿宋_GB2312" w:cs="仿宋_GB2312"/>
          <w:sz w:val="32"/>
          <w:lang w:eastAsia="zh"/>
        </w:rPr>
        <w:t>。</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7.使用达到报废标准的建筑起重机械，或使用达到报废标准的吊索具进行起重吊装作业。</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8.脚手架与结构外表面之间贯通未采取水平防护措施。</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9.特殊作业环境（通风不畅、高温、有导电灰尘、相对湿度长期超过75%、泥泞、存在积水或其他导电液体等不利作业环境）照明未按规定使用安全电压</w:t>
      </w:r>
      <w:r>
        <w:rPr>
          <w:rFonts w:hint="eastAsia" w:ascii="仿宋_GB2312" w:hAnsi="仿宋_GB2312" w:eastAsia="仿宋_GB2312" w:cs="仿宋_GB2312"/>
          <w:sz w:val="32"/>
          <w:lang w:eastAsia="zh"/>
        </w:rPr>
        <w:t>。</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10.未辨识施工现场有限空间，且未在显著位置设置警示标志</w:t>
      </w:r>
      <w:r>
        <w:rPr>
          <w:rFonts w:hint="eastAsia" w:ascii="仿宋_GB2312" w:hAnsi="仿宋_GB2312" w:eastAsia="仿宋_GB2312" w:cs="仿宋_GB2312"/>
          <w:sz w:val="32"/>
          <w:lang w:eastAsia="zh"/>
        </w:rPr>
        <w:t>。</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11.有限空间作业未履行“作业审批制度”，未对施工人员进行专项安全教育培训，未执行“先通风、再检测、后作业”原则</w:t>
      </w:r>
      <w:r>
        <w:rPr>
          <w:rFonts w:hint="eastAsia" w:ascii="仿宋_GB2312" w:hAnsi="仿宋_GB2312" w:eastAsia="仿宋_GB2312" w:cs="仿宋_GB2312"/>
          <w:sz w:val="32"/>
          <w:lang w:eastAsia="zh"/>
        </w:rPr>
        <w:t>。</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12.有限空间作业时现场无专人负责监护工作，或无专职安全生产管理人员现场监督</w:t>
      </w:r>
      <w:r>
        <w:rPr>
          <w:rFonts w:hint="eastAsia" w:ascii="仿宋_GB2312" w:hAnsi="仿宋_GB2312" w:eastAsia="仿宋_GB2312" w:cs="仿宋_GB2312"/>
          <w:sz w:val="32"/>
          <w:lang w:eastAsia="zh"/>
        </w:rPr>
        <w:t>。</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13.有限空间作业现场未配备必要的气体检测、机械通风、呼吸防护及应急救援设施设备。</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14.盾构机盾尾密封失效、铰链部位发生渗漏仍继续掘进作业，或盾构机带压开仓检查换刀未按有关规定实施</w:t>
      </w:r>
      <w:r>
        <w:rPr>
          <w:rFonts w:hint="eastAsia" w:ascii="仿宋_GB2312" w:hAnsi="仿宋_GB2312" w:eastAsia="仿宋_GB2312" w:cs="仿宋_GB2312"/>
          <w:sz w:val="32"/>
          <w:lang w:eastAsia="zh"/>
        </w:rPr>
        <w:t>。</w:t>
      </w:r>
    </w:p>
    <w:p>
      <w:pPr>
        <w:widowControl w:val="0"/>
        <w:spacing w:after="0" w:line="600" w:lineRule="exact"/>
        <w:jc w:val="both"/>
        <w:rPr>
          <w:rFonts w:ascii="仿宋_GB2312" w:hAnsi="仿宋_GB2312" w:eastAsia="仿宋_GB2312" w:cs="仿宋_GB2312"/>
          <w:sz w:val="32"/>
          <w:lang w:eastAsia="zh-CN"/>
        </w:rPr>
      </w:pPr>
    </w:p>
    <w:p>
      <w:pPr>
        <w:widowControl w:val="0"/>
        <w:spacing w:after="0" w:line="600" w:lineRule="exact"/>
        <w:jc w:val="both"/>
        <w:rPr>
          <w:rFonts w:ascii="仿宋_GB2312" w:hAnsi="仿宋_GB2312" w:eastAsia="仿宋_GB2312" w:cs="仿宋_GB2312"/>
          <w:sz w:val="32"/>
          <w:lang w:eastAsia="zh-CN"/>
        </w:rPr>
      </w:pPr>
    </w:p>
    <w:p>
      <w:pPr>
        <w:widowControl w:val="0"/>
        <w:spacing w:after="0" w:line="600" w:lineRule="exact"/>
        <w:jc w:val="both"/>
        <w:rPr>
          <w:rFonts w:hint="eastAsia" w:ascii="黑体" w:hAnsi="黑体" w:eastAsia="黑体" w:cs="黑体"/>
          <w:kern w:val="2"/>
          <w:sz w:val="32"/>
          <w:szCs w:val="32"/>
          <w:lang w:val="en-US" w:eastAsia="zh-CN"/>
        </w:rPr>
      </w:pPr>
      <w:r>
        <w:rPr>
          <w:rFonts w:hint="eastAsia" w:ascii="黑体" w:hAnsi="黑体" w:eastAsia="黑体" w:cs="黑体"/>
          <w:kern w:val="2"/>
          <w:sz w:val="32"/>
          <w:szCs w:val="32"/>
          <w:lang w:eastAsia="zh-CN"/>
        </w:rPr>
        <w:t>附件</w:t>
      </w:r>
      <w:r>
        <w:rPr>
          <w:rFonts w:hint="eastAsia" w:ascii="黑体" w:hAnsi="黑体" w:eastAsia="黑体" w:cs="黑体"/>
          <w:kern w:val="2"/>
          <w:sz w:val="32"/>
          <w:szCs w:val="32"/>
          <w:lang w:val="en-US" w:eastAsia="zh-CN"/>
        </w:rPr>
        <w:t>2</w:t>
      </w:r>
    </w:p>
    <w:p>
      <w:pPr>
        <w:widowControl w:val="0"/>
        <w:spacing w:after="0" w:line="600" w:lineRule="exact"/>
        <w:jc w:val="both"/>
        <w:rPr>
          <w:rFonts w:ascii="仿宋_GB2312" w:hAnsi="仿宋_GB2312" w:eastAsia="仿宋_GB2312" w:cs="仿宋_GB2312"/>
          <w:kern w:val="2"/>
          <w:sz w:val="32"/>
          <w:szCs w:val="32"/>
          <w:lang w:eastAsia="zh-CN"/>
        </w:rPr>
      </w:pPr>
    </w:p>
    <w:p>
      <w:pPr>
        <w:widowControl w:val="0"/>
        <w:spacing w:after="0" w:line="600" w:lineRule="exact"/>
        <w:jc w:val="center"/>
        <w:rPr>
          <w:rFonts w:hint="eastAsia" w:ascii="方正小标宋简体" w:hAnsi="方正小标宋简体" w:eastAsia="方正小标宋简体" w:cs="方正小标宋简体"/>
          <w:b w:val="0"/>
          <w:bCs w:val="0"/>
          <w:kern w:val="2"/>
          <w:sz w:val="36"/>
          <w:szCs w:val="36"/>
          <w:lang w:eastAsia="zh-CN"/>
        </w:rPr>
      </w:pPr>
      <w:r>
        <w:rPr>
          <w:rFonts w:hint="eastAsia" w:ascii="方正小标宋简体" w:hAnsi="方正小标宋简体" w:eastAsia="方正小标宋简体" w:cs="方正小标宋简体"/>
          <w:b w:val="0"/>
          <w:bCs w:val="0"/>
          <w:kern w:val="2"/>
          <w:sz w:val="36"/>
          <w:szCs w:val="36"/>
          <w:lang w:eastAsia="zh-CN"/>
        </w:rPr>
        <w:t>水利工程生产安全重大事故隐患</w:t>
      </w:r>
    </w:p>
    <w:p>
      <w:pPr>
        <w:widowControl w:val="0"/>
        <w:spacing w:after="0" w:line="600" w:lineRule="exact"/>
        <w:jc w:val="center"/>
        <w:rPr>
          <w:rFonts w:hint="eastAsia" w:ascii="方正小标宋简体" w:hAnsi="方正小标宋简体" w:eastAsia="方正小标宋简体" w:cs="方正小标宋简体"/>
          <w:b w:val="0"/>
          <w:bCs w:val="0"/>
          <w:kern w:val="2"/>
          <w:sz w:val="36"/>
          <w:szCs w:val="36"/>
          <w:lang w:eastAsia="zh-CN"/>
        </w:rPr>
      </w:pPr>
      <w:r>
        <w:rPr>
          <w:rFonts w:hint="eastAsia" w:ascii="方正小标宋简体" w:hAnsi="方正小标宋简体" w:eastAsia="方正小标宋简体" w:cs="方正小标宋简体"/>
          <w:b w:val="0"/>
          <w:bCs w:val="0"/>
          <w:kern w:val="2"/>
          <w:sz w:val="36"/>
          <w:szCs w:val="36"/>
          <w:lang w:eastAsia="zh-CN"/>
        </w:rPr>
        <w:t>易发问题清单</w:t>
      </w:r>
    </w:p>
    <w:p>
      <w:pPr>
        <w:widowControl w:val="0"/>
        <w:spacing w:after="0" w:line="600" w:lineRule="exact"/>
        <w:ind w:firstLine="642" w:firstLineChars="200"/>
        <w:jc w:val="both"/>
        <w:rPr>
          <w:rFonts w:hint="eastAsia" w:ascii="黑体" w:hAnsi="黑体" w:eastAsia="黑体" w:cs="黑体"/>
          <w:b/>
          <w:bCs/>
          <w:sz w:val="32"/>
          <w:lang w:eastAsia="zh-CN"/>
        </w:rPr>
      </w:pPr>
    </w:p>
    <w:p>
      <w:pPr>
        <w:widowControl w:val="0"/>
        <w:spacing w:after="0" w:line="600" w:lineRule="exact"/>
        <w:ind w:firstLine="640" w:firstLineChars="200"/>
        <w:jc w:val="both"/>
        <w:rPr>
          <w:rFonts w:ascii="黑体" w:hAnsi="黑体" w:eastAsia="黑体" w:cs="黑体"/>
          <w:b w:val="0"/>
          <w:bCs w:val="0"/>
          <w:sz w:val="32"/>
          <w:lang w:eastAsia="zh-CN"/>
        </w:rPr>
      </w:pPr>
      <w:r>
        <w:rPr>
          <w:rFonts w:hint="eastAsia" w:ascii="黑体" w:hAnsi="黑体" w:eastAsia="黑体" w:cs="黑体"/>
          <w:b w:val="0"/>
          <w:bCs w:val="0"/>
          <w:sz w:val="32"/>
          <w:lang w:eastAsia="zh-CN"/>
        </w:rPr>
        <w:t>一、基础管理</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1.施工单位未按规定设置安全生产管理机构或配备专职安全生产管理人员。</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2.施工单位主要负责人、项目负责人和专职安全生产管理人员未取得安全生产考核合格证书从事相关工作。</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3.特种（设备）作业人员未取得特种作业人员操作资格证书上岗作业。</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4.超过一定规模的危险性较大的工程专项施工方案未组织专家论证。</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5.人员密集场所动火作业未进行内部审批；未持证上岗；违反动火作业“六必须”。</w:t>
      </w:r>
    </w:p>
    <w:p>
      <w:pPr>
        <w:widowControl w:val="0"/>
        <w:spacing w:after="0" w:line="600" w:lineRule="exact"/>
        <w:ind w:firstLine="640" w:firstLineChars="200"/>
        <w:jc w:val="both"/>
        <w:rPr>
          <w:rFonts w:ascii="黑体" w:hAnsi="黑体" w:eastAsia="黑体" w:cs="黑体"/>
          <w:b w:val="0"/>
          <w:bCs w:val="0"/>
          <w:sz w:val="32"/>
          <w:lang w:eastAsia="zh-CN"/>
        </w:rPr>
      </w:pPr>
      <w:r>
        <w:rPr>
          <w:rFonts w:hint="eastAsia" w:ascii="黑体" w:hAnsi="黑体" w:eastAsia="黑体" w:cs="黑体"/>
          <w:b w:val="0"/>
          <w:bCs w:val="0"/>
          <w:sz w:val="32"/>
          <w:lang w:eastAsia="zh-CN"/>
        </w:rPr>
        <w:t>二、临时工程</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1.围堰工程不符合规范和设计要求。</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2.围堰位移及渗流量超过设计要求，且无有效管控措施。</w:t>
      </w:r>
    </w:p>
    <w:p>
      <w:pPr>
        <w:widowControl w:val="0"/>
        <w:spacing w:after="0" w:line="600" w:lineRule="exact"/>
        <w:ind w:firstLine="640" w:firstLineChars="200"/>
        <w:jc w:val="both"/>
        <w:rPr>
          <w:rFonts w:ascii="黑体" w:hAnsi="黑体" w:eastAsia="黑体" w:cs="黑体"/>
          <w:b w:val="0"/>
          <w:bCs w:val="0"/>
          <w:sz w:val="32"/>
          <w:lang w:eastAsia="zh-CN"/>
        </w:rPr>
      </w:pPr>
      <w:r>
        <w:rPr>
          <w:rFonts w:hint="eastAsia" w:ascii="黑体" w:hAnsi="黑体" w:eastAsia="黑体" w:cs="黑体"/>
          <w:b w:val="0"/>
          <w:bCs w:val="0"/>
          <w:sz w:val="32"/>
          <w:lang w:eastAsia="zh-CN"/>
        </w:rPr>
        <w:t>三、专项工程</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1.施工现场开关箱未按要求装设剩余电流动作保护器且专用的电源中性点直接接地的低压电力系统未采用TN-S系统。</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2.作业脚手架未设置连墙件（杆）或连墙件（杆）整层缺失。</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3.起重吊装存在机械起重量限制器、起重力矩限制器、防坠安全器缺失或失效。</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4.基坑（槽）土方开挖放坡坡度不满足稳定性要求且未采取加固措施。</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5.支护结构或周边建筑物变形值超过设计变形控制值，且未及时处理。</w:t>
      </w:r>
    </w:p>
    <w:p>
      <w:pPr>
        <w:widowControl w:val="0"/>
        <w:spacing w:after="0" w:line="600" w:lineRule="exact"/>
        <w:ind w:firstLine="640" w:firstLineChars="200"/>
        <w:jc w:val="both"/>
        <w:rPr>
          <w:rFonts w:ascii="仿宋_GB2312" w:hAnsi="仿宋_GB2312" w:eastAsia="仿宋_GB2312" w:cs="仿宋_GB2312"/>
          <w:sz w:val="32"/>
          <w:lang w:eastAsia="zh-CN"/>
        </w:rPr>
      </w:pPr>
      <w:r>
        <w:rPr>
          <w:rFonts w:hint="eastAsia" w:ascii="仿宋_GB2312" w:hAnsi="仿宋_GB2312" w:eastAsia="仿宋_GB2312" w:cs="仿宋_GB2312"/>
          <w:sz w:val="32"/>
          <w:lang w:eastAsia="zh-CN"/>
        </w:rPr>
        <w:t>6.水上作业施工船舶施工安全工作条件不符合规范要求，未停止施工。</w:t>
      </w:r>
    </w:p>
    <w:sectPr>
      <w:footerReference r:id="rId5" w:type="default"/>
      <w:pgSz w:w="11906" w:h="16838"/>
      <w:pgMar w:top="1701" w:right="1474" w:bottom="1417" w:left="158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OpenSymbol"/>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Open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B0500000000000000"/>
    <w:charset w:val="86"/>
    <w:family w:val="auto"/>
    <w:pitch w:val="default"/>
    <w:sig w:usb0="30000083" w:usb1="2BDF3C10" w:usb2="00000016" w:usb3="00000000" w:csb0="602E0107" w:csb1="00000000"/>
  </w:font>
  <w:font w:name="ＭＳ ゴシック">
    <w:altName w:val="Times New Roman"/>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OpenSymbol">
    <w:panose1 w:val="05010000000000000000"/>
    <w:charset w:val="00"/>
    <w:family w:val="auto"/>
    <w:pitch w:val="default"/>
    <w:sig w:usb0="800000AF" w:usb1="1001ECEA" w:usb2="00000000" w:usb3="00000000" w:csb0="00000001"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27" w:lineRule="exact"/>
      <w:rPr>
        <w:rFonts w:ascii="Arial" w:hAnsi="Arial" w:eastAsia="Arial" w:cs="Arial"/>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72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9416A"/>
    <w:rsid w:val="0015074B"/>
    <w:rsid w:val="0017717E"/>
    <w:rsid w:val="001A5FC2"/>
    <w:rsid w:val="001E500D"/>
    <w:rsid w:val="002702A7"/>
    <w:rsid w:val="0029639D"/>
    <w:rsid w:val="002C4586"/>
    <w:rsid w:val="00306B32"/>
    <w:rsid w:val="00326F90"/>
    <w:rsid w:val="00476130"/>
    <w:rsid w:val="005710B9"/>
    <w:rsid w:val="00910A16"/>
    <w:rsid w:val="00AA1D8D"/>
    <w:rsid w:val="00B47730"/>
    <w:rsid w:val="00CB0664"/>
    <w:rsid w:val="00CB3D62"/>
    <w:rsid w:val="00EC729A"/>
    <w:rsid w:val="00F95445"/>
    <w:rsid w:val="00FC693F"/>
    <w:rsid w:val="08822685"/>
    <w:rsid w:val="0F9647AF"/>
    <w:rsid w:val="1ED93AEF"/>
    <w:rsid w:val="20A53055"/>
    <w:rsid w:val="22E44BB0"/>
    <w:rsid w:val="271B3D69"/>
    <w:rsid w:val="28237639"/>
    <w:rsid w:val="29F65972"/>
    <w:rsid w:val="2ACD0205"/>
    <w:rsid w:val="33757A05"/>
    <w:rsid w:val="38C16EB4"/>
    <w:rsid w:val="3BB6776D"/>
    <w:rsid w:val="3BDFC04C"/>
    <w:rsid w:val="3DB551F2"/>
    <w:rsid w:val="3E205FCE"/>
    <w:rsid w:val="3FB38CA1"/>
    <w:rsid w:val="3FF3BD03"/>
    <w:rsid w:val="40720A27"/>
    <w:rsid w:val="41022FD4"/>
    <w:rsid w:val="476D307A"/>
    <w:rsid w:val="4A7B3FE6"/>
    <w:rsid w:val="4B28706F"/>
    <w:rsid w:val="4F3A18BA"/>
    <w:rsid w:val="5199105D"/>
    <w:rsid w:val="595051BC"/>
    <w:rsid w:val="59564420"/>
    <w:rsid w:val="638D0C88"/>
    <w:rsid w:val="654C0C87"/>
    <w:rsid w:val="658F5F45"/>
    <w:rsid w:val="797804D9"/>
    <w:rsid w:val="7E290F51"/>
    <w:rsid w:val="7F915D0D"/>
    <w:rsid w:val="7FFFFC72"/>
    <w:rsid w:val="9FBF12FE"/>
    <w:rsid w:val="CE37E9C9"/>
    <w:rsid w:val="DBFF8361"/>
    <w:rsid w:val="EA7D810D"/>
    <w:rsid w:val="EC6F8CDB"/>
    <w:rsid w:val="EF9F54AD"/>
    <w:rsid w:val="F59BEB0B"/>
    <w:rsid w:val="F759925E"/>
    <w:rsid w:val="FFD7CD6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eastAsia="@仿宋_GB2312" w:asciiTheme="minorHAnsi" w:hAnsiTheme="minorHAnsi"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仿宋_GB2312" w:hAnsi="仿宋_GB2312" w:eastAsia="@仿宋_GB2312" w:cstheme="minorBidi"/>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4">
    <w:name w:val="Light Shading"/>
    <w:basedOn w:val="32"/>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页眉 字符"/>
    <w:basedOn w:val="132"/>
    <w:link w:val="25"/>
    <w:qFormat/>
    <w:uiPriority w:val="99"/>
  </w:style>
  <w:style w:type="character" w:customStyle="1" w:styleId="136">
    <w:name w:val="页脚 字符"/>
    <w:basedOn w:val="132"/>
    <w:link w:val="24"/>
    <w:qFormat/>
    <w:uiPriority w:val="99"/>
  </w:style>
  <w:style w:type="paragraph" w:styleId="137">
    <w:name w:val="No Spacing"/>
    <w:qFormat/>
    <w:uiPriority w:val="1"/>
    <w:rPr>
      <w:rFonts w:eastAsia="@仿宋_GB2312" w:asciiTheme="minorHAnsi" w:hAnsiTheme="minorHAnsi" w:cstheme="minorBidi"/>
      <w:sz w:val="22"/>
      <w:szCs w:val="22"/>
      <w:lang w:val="en-US" w:eastAsia="en-US" w:bidi="ar-SA"/>
    </w:rPr>
  </w:style>
  <w:style w:type="character" w:customStyle="1" w:styleId="138">
    <w:name w:val="标题 1 字符"/>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标题 2 字符"/>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标题 3 字符"/>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标题 字符"/>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副标题 字符"/>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正文文本 字符"/>
    <w:basedOn w:val="132"/>
    <w:link w:val="19"/>
    <w:qFormat/>
    <w:uiPriority w:val="99"/>
  </w:style>
  <w:style w:type="character" w:customStyle="1" w:styleId="145">
    <w:name w:val="正文文本 2 字符"/>
    <w:basedOn w:val="132"/>
    <w:link w:val="28"/>
    <w:qFormat/>
    <w:uiPriority w:val="99"/>
  </w:style>
  <w:style w:type="character" w:customStyle="1" w:styleId="146">
    <w:name w:val="正文文本 3 字符"/>
    <w:basedOn w:val="132"/>
    <w:link w:val="17"/>
    <w:qFormat/>
    <w:uiPriority w:val="99"/>
    <w:rPr>
      <w:sz w:val="16"/>
      <w:szCs w:val="16"/>
    </w:rPr>
  </w:style>
  <w:style w:type="character" w:customStyle="1" w:styleId="147">
    <w:name w:val="宏文本 字符"/>
    <w:basedOn w:val="132"/>
    <w:link w:val="2"/>
    <w:qFormat/>
    <w:uiPriority w:val="99"/>
    <w:rPr>
      <w:rFonts w:ascii="仿宋_GB2312" w:hAnsi="仿宋_GB2312"/>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引用 字符"/>
    <w:basedOn w:val="132"/>
    <w:link w:val="148"/>
    <w:qFormat/>
    <w:uiPriority w:val="29"/>
    <w:rPr>
      <w:i/>
      <w:iCs/>
      <w:color w:val="000000" w:themeColor="text1"/>
      <w14:textFill>
        <w14:solidFill>
          <w14:schemeClr w14:val="tx1"/>
        </w14:solidFill>
      </w14:textFill>
    </w:rPr>
  </w:style>
  <w:style w:type="character" w:customStyle="1" w:styleId="150">
    <w:name w:val="标题 4 字符"/>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标题 5 字符"/>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标题 6 字符"/>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标题 7 字符"/>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标题 8 字符"/>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标题 9 字符"/>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明显引用 字符"/>
    <w:basedOn w:val="132"/>
    <w:link w:val="156"/>
    <w:qFormat/>
    <w:uiPriority w:val="30"/>
    <w:rPr>
      <w:b/>
      <w:bCs/>
      <w:i/>
      <w:iCs/>
      <w:color w:val="4F81BD" w:themeColor="accent1"/>
      <w14:textFill>
        <w14:solidFill>
          <w14:schemeClr w14:val="accent1"/>
        </w14:solidFill>
      </w14:textFill>
    </w:rPr>
  </w:style>
  <w:style w:type="character" w:customStyle="1" w:styleId="158">
    <w:name w:val="不明显强调1"/>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明显强调1"/>
    <w:basedOn w:val="132"/>
    <w:qFormat/>
    <w:uiPriority w:val="21"/>
    <w:rPr>
      <w:b/>
      <w:bCs/>
      <w:i/>
      <w:iCs/>
      <w:color w:val="4F81BD" w:themeColor="accent1"/>
      <w14:textFill>
        <w14:solidFill>
          <w14:schemeClr w14:val="accent1"/>
        </w14:solidFill>
      </w14:textFill>
    </w:rPr>
  </w:style>
  <w:style w:type="character" w:customStyle="1" w:styleId="160">
    <w:name w:val="不明显参考1"/>
    <w:basedOn w:val="132"/>
    <w:qFormat/>
    <w:uiPriority w:val="31"/>
    <w:rPr>
      <w:smallCaps/>
      <w:color w:val="C0504D" w:themeColor="accent2"/>
      <w:u w:val="single"/>
      <w14:textFill>
        <w14:solidFill>
          <w14:schemeClr w14:val="accent2"/>
        </w14:solidFill>
      </w14:textFill>
    </w:rPr>
  </w:style>
  <w:style w:type="character" w:customStyle="1" w:styleId="161">
    <w:name w:val="明显参考1"/>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书籍标题1"/>
    <w:basedOn w:val="132"/>
    <w:qFormat/>
    <w:uiPriority w:val="33"/>
    <w:rPr>
      <w:b/>
      <w:bCs/>
      <w:smallCaps/>
      <w:spacing w:val="5"/>
    </w:rPr>
  </w:style>
  <w:style w:type="paragraph" w:customStyle="1" w:styleId="163">
    <w:name w:val="TOC 标题1"/>
    <w:basedOn w:val="3"/>
    <w:next w:val="1"/>
    <w:semiHidden/>
    <w:unhideWhenUsed/>
    <w:qFormat/>
    <w:uiPriority w:val="39"/>
    <w:pPr>
      <w:outlineLvl w:val="9"/>
    </w:pPr>
  </w:style>
  <w:style w:type="paragraph" w:customStyle="1" w:styleId="164">
    <w:name w:val="发文正文"/>
    <w:basedOn w:val="1"/>
    <w:qFormat/>
    <w:uiPriority w:val="0"/>
    <w:pPr>
      <w:ind w:firstLine="200" w:firstLineChars="200"/>
    </w:pPr>
    <w:rPr>
      <w:rFonts w:ascii="仿宋_GB2312" w:eastAsia="仿宋_GB2312"/>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4</Pages>
  <Words>624</Words>
  <Characters>3557</Characters>
  <Lines>29</Lines>
  <Paragraphs>8</Paragraphs>
  <TotalTime>2</TotalTime>
  <ScaleCrop>false</ScaleCrop>
  <LinksUpToDate>false</LinksUpToDate>
  <CharactersWithSpaces>4173</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2026-08-29T01:20:00Z</dcterms:created>
  <dc:creator>python-docx</dc:creator>
  <dc:description>generated by python-docx</dc:description>
  <cp:lastModifiedBy>huawei</cp:lastModifiedBy>
  <cp:lastPrinted>2026-08-28T17:35:00Z</cp:lastPrinted>
  <dcterms:modified xsi:type="dcterms:W3CDTF">2026-08-31T15:48:55Z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eyJoZGlkIjoiZmU2ZmQ2MGFkM2Q5Mzk1MjkyZGFmZmZmYjFjNzljYWUiLCJ1c2VySWQiOiI4NDY0NDIwIn0=</vt:lpwstr>
  </property>
  <property fmtid="{D5CDD505-2E9C-101B-9397-08002B2CF9AE}" pid="3" name="KSOProductBuildVer">
    <vt:lpwstr>2052-12.8.2.15290</vt:lpwstr>
  </property>
  <property fmtid="{D5CDD505-2E9C-101B-9397-08002B2CF9AE}" pid="4" name="ICV">
    <vt:lpwstr>72D0A572156455A967E3906A6346677B_43</vt:lpwstr>
  </property>
</Properties>
</file>