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79" w:rsidRDefault="00917AD5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上海市排水管网低水位运行工作方案</w:t>
      </w:r>
    </w:p>
    <w:p w:rsidR="00674E79" w:rsidRDefault="00674E79">
      <w:pPr>
        <w:rPr>
          <w:rFonts w:ascii="华文中宋" w:eastAsia="华文中宋"/>
          <w:sz w:val="30"/>
          <w:szCs w:val="30"/>
        </w:rPr>
      </w:pPr>
    </w:p>
    <w:p w:rsidR="00674E79" w:rsidRDefault="00917AD5">
      <w:pPr>
        <w:adjustRightInd w:val="0"/>
        <w:spacing w:line="600" w:lineRule="exact"/>
        <w:ind w:firstLineChars="200" w:firstLine="640"/>
        <w:contextualSpacing/>
        <w:rPr>
          <w:rFonts w:ascii="方正小标宋简体" w:eastAsia="方正小标宋简体"/>
          <w:kern w:val="0"/>
          <w:sz w:val="40"/>
          <w:szCs w:val="44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为深入贯彻落实</w:t>
      </w:r>
      <w:r>
        <w:rPr>
          <w:rFonts w:ascii="仿宋_GB2312" w:eastAsia="仿宋_GB2312" w:hint="eastAsia"/>
          <w:sz w:val="32"/>
          <w:szCs w:val="32"/>
        </w:rPr>
        <w:t>《城镇生活污水处理设施补短板强弱项实施方案》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《“十四五”城镇污水处理及资源化利用发展规</w:t>
      </w:r>
      <w:r>
        <w:rPr>
          <w:rFonts w:ascii="仿宋_GB2312" w:eastAsia="仿宋_GB2312" w:hint="eastAsia"/>
          <w:sz w:val="32"/>
          <w:szCs w:val="32"/>
        </w:rPr>
        <w:t>划》等文件要求，推动实现污水全收集全处理，减轻泵站排水污染，提升防汛保障能力，提高水环境质量，结合本市实际，制定本市排水管网低水位运行工作方案。</w:t>
      </w:r>
    </w:p>
    <w:p w:rsidR="00674E79" w:rsidRPr="002A2BD0" w:rsidRDefault="00831B5A" w:rsidP="002A2BD0">
      <w:pPr>
        <w:spacing w:line="60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一、</w:t>
      </w:r>
      <w:r w:rsidR="00917AD5" w:rsidRPr="002A2BD0">
        <w:rPr>
          <w:rFonts w:ascii="黑体" w:eastAsia="黑体" w:cs="Times New Roman" w:hint="eastAsia"/>
          <w:sz w:val="32"/>
          <w:szCs w:val="32"/>
        </w:rPr>
        <w:t>指导思想</w:t>
      </w:r>
    </w:p>
    <w:p w:rsidR="00674E79" w:rsidRDefault="00917AD5">
      <w:pPr>
        <w:spacing w:line="600" w:lineRule="exact"/>
        <w:ind w:firstLineChars="200" w:firstLine="64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以习近平新时代中国特色社会主义思想为指导，全面贯彻党的二十大精神和习近平生态文明思想，深入</w:t>
      </w:r>
      <w:proofErr w:type="gramStart"/>
      <w:r>
        <w:rPr>
          <w:rFonts w:ascii="仿宋_GB2312" w:eastAsia="仿宋_GB2312" w:hint="eastAsia"/>
          <w:bCs/>
          <w:color w:val="000000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bCs/>
          <w:color w:val="000000"/>
          <w:sz w:val="32"/>
          <w:szCs w:val="32"/>
        </w:rPr>
        <w:t>人民城市重要理念，坚持综合治理、系统治理、源头治理。以“降水位、利养护，提流速、减沉积，增库容、强韧性”为目标，推行排水管网低水位运行，保障城市</w:t>
      </w:r>
      <w:r>
        <w:rPr>
          <w:rFonts w:ascii="仿宋_GB2312" w:eastAsia="仿宋_GB2312" w:hint="eastAsia"/>
          <w:sz w:val="32"/>
          <w:szCs w:val="32"/>
        </w:rPr>
        <w:t>防汛排水和水环境安全，增强人民群众的幸福感和获得感。</w:t>
      </w:r>
    </w:p>
    <w:p w:rsidR="00674E79" w:rsidRPr="002A2BD0" w:rsidRDefault="00917AD5" w:rsidP="002A2BD0">
      <w:pPr>
        <w:spacing w:line="60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 w:rsidRPr="002A2BD0">
        <w:rPr>
          <w:rFonts w:ascii="黑体" w:eastAsia="黑体" w:cs="Times New Roman" w:hint="eastAsia"/>
          <w:sz w:val="32"/>
          <w:szCs w:val="32"/>
        </w:rPr>
        <w:t>二、工作目标</w:t>
      </w:r>
    </w:p>
    <w:p w:rsidR="00674E79" w:rsidRDefault="00917AD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024</w:t>
      </w:r>
      <w:r>
        <w:rPr>
          <w:rFonts w:ascii="仿宋_GB2312" w:eastAsia="仿宋_GB2312" w:hint="eastAsia"/>
          <w:sz w:val="32"/>
          <w:szCs w:val="32"/>
        </w:rPr>
        <w:t>年石洞口、竹园污水区域污水（合流）管网基本实现低水位运行，白龙港区</w:t>
      </w:r>
      <w:proofErr w:type="gramStart"/>
      <w:r>
        <w:rPr>
          <w:rFonts w:ascii="仿宋_GB2312" w:eastAsia="仿宋_GB2312" w:hint="eastAsia"/>
          <w:sz w:val="32"/>
          <w:szCs w:val="32"/>
        </w:rPr>
        <w:t>域完成低</w:t>
      </w:r>
      <w:proofErr w:type="gramEnd"/>
      <w:r>
        <w:rPr>
          <w:rFonts w:ascii="仿宋_GB2312" w:eastAsia="仿宋_GB2312" w:hint="eastAsia"/>
          <w:sz w:val="32"/>
          <w:szCs w:val="32"/>
        </w:rPr>
        <w:t>水位运行试点，郊区污水管网基本实现低水位运行；2025年白龙港污水区域污水（合流）管网基本实现低水位运行，分流制强</w:t>
      </w:r>
      <w:proofErr w:type="gramStart"/>
      <w:r>
        <w:rPr>
          <w:rFonts w:ascii="仿宋_GB2312" w:eastAsia="仿宋_GB2312" w:hint="eastAsia"/>
          <w:sz w:val="32"/>
          <w:szCs w:val="32"/>
        </w:rPr>
        <w:t>排地区</w:t>
      </w:r>
      <w:proofErr w:type="gramEnd"/>
      <w:r>
        <w:rPr>
          <w:rFonts w:ascii="仿宋_GB2312" w:eastAsia="仿宋_GB2312" w:hint="eastAsia"/>
          <w:sz w:val="32"/>
          <w:szCs w:val="32"/>
        </w:rPr>
        <w:t>雨水主管满管率低于5</w:t>
      </w:r>
      <w:r>
        <w:rPr>
          <w:rFonts w:ascii="仿宋_GB2312" w:eastAsia="仿宋_GB2312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74E79" w:rsidRPr="002A2BD0" w:rsidRDefault="00917AD5" w:rsidP="002A2BD0">
      <w:pPr>
        <w:spacing w:line="60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 w:rsidRPr="002A2BD0">
        <w:rPr>
          <w:rFonts w:ascii="黑体" w:eastAsia="黑体" w:cs="Times New Roman" w:hint="eastAsia"/>
          <w:sz w:val="32"/>
          <w:szCs w:val="32"/>
        </w:rPr>
        <w:t>三、定义</w:t>
      </w:r>
    </w:p>
    <w:p w:rsidR="00674E79" w:rsidRDefault="00917AD5">
      <w:pPr>
        <w:spacing w:line="600" w:lineRule="exact"/>
        <w:ind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方正标雅宋_GBK" w:eastAsia="仿宋_GB2312" w:hAnsi="方正标雅宋_GBK" w:cs="Times New Roman" w:hint="eastAsia"/>
          <w:sz w:val="32"/>
          <w:szCs w:val="32"/>
        </w:rPr>
        <w:t>排水管网指排水分区排水泵站和管道的总称（不包含干线节点泵站）；</w:t>
      </w:r>
    </w:p>
    <w:p w:rsidR="00674E79" w:rsidRDefault="00917AD5">
      <w:pPr>
        <w:spacing w:line="600" w:lineRule="exact"/>
        <w:ind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方正标雅宋_GBK" w:eastAsia="仿宋_GB2312" w:hAnsi="方正标雅宋_GBK" w:cs="Times New Roman" w:hint="eastAsia"/>
          <w:sz w:val="32"/>
          <w:szCs w:val="32"/>
        </w:rPr>
        <w:lastRenderedPageBreak/>
        <w:t>污水（合流）管网低水位运行应同时符合下列条件：</w:t>
      </w:r>
    </w:p>
    <w:p w:rsidR="00674E79" w:rsidRPr="002A2BD0" w:rsidRDefault="00917AD5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仿宋_GB2312" w:eastAsia="仿宋_GB2312" w:cs="Times New Roman"/>
          <w:sz w:val="32"/>
          <w:szCs w:val="32"/>
        </w:rPr>
        <w:t>1.</w:t>
      </w:r>
      <w:r w:rsidRPr="002A2BD0">
        <w:rPr>
          <w:rFonts w:ascii="仿宋_GB2312" w:eastAsia="仿宋_GB2312" w:cs="Times New Roman" w:hint="eastAsia"/>
          <w:sz w:val="32"/>
          <w:szCs w:val="32"/>
        </w:rPr>
        <w:t>泵站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运行</w:t>
      </w:r>
      <w:r w:rsidRPr="002A2BD0">
        <w:rPr>
          <w:rFonts w:ascii="仿宋_GB2312" w:eastAsia="仿宋_GB2312" w:cs="Times New Roman" w:hint="eastAsia"/>
          <w:sz w:val="32"/>
          <w:szCs w:val="32"/>
        </w:rPr>
        <w:t>最高水位低于设计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最高</w:t>
      </w:r>
      <w:r w:rsidRPr="002A2BD0">
        <w:rPr>
          <w:rFonts w:ascii="仿宋_GB2312" w:eastAsia="仿宋_GB2312" w:cs="Times New Roman" w:hint="eastAsia"/>
          <w:sz w:val="32"/>
          <w:szCs w:val="32"/>
        </w:rPr>
        <w:t>开车水位；</w:t>
      </w:r>
    </w:p>
    <w:p w:rsidR="00674E79" w:rsidRPr="002A2BD0" w:rsidRDefault="00917AD5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仿宋_GB2312" w:eastAsia="仿宋_GB2312" w:cs="Times New Roman"/>
          <w:sz w:val="32"/>
          <w:szCs w:val="32"/>
        </w:rPr>
        <w:t>2.</w:t>
      </w:r>
      <w:r w:rsidRPr="002A2BD0">
        <w:rPr>
          <w:rFonts w:ascii="仿宋_GB2312" w:eastAsia="仿宋_GB2312" w:cs="Times New Roman" w:hint="eastAsia"/>
          <w:sz w:val="32"/>
          <w:szCs w:val="32"/>
        </w:rPr>
        <w:t>泵站</w:t>
      </w:r>
      <w:proofErr w:type="gramStart"/>
      <w:r w:rsidRPr="002A2BD0">
        <w:rPr>
          <w:rFonts w:ascii="仿宋_GB2312" w:eastAsia="仿宋_GB2312" w:cs="Times New Roman" w:hint="eastAsia"/>
          <w:sz w:val="32"/>
          <w:szCs w:val="32"/>
        </w:rPr>
        <w:t>达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设计</w:t>
      </w:r>
      <w:proofErr w:type="gramEnd"/>
      <w:r w:rsidRPr="002A2BD0">
        <w:rPr>
          <w:rFonts w:ascii="仿宋_GB2312" w:eastAsia="仿宋_GB2312" w:cs="Times New Roman" w:hint="eastAsia"/>
          <w:sz w:val="32"/>
          <w:szCs w:val="32"/>
        </w:rPr>
        <w:t>最低水位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方</w:t>
      </w:r>
      <w:r w:rsidRPr="002A2BD0">
        <w:rPr>
          <w:rFonts w:ascii="仿宋_GB2312" w:eastAsia="仿宋_GB2312" w:cs="Times New Roman" w:hint="eastAsia"/>
          <w:sz w:val="32"/>
          <w:szCs w:val="32"/>
        </w:rPr>
        <w:t>停泵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；</w:t>
      </w:r>
    </w:p>
    <w:p w:rsidR="00674E79" w:rsidRPr="002A2BD0" w:rsidRDefault="00917AD5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仿宋_GB2312" w:eastAsia="仿宋_GB2312" w:hAnsi="方正标雅宋_GBK" w:cs="Times New Roman"/>
          <w:sz w:val="32"/>
          <w:szCs w:val="32"/>
        </w:rPr>
        <w:t>3</w:t>
      </w:r>
      <w:r w:rsidRPr="002A2BD0">
        <w:rPr>
          <w:rFonts w:ascii="仿宋_GB2312" w:eastAsia="仿宋_GB2312" w:cs="Times New Roman"/>
          <w:sz w:val="32"/>
          <w:szCs w:val="32"/>
        </w:rPr>
        <w:t>.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排水分区内主管充满度低于设计充满度占比大于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90</w:t>
      </w:r>
      <w:r w:rsidRPr="002A2BD0">
        <w:rPr>
          <w:rFonts w:ascii="仿宋_GB2312" w:eastAsia="仿宋_GB2312" w:cs="Times New Roman"/>
          <w:sz w:val="32"/>
          <w:szCs w:val="32"/>
        </w:rPr>
        <w:t>%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。</w:t>
      </w:r>
    </w:p>
    <w:p w:rsidR="00674E79" w:rsidRPr="002A2BD0" w:rsidRDefault="00917AD5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区域污水（合流）管网低水位</w:t>
      </w:r>
      <w:proofErr w:type="gramStart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运行指</w:t>
      </w:r>
      <w:proofErr w:type="gramEnd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区域内泵站及管道符合低水位运行条件的比例达到或超过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9</w:t>
      </w:r>
      <w:r w:rsidRPr="002A2BD0">
        <w:rPr>
          <w:rFonts w:ascii="仿宋_GB2312" w:eastAsia="仿宋_GB2312" w:cs="Times New Roman"/>
          <w:sz w:val="32"/>
          <w:szCs w:val="32"/>
        </w:rPr>
        <w:t>0%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。</w:t>
      </w:r>
    </w:p>
    <w:p w:rsidR="00674E79" w:rsidRPr="002A2BD0" w:rsidRDefault="00917AD5">
      <w:pPr>
        <w:spacing w:line="600" w:lineRule="exact"/>
        <w:ind w:firstLine="640"/>
        <w:rPr>
          <w:rFonts w:ascii="黑体" w:eastAsia="黑体" w:cs="Times New Roman"/>
          <w:bCs/>
          <w:sz w:val="32"/>
          <w:szCs w:val="32"/>
        </w:rPr>
      </w:pPr>
      <w:r w:rsidRPr="002A2BD0">
        <w:rPr>
          <w:rFonts w:ascii="黑体" w:eastAsia="黑体" w:cs="Times New Roman" w:hint="eastAsia"/>
          <w:bCs/>
          <w:sz w:val="32"/>
          <w:szCs w:val="32"/>
        </w:rPr>
        <w:t>四、主要任务</w:t>
      </w:r>
    </w:p>
    <w:p w:rsidR="00674E79" w:rsidRPr="002A2BD0" w:rsidRDefault="00917AD5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（一）全面推进污水和合流泵站低水位运行。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泵站运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维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管理</w:t>
      </w:r>
      <w:proofErr w:type="gramEnd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单位应立即组织完成运行方案修订，通过降低泵站</w:t>
      </w:r>
      <w:r w:rsidRPr="002A2BD0">
        <w:rPr>
          <w:rFonts w:ascii="仿宋_GB2312" w:eastAsia="仿宋_GB2312" w:cs="Times New Roman" w:hint="eastAsia"/>
          <w:sz w:val="32"/>
          <w:szCs w:val="32"/>
        </w:rPr>
        <w:t>运行水位、延长开</w:t>
      </w:r>
      <w:proofErr w:type="gramStart"/>
      <w:r w:rsidRPr="002A2BD0">
        <w:rPr>
          <w:rFonts w:ascii="仿宋_GB2312" w:eastAsia="仿宋_GB2312" w:cs="Times New Roman" w:hint="eastAsia"/>
          <w:sz w:val="32"/>
          <w:szCs w:val="32"/>
        </w:rPr>
        <w:t>泵时间</w:t>
      </w:r>
      <w:proofErr w:type="gramEnd"/>
      <w:r w:rsidRPr="002A2BD0">
        <w:rPr>
          <w:rFonts w:ascii="仿宋_GB2312" w:eastAsia="仿宋_GB2312" w:cs="Times New Roman" w:hint="eastAsia"/>
          <w:sz w:val="32"/>
          <w:szCs w:val="32"/>
        </w:rPr>
        <w:t>等措施，降低区域管网水位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。</w:t>
      </w:r>
      <w:r w:rsidRPr="00831B5A">
        <w:rPr>
          <w:rFonts w:ascii="仿宋_GB2312" w:eastAsia="仿宋_GB2312" w:cs="Times New Roman" w:hint="eastAsia"/>
          <w:sz w:val="32"/>
          <w:szCs w:val="32"/>
        </w:rPr>
        <w:t>石</w:t>
      </w:r>
      <w:r w:rsidRPr="002A2BD0">
        <w:rPr>
          <w:rFonts w:ascii="仿宋_GB2312" w:eastAsia="仿宋_GB2312" w:cs="Times New Roman" w:hint="eastAsia"/>
          <w:sz w:val="32"/>
          <w:szCs w:val="32"/>
        </w:rPr>
        <w:t>洞口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和</w:t>
      </w:r>
      <w:r w:rsidRPr="002A2BD0">
        <w:rPr>
          <w:rFonts w:ascii="仿宋_GB2312" w:eastAsia="仿宋_GB2312" w:cs="Times New Roman" w:hint="eastAsia"/>
          <w:sz w:val="32"/>
          <w:szCs w:val="32"/>
        </w:rPr>
        <w:t>竹园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污水</w:t>
      </w:r>
      <w:r w:rsidRPr="002A2BD0">
        <w:rPr>
          <w:rFonts w:ascii="仿宋_GB2312" w:eastAsia="仿宋_GB2312" w:cs="Times New Roman" w:hint="eastAsia"/>
          <w:sz w:val="32"/>
          <w:szCs w:val="32"/>
        </w:rPr>
        <w:t>区域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自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2023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年</w:t>
      </w:r>
      <w:r w:rsidRPr="002A2BD0">
        <w:rPr>
          <w:rFonts w:ascii="仿宋_GB2312" w:eastAsia="仿宋_GB2312" w:cs="Times New Roman"/>
          <w:sz w:val="32"/>
          <w:szCs w:val="32"/>
        </w:rPr>
        <w:t>7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月起</w:t>
      </w:r>
      <w:r w:rsidRPr="002A2BD0">
        <w:rPr>
          <w:rFonts w:ascii="仿宋_GB2312" w:eastAsia="仿宋_GB2312" w:cs="Times New Roman" w:hint="eastAsia"/>
          <w:sz w:val="32"/>
          <w:szCs w:val="32"/>
        </w:rPr>
        <w:t>全面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推</w:t>
      </w:r>
      <w:r w:rsidRPr="002A2BD0">
        <w:rPr>
          <w:rFonts w:ascii="仿宋_GB2312" w:eastAsia="仿宋_GB2312" w:cs="Times New Roman" w:hint="eastAsia"/>
          <w:sz w:val="32"/>
          <w:szCs w:val="32"/>
        </w:rPr>
        <w:t>行低水位运行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；</w:t>
      </w:r>
      <w:r w:rsidRPr="002A2BD0">
        <w:rPr>
          <w:rFonts w:ascii="仿宋_GB2312" w:eastAsia="仿宋_GB2312" w:cs="Times New Roman" w:hint="eastAsia"/>
          <w:sz w:val="32"/>
          <w:szCs w:val="32"/>
        </w:rPr>
        <w:t>白龙港区域</w:t>
      </w:r>
      <w:r w:rsidRPr="002A2BD0">
        <w:rPr>
          <w:rFonts w:ascii="仿宋_GB2312" w:eastAsia="仿宋_GB2312" w:cs="Times New Roman"/>
          <w:sz w:val="32"/>
          <w:szCs w:val="32"/>
        </w:rPr>
        <w:t>7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月起启动低水位运行局部试点工作，</w:t>
      </w:r>
      <w:proofErr w:type="gramStart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视白龙港厂</w:t>
      </w:r>
      <w:proofErr w:type="gramEnd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高效运行情况扩大试点区域，</w:t>
      </w:r>
      <w:proofErr w:type="gramStart"/>
      <w:r w:rsidRPr="002A2BD0">
        <w:rPr>
          <w:rFonts w:ascii="仿宋_GB2312" w:eastAsia="仿宋_GB2312" w:hAnsi="方正标雅宋_GBK" w:cs="Times New Roman"/>
          <w:sz w:val="32"/>
          <w:szCs w:val="32"/>
        </w:rPr>
        <w:t>2</w:t>
      </w:r>
      <w:r w:rsidRPr="002A2BD0">
        <w:rPr>
          <w:rFonts w:ascii="仿宋_GB2312" w:eastAsia="仿宋_GB2312" w:cs="Times New Roman"/>
          <w:sz w:val="32"/>
          <w:szCs w:val="32"/>
        </w:rPr>
        <w:t>023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年底</w:t>
      </w:r>
      <w:r w:rsidRPr="002A2BD0">
        <w:rPr>
          <w:rFonts w:ascii="仿宋_GB2312" w:eastAsia="仿宋_GB2312" w:cs="Times New Roman" w:hint="eastAsia"/>
          <w:sz w:val="32"/>
          <w:szCs w:val="32"/>
        </w:rPr>
        <w:t>竹白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连</w:t>
      </w:r>
      <w:r w:rsidRPr="002A2BD0">
        <w:rPr>
          <w:rFonts w:ascii="仿宋_GB2312" w:eastAsia="仿宋_GB2312" w:cs="Times New Roman" w:hint="eastAsia"/>
          <w:sz w:val="32"/>
          <w:szCs w:val="32"/>
        </w:rPr>
        <w:t>通管</w:t>
      </w:r>
      <w:proofErr w:type="gramEnd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建成投运后</w:t>
      </w:r>
      <w:r w:rsidRPr="002A2BD0">
        <w:rPr>
          <w:rFonts w:ascii="仿宋_GB2312" w:eastAsia="仿宋_GB2312" w:cs="Times New Roman" w:hint="eastAsia"/>
          <w:sz w:val="32"/>
          <w:szCs w:val="32"/>
        </w:rPr>
        <w:t>，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全面推行低水位运行。</w:t>
      </w:r>
      <w:r w:rsidRPr="002A2BD0">
        <w:rPr>
          <w:rFonts w:ascii="仿宋_GB2312" w:eastAsia="仿宋_GB2312" w:cs="Times New Roman" w:hint="eastAsia"/>
          <w:sz w:val="32"/>
          <w:szCs w:val="32"/>
        </w:rPr>
        <w:t>市排水事务中心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和相关区水</w:t>
      </w:r>
      <w:proofErr w:type="gramStart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务</w:t>
      </w:r>
      <w:proofErr w:type="gramEnd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局</w:t>
      </w:r>
      <w:r w:rsidRPr="002A2BD0">
        <w:rPr>
          <w:rFonts w:ascii="仿宋_GB2312" w:eastAsia="仿宋_GB2312" w:cs="Times New Roman" w:hint="eastAsia"/>
          <w:sz w:val="32"/>
          <w:szCs w:val="32"/>
        </w:rPr>
        <w:t>做好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指导和监督。</w:t>
      </w:r>
    </w:p>
    <w:p w:rsidR="00674E79" w:rsidRDefault="00917AD5" w:rsidP="00831B5A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（二）分步分类推进雨水泵站低水位运行。</w:t>
      </w:r>
      <w:r>
        <w:rPr>
          <w:rFonts w:ascii="仿宋_GB2312" w:eastAsia="仿宋_GB2312" w:hint="eastAsia"/>
          <w:sz w:val="32"/>
          <w:szCs w:val="32"/>
        </w:rPr>
        <w:t>泵站运</w:t>
      </w:r>
      <w:proofErr w:type="gramStart"/>
      <w:r>
        <w:rPr>
          <w:rFonts w:ascii="仿宋_GB2312" w:eastAsia="仿宋_GB2312" w:hint="eastAsia"/>
          <w:sz w:val="32"/>
          <w:szCs w:val="32"/>
        </w:rPr>
        <w:t>维管理</w:t>
      </w:r>
      <w:proofErr w:type="gramEnd"/>
      <w:r>
        <w:rPr>
          <w:rFonts w:ascii="仿宋_GB2312" w:eastAsia="仿宋_GB2312" w:hint="eastAsia"/>
          <w:sz w:val="32"/>
          <w:szCs w:val="32"/>
        </w:rPr>
        <w:t>单位应充分考虑系统雨水汇流时间，进一步优化防汛泵站雨天排水方案，水环境敏感泵站应尽可能采取截流方式降低管网水位；非敏感泵站尽量排除进入管网的雨水，减少降雨产生的管网积存水。原则上降雨当日（雨后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小时内），泵站运行水位达到开车水位应结合泵站水质监测情况，及时开泵排水。</w:t>
      </w:r>
    </w:p>
    <w:p w:rsidR="00674E79" w:rsidRPr="002A2BD0" w:rsidRDefault="00917AD5" w:rsidP="00831B5A">
      <w:pPr>
        <w:spacing w:line="600" w:lineRule="exact"/>
        <w:ind w:firstLineChars="200" w:firstLine="643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（三）进一步加强泵站设施设备维保。</w:t>
      </w:r>
      <w:r>
        <w:rPr>
          <w:rFonts w:ascii="仿宋_GB2312" w:eastAsia="仿宋_GB2312" w:hint="eastAsia"/>
          <w:sz w:val="32"/>
          <w:szCs w:val="32"/>
        </w:rPr>
        <w:t>针对前期低水位</w:t>
      </w:r>
      <w:r>
        <w:rPr>
          <w:rFonts w:ascii="仿宋_GB2312" w:eastAsia="仿宋_GB2312" w:hint="eastAsia"/>
          <w:sz w:val="32"/>
          <w:szCs w:val="32"/>
        </w:rPr>
        <w:lastRenderedPageBreak/>
        <w:t>运行试点发现的泵站臭气外溢、泵机振动、下游污水冒溢、垃圾增多等问题，泵站运</w:t>
      </w:r>
      <w:proofErr w:type="gramStart"/>
      <w:r>
        <w:rPr>
          <w:rFonts w:ascii="仿宋_GB2312" w:eastAsia="仿宋_GB2312" w:hint="eastAsia"/>
          <w:sz w:val="32"/>
          <w:szCs w:val="32"/>
        </w:rPr>
        <w:t>维管理</w:t>
      </w:r>
      <w:proofErr w:type="gramEnd"/>
      <w:r>
        <w:rPr>
          <w:rFonts w:ascii="仿宋_GB2312" w:eastAsia="仿宋_GB2312" w:hint="eastAsia"/>
          <w:sz w:val="32"/>
          <w:szCs w:val="32"/>
        </w:rPr>
        <w:t>单位应立即制订整改计划；</w:t>
      </w:r>
      <w:r w:rsidRPr="00831B5A">
        <w:rPr>
          <w:rFonts w:ascii="仿宋_GB2312" w:eastAsia="仿宋_GB2312" w:hint="eastAsia"/>
          <w:sz w:val="32"/>
          <w:szCs w:val="32"/>
        </w:rPr>
        <w:t>一是加大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泵站</w:t>
      </w:r>
      <w:proofErr w:type="gramStart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集水井清捞力度</w:t>
      </w:r>
      <w:proofErr w:type="gramEnd"/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，及时清除集水井垃圾，保证泵机正常运行；二是抓紧制订泵站除臭改造及泵机维修改造计划，石洞口和竹园区域</w:t>
      </w:r>
      <w:r w:rsidRPr="002A2BD0">
        <w:rPr>
          <w:rFonts w:ascii="仿宋_GB2312" w:eastAsia="仿宋_GB2312" w:cs="Times New Roman"/>
          <w:sz w:val="32"/>
          <w:szCs w:val="32"/>
        </w:rPr>
        <w:t>2024</w:t>
      </w:r>
      <w:r w:rsidRPr="002A2BD0">
        <w:rPr>
          <w:rFonts w:ascii="仿宋_GB2312" w:eastAsia="仿宋_GB2312" w:cs="Times New Roman" w:hint="eastAsia"/>
          <w:sz w:val="32"/>
          <w:szCs w:val="32"/>
        </w:rPr>
        <w:t>年底前完成整改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，白龙港区域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2</w:t>
      </w:r>
      <w:r w:rsidRPr="002A2BD0">
        <w:rPr>
          <w:rFonts w:ascii="仿宋_GB2312" w:eastAsia="仿宋_GB2312" w:cs="Times New Roman"/>
          <w:sz w:val="32"/>
          <w:szCs w:val="32"/>
        </w:rPr>
        <w:t>025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年</w:t>
      </w:r>
      <w:r w:rsidRPr="002A2BD0">
        <w:rPr>
          <w:rFonts w:ascii="仿宋_GB2312" w:eastAsia="仿宋_GB2312" w:cs="Times New Roman" w:hint="eastAsia"/>
          <w:sz w:val="32"/>
          <w:szCs w:val="32"/>
        </w:rPr>
        <w:t>底前完成整改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，石洞口和竹园区域重点整治泵站清单见附件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1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。</w:t>
      </w:r>
    </w:p>
    <w:p w:rsidR="00674E79" w:rsidRDefault="00917AD5" w:rsidP="00831B5A">
      <w:pPr>
        <w:spacing w:line="600" w:lineRule="exact"/>
        <w:ind w:firstLineChars="200" w:firstLine="643"/>
        <w:rPr>
          <w:rFonts w:ascii="Times New Roman" w:eastAsia="仿宋_GB2312" w:cs="Times New Roman"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（四）进一步加强管道维护工作。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各区应进一步加强排水管道养护工作，对问题泵站上游要增加养护频次，加大对垃圾淤泥清理力度，减少臭气及垃圾污泥大量进入泵站，影响泵机正常运行；切实做好排水管道日常巡视与周期性监测，及时发现修复损坏管道。</w:t>
      </w:r>
    </w:p>
    <w:p w:rsidR="00674E79" w:rsidRPr="002A2BD0" w:rsidRDefault="00917AD5">
      <w:pPr>
        <w:spacing w:line="600" w:lineRule="exact"/>
        <w:ind w:firstLine="640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（五）及时跟进系统评估与整治。</w:t>
      </w:r>
      <w:r>
        <w:rPr>
          <w:rFonts w:ascii="Times New Roman" w:eastAsia="仿宋_GB2312" w:cs="Times New Roman"/>
          <w:sz w:val="32"/>
          <w:szCs w:val="32"/>
        </w:rPr>
        <w:t>市排水事务中心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应</w:t>
      </w:r>
      <w:r>
        <w:rPr>
          <w:rFonts w:ascii="Times New Roman" w:eastAsia="仿宋_GB2312" w:cs="Times New Roman"/>
          <w:sz w:val="32"/>
          <w:szCs w:val="32"/>
        </w:rPr>
        <w:t>组织相关单位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及时跟进系统</w:t>
      </w:r>
      <w:r>
        <w:rPr>
          <w:rFonts w:ascii="Times New Roman" w:eastAsia="仿宋_GB2312" w:cs="Times New Roman"/>
          <w:sz w:val="32"/>
          <w:szCs w:val="32"/>
        </w:rPr>
        <w:t>评估工作，运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用</w:t>
      </w:r>
      <w:r>
        <w:rPr>
          <w:rFonts w:ascii="Times New Roman" w:eastAsia="仿宋_GB2312" w:cs="Times New Roman"/>
          <w:sz w:val="32"/>
          <w:szCs w:val="32"/>
        </w:rPr>
        <w:t>排水模型根据泵站及管道水位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监测数据</w:t>
      </w:r>
      <w:r>
        <w:rPr>
          <w:rFonts w:ascii="Times New Roman" w:eastAsia="仿宋_GB2312" w:cs="Times New Roman"/>
          <w:sz w:val="32"/>
          <w:szCs w:val="32"/>
        </w:rPr>
        <w:t>分析服务区域水位等情况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。对泵站运行水位降低后，管道未能实现预期目标的，相关区应立即组织从管网布局完善、管道修复、入河口封堵、外水管控、等方面入手，系统开展排查整治，</w:t>
      </w:r>
      <w:r>
        <w:rPr>
          <w:rFonts w:ascii="Times New Roman" w:eastAsia="仿宋_GB2312" w:cs="Times New Roman"/>
          <w:sz w:val="32"/>
          <w:szCs w:val="32"/>
        </w:rPr>
        <w:t>一是理清系统边界，排查系统间连通点和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入河口</w:t>
      </w:r>
      <w:r>
        <w:rPr>
          <w:rFonts w:ascii="Times New Roman" w:eastAsia="仿宋_GB2312" w:cs="Times New Roman"/>
          <w:sz w:val="32"/>
          <w:szCs w:val="32"/>
        </w:rPr>
        <w:t>封堵情况，通过系统布局调整，封堵连通点和入河口，合理确定系统服务范围；二是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应用</w:t>
      </w:r>
      <w:r>
        <w:rPr>
          <w:rFonts w:ascii="Times New Roman" w:eastAsia="仿宋_GB2312" w:cs="Times New Roman"/>
          <w:sz w:val="32"/>
          <w:szCs w:val="32"/>
        </w:rPr>
        <w:t>模型分析，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查找系统薄弱点，通过局部改造，打</w:t>
      </w:r>
      <w:r>
        <w:rPr>
          <w:rFonts w:ascii="Times New Roman" w:eastAsia="仿宋_GB2312" w:cs="Times New Roman"/>
          <w:sz w:val="32"/>
          <w:szCs w:val="32"/>
        </w:rPr>
        <w:t>通瓶颈；三是核查管道检测资料，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对损坏管道进行修复改造，</w:t>
      </w:r>
      <w:r>
        <w:rPr>
          <w:rFonts w:ascii="Times New Roman" w:eastAsia="仿宋_GB2312" w:cs="Times New Roman"/>
          <w:sz w:val="32"/>
          <w:szCs w:val="32"/>
        </w:rPr>
        <w:t>整治地下水入渗；四是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排</w:t>
      </w:r>
      <w:r>
        <w:rPr>
          <w:rFonts w:ascii="Times New Roman" w:eastAsia="仿宋_GB2312" w:cs="Times New Roman"/>
          <w:sz w:val="32"/>
          <w:szCs w:val="32"/>
        </w:rPr>
        <w:t>查混接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情况，及时整治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雨污混接</w:t>
      </w:r>
      <w:proofErr w:type="gramEnd"/>
      <w:r>
        <w:rPr>
          <w:rFonts w:ascii="Times New Roman" w:eastAsia="仿宋_GB2312" w:cs="Times New Roman"/>
          <w:sz w:val="32"/>
          <w:szCs w:val="32"/>
        </w:rPr>
        <w:t>；五是排查整治基坑疏</w:t>
      </w:r>
      <w:r w:rsidRPr="002A2BD0">
        <w:rPr>
          <w:rFonts w:ascii="仿宋_GB2312" w:eastAsia="仿宋_GB2312" w:cs="Times New Roman" w:hint="eastAsia"/>
          <w:sz w:val="32"/>
          <w:szCs w:val="32"/>
        </w:rPr>
        <w:lastRenderedPageBreak/>
        <w:t>干排水等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，加强</w:t>
      </w:r>
      <w:r w:rsidRPr="002A2BD0">
        <w:rPr>
          <w:rFonts w:ascii="仿宋_GB2312" w:eastAsia="仿宋_GB2312" w:cs="Times New Roman" w:hint="eastAsia"/>
          <w:sz w:val="32"/>
          <w:szCs w:val="32"/>
        </w:rPr>
        <w:t>外水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管控。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2024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年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6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月底前完成排查，制定整改方案，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2</w:t>
      </w:r>
      <w:r w:rsidRPr="002A2BD0">
        <w:rPr>
          <w:rFonts w:ascii="仿宋_GB2312" w:eastAsia="仿宋_GB2312" w:cs="Times New Roman"/>
          <w:sz w:val="32"/>
          <w:szCs w:val="32"/>
        </w:rPr>
        <w:t>0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2</w:t>
      </w:r>
      <w:r w:rsidRPr="002A2BD0">
        <w:rPr>
          <w:rFonts w:ascii="仿宋_GB2312" w:eastAsia="仿宋_GB2312" w:cs="Times New Roman"/>
          <w:sz w:val="32"/>
          <w:szCs w:val="32"/>
        </w:rPr>
        <w:t>5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底年前完成整治工作。</w:t>
      </w:r>
    </w:p>
    <w:p w:rsidR="00674E79" w:rsidRPr="002A2BD0" w:rsidRDefault="00917AD5">
      <w:pPr>
        <w:spacing w:line="600" w:lineRule="exact"/>
        <w:ind w:firstLine="640"/>
        <w:rPr>
          <w:rFonts w:ascii="黑体" w:eastAsia="黑体" w:cs="Times New Roman"/>
          <w:bCs/>
          <w:sz w:val="32"/>
          <w:szCs w:val="32"/>
        </w:rPr>
      </w:pPr>
      <w:r w:rsidRPr="002A2BD0">
        <w:rPr>
          <w:rFonts w:ascii="黑体" w:eastAsia="黑体" w:cs="Times New Roman" w:hint="eastAsia"/>
          <w:bCs/>
          <w:sz w:val="32"/>
          <w:szCs w:val="32"/>
        </w:rPr>
        <w:t>五、工作要求</w:t>
      </w:r>
    </w:p>
    <w:p w:rsidR="00674E79" w:rsidRPr="002A2BD0" w:rsidRDefault="00917AD5">
      <w:pPr>
        <w:spacing w:line="600" w:lineRule="exact"/>
        <w:ind w:firstLine="640"/>
        <w:rPr>
          <w:rFonts w:ascii="楷体_GB2312" w:eastAsia="楷体_GB2312" w:cs="Times New Roman"/>
          <w:b/>
          <w:bCs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（一）加强领导，压实主体责任</w:t>
      </w:r>
    </w:p>
    <w:p w:rsidR="00674E79" w:rsidRDefault="00917AD5">
      <w:pPr>
        <w:spacing w:line="600" w:lineRule="exact"/>
        <w:ind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方正标雅宋_GBK" w:eastAsia="仿宋_GB2312" w:hAnsi="方正标雅宋_GBK" w:cs="Times New Roman" w:hint="eastAsia"/>
          <w:sz w:val="32"/>
          <w:szCs w:val="32"/>
        </w:rPr>
        <w:t>市水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局会同各区水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局、城投集团成立排水管网低水位运行领导小组统筹推进该项工作，各区水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局和城投水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集团组织成立专项工作组，负责落实工作要求。</w:t>
      </w:r>
    </w:p>
    <w:p w:rsidR="00674E79" w:rsidRPr="002A2BD0" w:rsidRDefault="00917AD5">
      <w:pPr>
        <w:spacing w:line="600" w:lineRule="exact"/>
        <w:ind w:firstLine="640"/>
        <w:rPr>
          <w:rFonts w:ascii="楷体_GB2312" w:eastAsia="楷体_GB2312" w:cs="Times New Roman"/>
          <w:b/>
          <w:bCs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（二）保障经费，落实维护费用</w:t>
      </w:r>
    </w:p>
    <w:p w:rsidR="00674E79" w:rsidRDefault="00917AD5">
      <w:pPr>
        <w:spacing w:line="600" w:lineRule="exact"/>
        <w:ind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方正标雅宋_GBK" w:eastAsia="仿宋_GB2312" w:hAnsi="方正标雅宋_GBK" w:cs="Times New Roman" w:hint="eastAsia"/>
          <w:sz w:val="32"/>
          <w:szCs w:val="32"/>
        </w:rPr>
        <w:t>各区水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局和城投水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集团应积极协调财政、发改、住建等部门落实泵站维护及系统排查整治工作费用，切实加大排水管网运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维经费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投入，确保工作顺利开展。</w:t>
      </w:r>
    </w:p>
    <w:p w:rsidR="00674E79" w:rsidRPr="002A2BD0" w:rsidRDefault="00917AD5">
      <w:pPr>
        <w:spacing w:line="600" w:lineRule="exact"/>
        <w:ind w:firstLine="640"/>
        <w:rPr>
          <w:rFonts w:ascii="楷体_GB2312" w:eastAsia="楷体_GB2312" w:cs="Times New Roman"/>
          <w:b/>
          <w:bCs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（三）加强监测，开展系统分析</w:t>
      </w:r>
    </w:p>
    <w:p w:rsidR="00674E79" w:rsidRDefault="00917AD5">
      <w:pPr>
        <w:spacing w:line="600" w:lineRule="exact"/>
        <w:ind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相关单位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应按照排水管网自动监测技术规程要求，加快推进排水管网自动监测站点建设，实时监控管网运行情况；</w:t>
      </w:r>
      <w:r>
        <w:rPr>
          <w:rFonts w:ascii="Times New Roman" w:eastAsia="仿宋_GB2312" w:cs="Times New Roman"/>
          <w:sz w:val="32"/>
          <w:szCs w:val="32"/>
        </w:rPr>
        <w:t>运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用</w:t>
      </w:r>
      <w:r>
        <w:rPr>
          <w:rFonts w:ascii="Times New Roman" w:eastAsia="仿宋_GB2312" w:cs="Times New Roman"/>
          <w:sz w:val="32"/>
          <w:szCs w:val="32"/>
        </w:rPr>
        <w:t>排水模型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定期对排水管道</w:t>
      </w:r>
      <w:r>
        <w:rPr>
          <w:rFonts w:ascii="Times New Roman" w:eastAsia="仿宋_GB2312" w:cs="Times New Roman"/>
          <w:sz w:val="32"/>
          <w:szCs w:val="32"/>
        </w:rPr>
        <w:t>水位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、充满度、</w:t>
      </w:r>
      <w:r>
        <w:rPr>
          <w:rFonts w:ascii="Times New Roman" w:eastAsia="仿宋_GB2312" w:cs="Times New Roman"/>
          <w:sz w:val="32"/>
          <w:szCs w:val="32"/>
        </w:rPr>
        <w:t>流速等情况</w:t>
      </w:r>
      <w:r>
        <w:rPr>
          <w:rFonts w:ascii="方正标雅宋_GBK" w:eastAsia="仿宋_GB2312" w:hAnsi="方正标雅宋_GBK" w:cs="Times New Roman" w:hint="eastAsia"/>
          <w:sz w:val="32"/>
          <w:szCs w:val="32"/>
        </w:rPr>
        <w:t>进行模拟分析，为工作开展提供技术保障。</w:t>
      </w:r>
    </w:p>
    <w:p w:rsidR="00674E79" w:rsidRPr="002A2BD0" w:rsidRDefault="00917AD5">
      <w:pPr>
        <w:spacing w:line="600" w:lineRule="exact"/>
        <w:ind w:firstLine="640"/>
        <w:rPr>
          <w:rFonts w:ascii="楷体_GB2312" w:eastAsia="楷体_GB2312" w:cs="Times New Roman"/>
          <w:b/>
          <w:bCs/>
          <w:sz w:val="32"/>
          <w:szCs w:val="32"/>
        </w:rPr>
      </w:pPr>
      <w:r w:rsidRPr="002A2BD0">
        <w:rPr>
          <w:rFonts w:ascii="楷体_GB2312" w:eastAsia="楷体_GB2312" w:cs="Times New Roman" w:hint="eastAsia"/>
          <w:b/>
          <w:bCs/>
          <w:sz w:val="32"/>
          <w:szCs w:val="32"/>
        </w:rPr>
        <w:t>（四）注重成效，加强监督考核</w:t>
      </w:r>
    </w:p>
    <w:p w:rsidR="00674E79" w:rsidRDefault="00917AD5">
      <w:pPr>
        <w:spacing w:line="600" w:lineRule="exact"/>
        <w:ind w:firstLine="640"/>
        <w:rPr>
          <w:rFonts w:ascii="仿宋_GB2312" w:eastAsia="仿宋_GB2312" w:cs="仿宋"/>
          <w:sz w:val="30"/>
          <w:szCs w:val="30"/>
        </w:rPr>
      </w:pPr>
      <w:r>
        <w:rPr>
          <w:rFonts w:ascii="方正标雅宋_GBK" w:eastAsia="仿宋_GB2312" w:hAnsi="方正标雅宋_GBK" w:cs="Times New Roman" w:hint="eastAsia"/>
          <w:sz w:val="32"/>
          <w:szCs w:val="32"/>
        </w:rPr>
        <w:t>各区水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局和城投水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集团应及时总结低水位运行工作成果，综合分析评判工作成效；市水</w:t>
      </w:r>
      <w:proofErr w:type="gramStart"/>
      <w:r>
        <w:rPr>
          <w:rFonts w:ascii="方正标雅宋_GBK" w:eastAsia="仿宋_GB2312" w:hAnsi="方正标雅宋_GBK" w:cs="Times New Roman" w:hint="eastAsia"/>
          <w:sz w:val="32"/>
          <w:szCs w:val="32"/>
        </w:rPr>
        <w:t>务</w:t>
      </w:r>
      <w:proofErr w:type="gramEnd"/>
      <w:r>
        <w:rPr>
          <w:rFonts w:ascii="方正标雅宋_GBK" w:eastAsia="仿宋_GB2312" w:hAnsi="方正标雅宋_GBK" w:cs="Times New Roman" w:hint="eastAsia"/>
          <w:sz w:val="32"/>
          <w:szCs w:val="32"/>
        </w:rPr>
        <w:t>局定期组织低水位运行工作检查，对推进不力的单位进行通报批评和限期整改。</w:t>
      </w:r>
    </w:p>
    <w:p w:rsidR="00674E79" w:rsidRDefault="00917AD5">
      <w:pPr>
        <w:spacing w:line="600" w:lineRule="exact"/>
        <w:rPr>
          <w:rFonts w:ascii="Times New Roman" w:eastAsia="仿宋_GB2312" w:cs="Times New Roman"/>
          <w:sz w:val="32"/>
          <w:szCs w:val="32"/>
          <w:highlight w:val="yellow"/>
        </w:rPr>
      </w:pPr>
      <w:r>
        <w:rPr>
          <w:rFonts w:ascii="方正标雅宋_GBK" w:eastAsia="仿宋_GB2312" w:hAnsi="方正标雅宋_GBK" w:cs="Times New Roman" w:hint="eastAsia"/>
          <w:sz w:val="32"/>
          <w:szCs w:val="32"/>
        </w:rPr>
        <w:t>同时，各单位要加强信息报送，市排水事务中心每月形成工作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简报，通报工作情况。月度工作信息报送表见附件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2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。</w:t>
      </w:r>
    </w:p>
    <w:p w:rsidR="00831B5A" w:rsidRDefault="00831B5A">
      <w:pPr>
        <w:spacing w:line="600" w:lineRule="exact"/>
        <w:ind w:firstLineChars="200" w:firstLine="640"/>
        <w:rPr>
          <w:rFonts w:ascii="方正标雅宋_GBK" w:eastAsia="仿宋_GB2312" w:hAnsi="方正标雅宋_GBK" w:cs="Times New Roman"/>
          <w:sz w:val="32"/>
          <w:szCs w:val="32"/>
        </w:rPr>
      </w:pPr>
    </w:p>
    <w:p w:rsidR="00674E79" w:rsidRPr="002A2BD0" w:rsidRDefault="00917AD5">
      <w:pPr>
        <w:spacing w:line="60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lastRenderedPageBreak/>
        <w:t>附件</w:t>
      </w:r>
      <w:r w:rsidRPr="002A2BD0">
        <w:rPr>
          <w:rFonts w:ascii="仿宋_GB2312" w:eastAsia="仿宋_GB2312" w:hAnsi="方正标雅宋_GBK" w:cs="Times New Roman"/>
          <w:sz w:val="32"/>
          <w:szCs w:val="32"/>
        </w:rPr>
        <w:t>:1.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石洞口和竹园区域重点整治泵站清单</w:t>
      </w:r>
    </w:p>
    <w:p w:rsidR="00674E79" w:rsidRPr="002A2BD0" w:rsidRDefault="00917AD5" w:rsidP="002A2BD0">
      <w:pPr>
        <w:spacing w:line="600" w:lineRule="exact"/>
        <w:ind w:firstLineChars="450" w:firstLine="1440"/>
        <w:rPr>
          <w:rFonts w:ascii="仿宋_GB2312" w:eastAsia="仿宋_GB2312" w:cs="Times New Roman"/>
          <w:sz w:val="32"/>
          <w:szCs w:val="32"/>
        </w:rPr>
      </w:pPr>
      <w:r w:rsidRPr="002A2BD0">
        <w:rPr>
          <w:rFonts w:ascii="仿宋_GB2312" w:eastAsia="仿宋_GB2312" w:hAnsi="方正标雅宋_GBK" w:cs="Times New Roman"/>
          <w:sz w:val="32"/>
          <w:szCs w:val="32"/>
        </w:rPr>
        <w:t>2.</w:t>
      </w:r>
      <w:r w:rsidRPr="002A2BD0">
        <w:rPr>
          <w:rFonts w:ascii="仿宋_GB2312" w:eastAsia="仿宋_GB2312" w:hAnsi="方正标雅宋_GBK" w:cs="Times New Roman" w:hint="eastAsia"/>
          <w:sz w:val="32"/>
          <w:szCs w:val="32"/>
        </w:rPr>
        <w:t>排水管网低水位运行月度工作信息报送表</w:t>
      </w: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p w:rsidR="00674E79" w:rsidRDefault="00674E79">
      <w:pPr>
        <w:spacing w:line="600" w:lineRule="exact"/>
        <w:ind w:firstLineChars="200" w:firstLine="640"/>
        <w:rPr>
          <w:rFonts w:ascii="方正标雅宋_GBK" w:eastAsia="仿宋_GB2312" w:hAnsi="方正标雅宋_GBK" w:cs="Times New Roman"/>
          <w:sz w:val="32"/>
          <w:szCs w:val="32"/>
        </w:rPr>
      </w:pPr>
    </w:p>
    <w:p w:rsidR="00674E79" w:rsidRDefault="00674E79">
      <w:pPr>
        <w:ind w:firstLineChars="200" w:firstLine="640"/>
        <w:rPr>
          <w:rFonts w:ascii="方正标雅宋_GBK" w:eastAsia="仿宋_GB2312" w:hAnsi="方正标雅宋_GBK" w:cs="Times New Roman"/>
          <w:sz w:val="32"/>
          <w:szCs w:val="32"/>
        </w:rPr>
      </w:pPr>
    </w:p>
    <w:p w:rsidR="00674E79" w:rsidRDefault="00674E79">
      <w:pPr>
        <w:ind w:firstLineChars="200" w:firstLine="640"/>
        <w:rPr>
          <w:rFonts w:ascii="方正标雅宋_GBK" w:eastAsia="仿宋_GB2312" w:hAnsi="方正标雅宋_GBK" w:cs="Times New Roman"/>
          <w:sz w:val="32"/>
          <w:szCs w:val="32"/>
        </w:rPr>
      </w:pPr>
    </w:p>
    <w:p w:rsidR="00674E79" w:rsidRDefault="00674E79">
      <w:pPr>
        <w:ind w:firstLineChars="200" w:firstLine="640"/>
        <w:rPr>
          <w:rFonts w:ascii="方正标雅宋_GBK" w:eastAsia="仿宋_GB2312" w:hAnsi="方正标雅宋_GBK" w:cs="Times New Roman"/>
          <w:sz w:val="32"/>
          <w:szCs w:val="32"/>
        </w:rPr>
      </w:pPr>
    </w:p>
    <w:p w:rsidR="00674E79" w:rsidRDefault="00674E79">
      <w:pPr>
        <w:ind w:firstLineChars="200" w:firstLine="640"/>
        <w:rPr>
          <w:rFonts w:ascii="方正标雅宋_GBK" w:eastAsia="仿宋_GB2312" w:hAnsi="方正标雅宋_GBK" w:cs="Times New Roman"/>
          <w:sz w:val="32"/>
          <w:szCs w:val="32"/>
        </w:rPr>
      </w:pPr>
    </w:p>
    <w:p w:rsidR="00674E79" w:rsidRPr="002A2BD0" w:rsidRDefault="00917AD5" w:rsidP="002A2BD0">
      <w:pPr>
        <w:rPr>
          <w:rFonts w:ascii="黑体" w:eastAsia="黑体" w:hAnsi="黑体" w:cs="Times New Roman"/>
          <w:sz w:val="32"/>
          <w:szCs w:val="32"/>
        </w:rPr>
      </w:pPr>
      <w:r w:rsidRPr="002A2BD0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Pr="002A2BD0">
        <w:rPr>
          <w:rFonts w:ascii="黑体" w:eastAsia="黑体" w:hAnsi="黑体" w:cs="Times New Roman"/>
          <w:sz w:val="32"/>
          <w:szCs w:val="32"/>
        </w:rPr>
        <w:t>1</w:t>
      </w:r>
    </w:p>
    <w:p w:rsidR="00674E79" w:rsidRPr="002A2BD0" w:rsidRDefault="00917AD5" w:rsidP="002A2BD0">
      <w:pPr>
        <w:ind w:firstLineChars="200" w:firstLine="720"/>
        <w:jc w:val="center"/>
        <w:rPr>
          <w:rFonts w:ascii="方正小标宋简体" w:eastAsia="方正小标宋简体" w:cs="Times New Roman"/>
          <w:bCs/>
          <w:sz w:val="36"/>
          <w:szCs w:val="36"/>
        </w:rPr>
      </w:pPr>
      <w:r w:rsidRPr="002A2BD0">
        <w:rPr>
          <w:rFonts w:ascii="方正小标宋简体" w:eastAsia="方正小标宋简体" w:cs="Times New Roman" w:hint="eastAsia"/>
          <w:bCs/>
          <w:sz w:val="36"/>
          <w:szCs w:val="36"/>
        </w:rPr>
        <w:t>石洞口和竹园区域重点整治泵站清单</w:t>
      </w:r>
    </w:p>
    <w:tbl>
      <w:tblPr>
        <w:tblW w:w="8902" w:type="dxa"/>
        <w:tblInd w:w="-431" w:type="dxa"/>
        <w:tblLook w:val="0000" w:firstRow="0" w:lastRow="0" w:firstColumn="0" w:lastColumn="0" w:noHBand="0" w:noVBand="0"/>
      </w:tblPr>
      <w:tblGrid>
        <w:gridCol w:w="687"/>
        <w:gridCol w:w="1032"/>
        <w:gridCol w:w="1117"/>
        <w:gridCol w:w="1240"/>
        <w:gridCol w:w="1640"/>
        <w:gridCol w:w="3186"/>
      </w:tblGrid>
      <w:tr w:rsidR="00674E79">
        <w:trPr>
          <w:trHeight w:hRule="exact" w:val="56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</w:rPr>
              <w:t>泵站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</w:rPr>
              <w:t>泵站性质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</w:rPr>
              <w:t>运行单位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</w:rPr>
              <w:t>存在问题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ind w:firstLineChars="23" w:firstLine="51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石洞口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甘北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石洞口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宝钢1#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石洞口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宝杨</w:t>
            </w:r>
            <w:proofErr w:type="gramEnd"/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1#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石洞口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苏北3#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石洞口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大宁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石洞口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大场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华盛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江西北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泵机设备老旧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江西中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泵机设备老旧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彭江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泵机设备老旧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水电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五角场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无除臭设施或除臭设备不达标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武川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合流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无除臭设施或除臭设备不达标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崇明支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泵机设备老旧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广中(污)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无除臭设施或除臭设备不达标开停泵频繁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广中西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中原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泵机设备老旧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武川（污）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曹阳（污）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开停泵频繁</w:t>
            </w:r>
          </w:p>
        </w:tc>
      </w:tr>
      <w:tr w:rsidR="00674E79">
        <w:trPr>
          <w:trHeight w:hRule="exact" w:val="5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竹园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民主(污)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分流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市排水公司</w:t>
            </w:r>
          </w:p>
        </w:tc>
        <w:tc>
          <w:tcPr>
            <w:tcW w:w="3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>泵机设备老旧</w:t>
            </w:r>
          </w:p>
        </w:tc>
      </w:tr>
    </w:tbl>
    <w:p w:rsidR="00674E79" w:rsidRDefault="00917AD5">
      <w:pPr>
        <w:tabs>
          <w:tab w:val="left" w:pos="3913"/>
        </w:tabs>
        <w:ind w:firstLineChars="200" w:firstLine="640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ab/>
      </w:r>
    </w:p>
    <w:p w:rsidR="00674E79" w:rsidRPr="002A2BD0" w:rsidRDefault="00917AD5" w:rsidP="002A2BD0">
      <w:pPr>
        <w:tabs>
          <w:tab w:val="left" w:pos="3913"/>
        </w:tabs>
        <w:rPr>
          <w:rFonts w:ascii="黑体" w:eastAsia="黑体" w:hAnsi="黑体" w:cs="Times New Roman"/>
          <w:sz w:val="32"/>
          <w:szCs w:val="32"/>
        </w:rPr>
      </w:pPr>
      <w:r w:rsidRPr="002A2BD0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Pr="002A2BD0">
        <w:rPr>
          <w:rFonts w:ascii="黑体" w:eastAsia="黑体" w:hAnsi="黑体" w:cs="Times New Roman"/>
          <w:sz w:val="32"/>
          <w:szCs w:val="32"/>
        </w:rPr>
        <w:t>2</w:t>
      </w:r>
    </w:p>
    <w:p w:rsidR="00674E79" w:rsidRPr="002A2BD0" w:rsidRDefault="00917AD5" w:rsidP="002A2BD0">
      <w:pPr>
        <w:ind w:firstLineChars="200" w:firstLine="720"/>
        <w:jc w:val="center"/>
        <w:rPr>
          <w:rFonts w:ascii="方正小标宋简体" w:eastAsia="方正小标宋简体" w:cs="Times New Roman"/>
          <w:bCs/>
          <w:sz w:val="36"/>
          <w:szCs w:val="36"/>
        </w:rPr>
      </w:pPr>
      <w:r w:rsidRPr="002A2BD0">
        <w:rPr>
          <w:rFonts w:ascii="方正小标宋简体" w:eastAsia="方正小标宋简体" w:cs="Times New Roman" w:hint="eastAsia"/>
          <w:sz w:val="36"/>
          <w:szCs w:val="36"/>
        </w:rPr>
        <w:t>排水管网低水位运行月度工作信息报送表</w:t>
      </w:r>
    </w:p>
    <w:tbl>
      <w:tblPr>
        <w:tblW w:w="10170" w:type="dxa"/>
        <w:tblInd w:w="-885" w:type="dxa"/>
        <w:tblLook w:val="0000" w:firstRow="0" w:lastRow="0" w:firstColumn="0" w:lastColumn="0" w:noHBand="0" w:noVBand="0"/>
      </w:tblPr>
      <w:tblGrid>
        <w:gridCol w:w="700"/>
        <w:gridCol w:w="1569"/>
        <w:gridCol w:w="1024"/>
        <w:gridCol w:w="1293"/>
        <w:gridCol w:w="879"/>
        <w:gridCol w:w="1182"/>
        <w:gridCol w:w="54"/>
        <w:gridCol w:w="1080"/>
        <w:gridCol w:w="54"/>
        <w:gridCol w:w="1129"/>
        <w:gridCol w:w="164"/>
        <w:gridCol w:w="988"/>
        <w:gridCol w:w="54"/>
      </w:tblGrid>
      <w:tr w:rsidR="00674E79">
        <w:trPr>
          <w:trHeight w:val="57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泵站总数：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（座）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污水泵站：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（座）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合流泵站：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（座）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主管长度：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（km）</w:t>
            </w:r>
          </w:p>
        </w:tc>
      </w:tr>
      <w:tr w:rsidR="00674E79">
        <w:trPr>
          <w:trHeight w:val="6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低水位泵站总数：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（座）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污水泵站：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（座）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合流泵站：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（座）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1B5A" w:rsidRDefault="00917AD5">
            <w:pPr>
              <w:widowControl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低水位</w:t>
            </w:r>
          </w:p>
          <w:p w:rsidR="00674E79" w:rsidRDefault="00917AD5">
            <w:pPr>
              <w:widowControl/>
              <w:jc w:val="lef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主管长度：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right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（km）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重点整治项目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B5A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计划</w:t>
            </w:r>
          </w:p>
          <w:p w:rsidR="00831B5A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完成</w:t>
            </w:r>
          </w:p>
          <w:p w:rsidR="00674E79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本月工作进展情况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工作进度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917AD5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674E7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674E7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674E79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  <w:r w:rsidRPr="002A2BD0">
              <w:rPr>
                <w:rFonts w:ascii="仿宋_GB2312" w:eastAsia="仿宋_GB2312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Pr="002A2BD0" w:rsidRDefault="00674E7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79" w:rsidRDefault="00674E79"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674E79" w:rsidRPr="00831B5A">
        <w:trPr>
          <w:gridAfter w:val="1"/>
          <w:wAfter w:w="54" w:type="dxa"/>
          <w:trHeight w:val="570"/>
        </w:trPr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2"/>
              </w:rPr>
            </w:pPr>
            <w:r w:rsidRPr="002A2BD0">
              <w:rPr>
                <w:rFonts w:ascii="楷体_GB2312" w:eastAsia="楷体_GB2312" w:cs="宋体" w:hint="eastAsia"/>
                <w:color w:val="000000"/>
                <w:kern w:val="0"/>
                <w:sz w:val="22"/>
              </w:rPr>
              <w:t>单位名称：（盖章）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2"/>
              </w:rPr>
            </w:pPr>
            <w:r w:rsidRPr="002A2BD0">
              <w:rPr>
                <w:rFonts w:ascii="楷体_GB2312" w:eastAsia="楷体_GB2312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left"/>
              <w:rPr>
                <w:rFonts w:ascii="楷体_GB2312" w:eastAsia="楷体_GB2312" w:cs="宋体"/>
                <w:color w:val="000000"/>
                <w:kern w:val="0"/>
                <w:sz w:val="22"/>
              </w:rPr>
            </w:pPr>
            <w:r w:rsidRPr="002A2BD0">
              <w:rPr>
                <w:rFonts w:ascii="楷体_GB2312" w:eastAsia="楷体_GB2312" w:cs="宋体"/>
                <w:color w:val="000000"/>
                <w:kern w:val="0"/>
                <w:sz w:val="22"/>
              </w:rPr>
              <w:t xml:space="preserve">  </w:t>
            </w:r>
            <w:r w:rsidRPr="002A2BD0">
              <w:rPr>
                <w:rFonts w:ascii="楷体_GB2312" w:eastAsia="楷体_GB2312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4E79" w:rsidRPr="002A2BD0" w:rsidRDefault="00917AD5">
            <w:pPr>
              <w:widowControl/>
              <w:jc w:val="center"/>
              <w:rPr>
                <w:rFonts w:ascii="楷体_GB2312" w:eastAsia="楷体_GB2312" w:cs="宋体"/>
                <w:color w:val="000000"/>
                <w:kern w:val="0"/>
                <w:sz w:val="22"/>
              </w:rPr>
            </w:pPr>
            <w:r w:rsidRPr="002A2BD0">
              <w:rPr>
                <w:rFonts w:ascii="楷体_GB2312" w:eastAsia="楷体_GB2312" w:cs="宋体"/>
                <w:color w:val="000000"/>
                <w:kern w:val="0"/>
                <w:sz w:val="22"/>
              </w:rPr>
              <w:t xml:space="preserve"> </w:t>
            </w:r>
            <w:r w:rsidRPr="002A2BD0">
              <w:rPr>
                <w:rFonts w:ascii="楷体_GB2312" w:eastAsia="楷体_GB2312" w:cs="宋体" w:hint="eastAsia"/>
                <w:color w:val="000000"/>
                <w:kern w:val="0"/>
                <w:sz w:val="22"/>
              </w:rPr>
              <w:t>年</w:t>
            </w:r>
            <w:r w:rsidRPr="002A2BD0">
              <w:rPr>
                <w:rFonts w:ascii="楷体_GB2312" w:eastAsia="楷体_GB2312" w:cs="宋体"/>
                <w:color w:val="000000"/>
                <w:kern w:val="0"/>
                <w:sz w:val="22"/>
              </w:rPr>
              <w:t xml:space="preserve">    </w:t>
            </w:r>
            <w:r w:rsidRPr="002A2BD0">
              <w:rPr>
                <w:rFonts w:ascii="楷体_GB2312" w:eastAsia="楷体_GB2312" w:cs="宋体" w:hint="eastAsia"/>
                <w:color w:val="000000"/>
                <w:kern w:val="0"/>
                <w:sz w:val="22"/>
              </w:rPr>
              <w:t>月</w:t>
            </w:r>
            <w:r w:rsidRPr="002A2BD0">
              <w:rPr>
                <w:rFonts w:ascii="楷体_GB2312" w:eastAsia="楷体_GB2312" w:cs="宋体"/>
                <w:color w:val="000000"/>
                <w:kern w:val="0"/>
                <w:sz w:val="22"/>
              </w:rPr>
              <w:t xml:space="preserve">   </w:t>
            </w:r>
            <w:r w:rsidRPr="002A2BD0">
              <w:rPr>
                <w:rFonts w:ascii="楷体_GB2312" w:eastAsia="楷体_GB2312" w:cs="宋体" w:hint="eastAsia"/>
                <w:color w:val="000000"/>
                <w:kern w:val="0"/>
                <w:sz w:val="22"/>
              </w:rPr>
              <w:t>日</w:t>
            </w:r>
          </w:p>
        </w:tc>
      </w:tr>
      <w:bookmarkEnd w:id="0"/>
    </w:tbl>
    <w:p w:rsidR="00674E79" w:rsidRDefault="00674E79">
      <w:pPr>
        <w:ind w:firstLineChars="200" w:firstLine="640"/>
        <w:rPr>
          <w:rFonts w:ascii="Times New Roman" w:eastAsia="仿宋_GB2312" w:cs="Times New Roman"/>
          <w:sz w:val="32"/>
          <w:szCs w:val="32"/>
        </w:rPr>
      </w:pPr>
    </w:p>
    <w:sectPr w:rsidR="00674E79" w:rsidSect="00674E79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42" w:rsidRDefault="00073342" w:rsidP="00674E79">
      <w:r>
        <w:separator/>
      </w:r>
    </w:p>
  </w:endnote>
  <w:endnote w:type="continuationSeparator" w:id="0">
    <w:p w:rsidR="00073342" w:rsidRDefault="00073342" w:rsidP="0067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Lucida Sans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标雅宋_GBK">
    <w:altName w:val="Arial Unicode MS"/>
    <w:charset w:val="86"/>
    <w:family w:val="script"/>
    <w:pitch w:val="variable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48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831B5A" w:rsidRPr="002A2BD0" w:rsidRDefault="00831B5A">
        <w:pPr>
          <w:pStyle w:val="a4"/>
          <w:jc w:val="center"/>
          <w:rPr>
            <w:rFonts w:asciiTheme="minorHAnsi" w:hAnsiTheme="minorHAnsi" w:cstheme="minorHAnsi"/>
          </w:rPr>
        </w:pPr>
        <w:r w:rsidRPr="002A2BD0">
          <w:rPr>
            <w:rFonts w:asciiTheme="minorHAnsi" w:hAnsiTheme="minorHAnsi" w:cstheme="minorHAnsi"/>
          </w:rPr>
          <w:fldChar w:fldCharType="begin"/>
        </w:r>
        <w:r w:rsidRPr="002A2BD0">
          <w:rPr>
            <w:rFonts w:asciiTheme="minorHAnsi" w:hAnsiTheme="minorHAnsi" w:cstheme="minorHAnsi"/>
          </w:rPr>
          <w:instrText xml:space="preserve"> PAGE   \* MERGEFORMAT </w:instrText>
        </w:r>
        <w:r w:rsidRPr="002A2BD0">
          <w:rPr>
            <w:rFonts w:asciiTheme="minorHAnsi" w:hAnsiTheme="minorHAnsi" w:cstheme="minorHAnsi"/>
          </w:rPr>
          <w:fldChar w:fldCharType="separate"/>
        </w:r>
        <w:r w:rsidR="00CC2137" w:rsidRPr="00CC2137">
          <w:rPr>
            <w:rFonts w:asciiTheme="minorHAnsi" w:hAnsiTheme="minorHAnsi" w:cstheme="minorHAnsi"/>
            <w:noProof/>
            <w:lang w:val="zh-CN"/>
          </w:rPr>
          <w:t>6</w:t>
        </w:r>
        <w:r w:rsidRPr="002A2BD0">
          <w:rPr>
            <w:rFonts w:asciiTheme="minorHAnsi" w:hAnsiTheme="minorHAnsi" w:cstheme="minorHAnsi"/>
          </w:rPr>
          <w:fldChar w:fldCharType="end"/>
        </w:r>
      </w:p>
    </w:sdtContent>
  </w:sdt>
  <w:sdt>
    <w:sdtPr>
      <w:rPr>
        <w:sz w:val="18"/>
        <w:szCs w:val="18"/>
      </w:rPr>
      <w:id w:val="1549122748"/>
      <w:docPartList>
        <w:docPartGallery w:val="AutoText"/>
      </w:docPartList>
    </w:sdtPr>
    <w:sdtEndPr/>
    <w:sdtContent>
      <w:p w:rsidR="00000000" w:rsidRDefault="00073342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42" w:rsidRDefault="00073342" w:rsidP="00674E79">
      <w:r>
        <w:separator/>
      </w:r>
    </w:p>
  </w:footnote>
  <w:footnote w:type="continuationSeparator" w:id="0">
    <w:p w:rsidR="00073342" w:rsidRDefault="00073342" w:rsidP="00674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284E"/>
    <w:multiLevelType w:val="multilevel"/>
    <w:tmpl w:val="10FF284E"/>
    <w:lvl w:ilvl="0">
      <w:start w:val="1"/>
      <w:numFmt w:val="japaneseCounting"/>
      <w:lvlRestart w:val="0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674E79"/>
    <w:rsid w:val="00073342"/>
    <w:rsid w:val="002A2BD0"/>
    <w:rsid w:val="00674E79"/>
    <w:rsid w:val="00831B5A"/>
    <w:rsid w:val="00917AD5"/>
    <w:rsid w:val="00CC2137"/>
    <w:rsid w:val="00D2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2E4EDD-6E51-4100-96E1-88719205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74E79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rsid w:val="00674E7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674E79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674E7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74E79"/>
    <w:pPr>
      <w:ind w:leftChars="2500" w:left="2500"/>
    </w:pPr>
  </w:style>
  <w:style w:type="paragraph" w:styleId="a4">
    <w:name w:val="footer"/>
    <w:basedOn w:val="a"/>
    <w:link w:val="Char"/>
    <w:uiPriority w:val="99"/>
    <w:rsid w:val="00674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674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674E7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styleId="a7">
    <w:name w:val="List Paragraph"/>
    <w:basedOn w:val="a"/>
    <w:rsid w:val="00674E79"/>
    <w:pPr>
      <w:ind w:firstLineChars="200" w:firstLine="200"/>
    </w:pPr>
  </w:style>
  <w:style w:type="paragraph" w:customStyle="1" w:styleId="10">
    <w:name w:val="修订1"/>
    <w:rsid w:val="00674E79"/>
    <w:rPr>
      <w:rFonts w:ascii="等线" w:eastAsia="等线" w:cs="Arial"/>
      <w:kern w:val="2"/>
      <w:sz w:val="21"/>
      <w:szCs w:val="22"/>
    </w:rPr>
  </w:style>
  <w:style w:type="paragraph" w:customStyle="1" w:styleId="20">
    <w:name w:val="修订2"/>
    <w:rsid w:val="00674E79"/>
    <w:rPr>
      <w:rFonts w:ascii="等线" w:eastAsia="等线" w:cs="Arial"/>
      <w:kern w:val="2"/>
      <w:sz w:val="21"/>
      <w:szCs w:val="22"/>
    </w:rPr>
  </w:style>
  <w:style w:type="paragraph" w:styleId="11">
    <w:name w:val="toc 1"/>
    <w:basedOn w:val="a"/>
    <w:next w:val="a"/>
    <w:autoRedefine/>
    <w:rsid w:val="00674E79"/>
  </w:style>
  <w:style w:type="paragraph" w:styleId="21">
    <w:name w:val="toc 2"/>
    <w:basedOn w:val="a"/>
    <w:next w:val="a"/>
    <w:autoRedefine/>
    <w:rsid w:val="00674E79"/>
    <w:pPr>
      <w:ind w:left="420"/>
    </w:pPr>
  </w:style>
  <w:style w:type="paragraph" w:styleId="30">
    <w:name w:val="toc 3"/>
    <w:basedOn w:val="a"/>
    <w:next w:val="a"/>
    <w:autoRedefine/>
    <w:rsid w:val="00674E79"/>
    <w:pPr>
      <w:ind w:left="840"/>
    </w:pPr>
  </w:style>
  <w:style w:type="paragraph" w:styleId="4">
    <w:name w:val="toc 4"/>
    <w:basedOn w:val="a"/>
    <w:next w:val="a"/>
    <w:autoRedefine/>
    <w:rsid w:val="00674E79"/>
    <w:pPr>
      <w:ind w:left="1260"/>
    </w:pPr>
  </w:style>
  <w:style w:type="paragraph" w:styleId="5">
    <w:name w:val="toc 5"/>
    <w:basedOn w:val="a"/>
    <w:next w:val="a"/>
    <w:autoRedefine/>
    <w:rsid w:val="00674E79"/>
    <w:pPr>
      <w:ind w:left="1680"/>
    </w:pPr>
  </w:style>
  <w:style w:type="paragraph" w:styleId="a8">
    <w:name w:val="Balloon Text"/>
    <w:basedOn w:val="a"/>
    <w:link w:val="Char0"/>
    <w:uiPriority w:val="99"/>
    <w:semiHidden/>
    <w:unhideWhenUsed/>
    <w:rsid w:val="00831B5A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831B5A"/>
    <w:rPr>
      <w:rFonts w:ascii="等线" w:eastAsia="等线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31B5A"/>
    <w:rPr>
      <w:rFonts w:ascii="等线" w:eastAsia="等线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451</Words>
  <Characters>2574</Characters>
  <Application>Microsoft Office Word</Application>
  <DocSecurity>0</DocSecurity>
  <Lines>21</Lines>
  <Paragraphs>6</Paragraphs>
  <ScaleCrop>false</ScaleCrop>
  <Company>Microsoft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jie</dc:creator>
  <cp:lastModifiedBy>吴玫玫</cp:lastModifiedBy>
  <cp:revision>3</cp:revision>
  <dcterms:created xsi:type="dcterms:W3CDTF">2023-08-01T09:07:00Z</dcterms:created>
  <dcterms:modified xsi:type="dcterms:W3CDTF">2023-08-21T07:00:00Z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5D38AB6DE3A546048AD5A79A0158E45A</vt:lpwstr>
  </property>
</Properties>
</file>