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color w:val="000000" w:themeColor="text1"/>
          <w:sz w:val="36"/>
          <w:szCs w:val="22"/>
          <w14:textFill>
            <w14:solidFill>
              <w14:schemeClr w14:val="tx1"/>
            </w14:solidFill>
          </w14:textFill>
        </w:rPr>
      </w:pPr>
      <w:bookmarkStart w:id="23" w:name="_GoBack"/>
      <w:bookmarkEnd w:id="23"/>
    </w:p>
    <w:p>
      <w:pPr>
        <w:ind w:firstLine="0" w:firstLineChars="0"/>
        <w:jc w:val="center"/>
        <w:rPr>
          <w:color w:val="000000" w:themeColor="text1"/>
          <w:sz w:val="36"/>
          <w:szCs w:val="22"/>
          <w14:textFill>
            <w14:solidFill>
              <w14:schemeClr w14:val="tx1"/>
            </w14:solidFill>
          </w14:textFill>
        </w:rPr>
      </w:pPr>
    </w:p>
    <w:p>
      <w:pPr>
        <w:ind w:firstLine="0" w:firstLineChars="0"/>
        <w:jc w:val="center"/>
        <w:rPr>
          <w:b/>
          <w:bCs/>
          <w:color w:val="000000" w:themeColor="text1"/>
          <w:sz w:val="36"/>
          <w:szCs w:val="22"/>
          <w14:textFill>
            <w14:solidFill>
              <w14:schemeClr w14:val="tx1"/>
            </w14:solidFill>
          </w14:textFill>
        </w:rPr>
      </w:pPr>
      <w:r>
        <w:rPr>
          <w:b/>
          <w:bCs/>
          <w:color w:val="000000" w:themeColor="text1"/>
          <w:sz w:val="36"/>
          <w:szCs w:val="22"/>
          <w14:textFill>
            <w14:solidFill>
              <w14:schemeClr w14:val="tx1"/>
            </w14:solidFill>
          </w14:textFill>
        </w:rPr>
        <w:t>上海市地方标准化指导性技术文件</w:t>
      </w:r>
    </w:p>
    <w:p>
      <w:pPr>
        <w:pStyle w:val="33"/>
        <w:jc w:val="distribute"/>
      </w:pPr>
      <w:r>
        <w:rPr>
          <w:rFonts w:hint="eastAsia"/>
        </w:rPr>
        <w:t>《水利专项项目数据资产归集技术导则》</w:t>
      </w:r>
    </w:p>
    <w:p>
      <w:pPr>
        <w:pStyle w:val="33"/>
      </w:pPr>
    </w:p>
    <w:p>
      <w:pPr>
        <w:pStyle w:val="33"/>
      </w:pPr>
    </w:p>
    <w:p>
      <w:pPr>
        <w:pStyle w:val="33"/>
      </w:pPr>
      <w:r>
        <w:rPr>
          <w:rFonts w:hint="eastAsia"/>
        </w:rPr>
        <w:t>编制说明</w:t>
      </w:r>
    </w:p>
    <w:p>
      <w:pPr>
        <w:pStyle w:val="33"/>
      </w:pPr>
    </w:p>
    <w:p>
      <w:pPr>
        <w:ind w:firstLine="0" w:firstLineChars="0"/>
        <w:jc w:val="center"/>
        <w:rPr>
          <w:rFonts w:eastAsia="黑体"/>
          <w:color w:val="000000" w:themeColor="text1"/>
          <w:sz w:val="44"/>
          <w:szCs w:val="44"/>
          <w14:textFill>
            <w14:solidFill>
              <w14:schemeClr w14:val="tx1"/>
            </w14:solidFill>
          </w14:textFill>
        </w:rPr>
      </w:pPr>
    </w:p>
    <w:p>
      <w:pPr>
        <w:spacing w:line="240" w:lineRule="auto"/>
        <w:ind w:firstLine="0" w:firstLineChars="0"/>
        <w:jc w:val="center"/>
        <w:rPr>
          <w:rFonts w:eastAsia="黑体"/>
          <w:color w:val="000000" w:themeColor="text1"/>
          <w:sz w:val="52"/>
          <w:szCs w:val="52"/>
          <w14:textFill>
            <w14:solidFill>
              <w14:schemeClr w14:val="tx1"/>
            </w14:solidFill>
          </w14:textFill>
        </w:rPr>
      </w:pPr>
    </w:p>
    <w:p>
      <w:pPr>
        <w:spacing w:line="240" w:lineRule="auto"/>
        <w:ind w:firstLine="0" w:firstLineChars="0"/>
        <w:jc w:val="center"/>
        <w:rPr>
          <w:rFonts w:eastAsia="黑体"/>
          <w:color w:val="000000" w:themeColor="text1"/>
          <w:sz w:val="52"/>
          <w:szCs w:val="52"/>
          <w14:textFill>
            <w14:solidFill>
              <w14:schemeClr w14:val="tx1"/>
            </w14:solidFill>
          </w14:textFill>
        </w:rPr>
      </w:pPr>
    </w:p>
    <w:p>
      <w:pPr>
        <w:spacing w:line="240" w:lineRule="auto"/>
        <w:ind w:firstLine="0" w:firstLineChars="0"/>
        <w:jc w:val="center"/>
        <w:rPr>
          <w:rFonts w:eastAsia="黑体"/>
          <w:color w:val="000000" w:themeColor="text1"/>
          <w:sz w:val="52"/>
          <w:szCs w:val="52"/>
          <w14:textFill>
            <w14:solidFill>
              <w14:schemeClr w14:val="tx1"/>
            </w14:solidFill>
          </w14:textFill>
        </w:rPr>
      </w:pPr>
    </w:p>
    <w:p>
      <w:pPr>
        <w:spacing w:line="240" w:lineRule="auto"/>
        <w:ind w:firstLine="0" w:firstLineChars="0"/>
        <w:jc w:val="center"/>
        <w:rPr>
          <w:rFonts w:eastAsia="黑体"/>
          <w:color w:val="000000" w:themeColor="text1"/>
          <w:sz w:val="52"/>
          <w:szCs w:val="52"/>
          <w14:textFill>
            <w14:solidFill>
              <w14:schemeClr w14:val="tx1"/>
            </w14:solidFill>
          </w14:textFill>
        </w:rPr>
      </w:pPr>
    </w:p>
    <w:p>
      <w:pPr>
        <w:spacing w:line="240" w:lineRule="auto"/>
        <w:ind w:firstLine="0" w:firstLineChars="0"/>
        <w:jc w:val="center"/>
        <w:rPr>
          <w:rFonts w:eastAsia="黑体"/>
          <w:color w:val="000000" w:themeColor="text1"/>
          <w:sz w:val="52"/>
          <w:szCs w:val="52"/>
          <w14:textFill>
            <w14:solidFill>
              <w14:schemeClr w14:val="tx1"/>
            </w14:solidFill>
          </w14:textFill>
        </w:rPr>
      </w:pPr>
    </w:p>
    <w:p>
      <w:pPr>
        <w:spacing w:line="240" w:lineRule="auto"/>
        <w:ind w:firstLine="0" w:firstLineChars="0"/>
        <w:jc w:val="center"/>
        <w:rPr>
          <w:rFonts w:eastAsia="黑体"/>
          <w:color w:val="000000" w:themeColor="text1"/>
          <w:sz w:val="36"/>
          <w:szCs w:val="36"/>
          <w14:textFill>
            <w14:solidFill>
              <w14:schemeClr w14:val="tx1"/>
            </w14:solidFill>
          </w14:textFill>
        </w:rPr>
      </w:pPr>
      <w:r>
        <w:rPr>
          <w:rFonts w:eastAsia="黑体"/>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column">
              <wp:posOffset>5104765</wp:posOffset>
            </wp:positionH>
            <wp:positionV relativeFrom="paragraph">
              <wp:posOffset>8027035</wp:posOffset>
            </wp:positionV>
            <wp:extent cx="1078865" cy="1139825"/>
            <wp:effectExtent l="0" t="0" r="6985" b="317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078865" cy="1139825"/>
                    </a:xfrm>
                    <a:prstGeom prst="rect">
                      <a:avLst/>
                    </a:prstGeom>
                    <a:noFill/>
                  </pic:spPr>
                </pic:pic>
              </a:graphicData>
            </a:graphic>
          </wp:anchor>
        </w:drawing>
      </w:r>
    </w:p>
    <w:p>
      <w:pPr>
        <w:spacing w:line="240" w:lineRule="auto"/>
        <w:ind w:firstLine="0" w:firstLineChars="0"/>
        <w:jc w:val="center"/>
        <w:rPr>
          <w:rFonts w:eastAsia="黑体"/>
          <w:color w:val="000000" w:themeColor="text1"/>
          <w:sz w:val="36"/>
          <w:szCs w:val="36"/>
          <w14:textFill>
            <w14:solidFill>
              <w14:schemeClr w14:val="tx1"/>
            </w14:solidFill>
          </w14:textFill>
        </w:rPr>
      </w:pPr>
      <w:r>
        <w:rPr>
          <w:rFonts w:eastAsia="黑体"/>
          <w:color w:val="000000" w:themeColor="text1"/>
          <w:sz w:val="36"/>
          <w:szCs w:val="36"/>
          <w14:textFill>
            <w14:solidFill>
              <w14:schemeClr w14:val="tx1"/>
            </w14:solidFill>
          </w14:textFill>
        </w:rPr>
        <w:t>《水利专项项目数据资产归集技术导则》</w:t>
      </w:r>
    </w:p>
    <w:p>
      <w:pPr>
        <w:spacing w:line="240" w:lineRule="auto"/>
        <w:ind w:firstLine="0" w:firstLineChars="0"/>
        <w:jc w:val="center"/>
        <w:rPr>
          <w:rFonts w:eastAsia="黑体"/>
          <w:color w:val="000000" w:themeColor="text1"/>
          <w:sz w:val="36"/>
          <w:szCs w:val="36"/>
          <w14:textFill>
            <w14:solidFill>
              <w14:schemeClr w14:val="tx1"/>
            </w14:solidFill>
          </w14:textFill>
        </w:rPr>
      </w:pPr>
      <w:r>
        <w:rPr>
          <w:rFonts w:hint="eastAsia" w:eastAsia="黑体"/>
          <w:color w:val="000000" w:themeColor="text1"/>
          <w:sz w:val="36"/>
          <w:szCs w:val="36"/>
          <w14:textFill>
            <w14:solidFill>
              <w14:schemeClr w14:val="tx1"/>
            </w14:solidFill>
          </w14:textFill>
        </w:rPr>
        <w:t>编制组</w:t>
      </w:r>
    </w:p>
    <w:p>
      <w:pPr>
        <w:pStyle w:val="34"/>
        <w:rPr>
          <w:rFonts w:hint="eastAsia"/>
        </w:rPr>
      </w:pPr>
      <w:r>
        <w:t>二</w:t>
      </w:r>
      <w:r>
        <w:rPr>
          <w:rFonts w:hint="eastAsia"/>
          <w:lang w:eastAsia="zh-CN"/>
        </w:rPr>
        <w:t>〇</w:t>
      </w:r>
      <w:r>
        <w:t>二</w:t>
      </w:r>
      <w:r>
        <w:rPr>
          <w:rFonts w:hint="eastAsia"/>
        </w:rPr>
        <w:t>六</w:t>
      </w:r>
      <w:r>
        <w:t>年</w:t>
      </w:r>
      <w:r>
        <w:rPr>
          <w:rFonts w:hint="eastAsia"/>
        </w:rPr>
        <w:t>十</w:t>
      </w:r>
      <w:r>
        <w:t>月</w:t>
      </w:r>
    </w:p>
    <w:p>
      <w:pPr>
        <w:ind w:firstLine="720"/>
        <w:rPr>
          <w:color w:val="000000" w:themeColor="text1"/>
          <w:sz w:val="36"/>
          <w:szCs w:val="36"/>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type w:val="continuous"/>
          <w:pgSz w:w="11907" w:h="16839"/>
          <w:pgMar w:top="1440" w:right="1440" w:bottom="1440" w:left="1440" w:header="851" w:footer="992" w:gutter="0"/>
          <w:cols w:space="720" w:num="1"/>
          <w:docGrid w:linePitch="381" w:charSpace="0"/>
        </w:sectPr>
      </w:pPr>
    </w:p>
    <w:p>
      <w:pPr>
        <w:pStyle w:val="35"/>
        <w:spacing w:before="114"/>
        <w:rPr>
          <w:rFonts w:hint="eastAsia"/>
        </w:rPr>
      </w:pPr>
      <w:r>
        <w:t>目</w:t>
      </w:r>
      <w:r>
        <w:rPr>
          <w:rFonts w:hint="eastAsia"/>
        </w:rPr>
        <w:t xml:space="preserve">  </w:t>
      </w:r>
      <w:r>
        <w:t>录</w:t>
      </w:r>
      <w:r>
        <w:fldChar w:fldCharType="begin"/>
      </w:r>
      <w:r>
        <w:instrText xml:space="preserve"> </w:instrText>
      </w:r>
      <w:r>
        <w:rPr>
          <w:rFonts w:hint="eastAsia"/>
        </w:rPr>
        <w:instrText xml:space="preserve">TOC \o "1-2" \h \z \u</w:instrText>
      </w:r>
      <w:r>
        <w:instrText xml:space="preserve"> </w:instrText>
      </w:r>
      <w:r>
        <w:fldChar w:fldCharType="separate"/>
      </w:r>
    </w:p>
    <w:p>
      <w:pPr>
        <w:pStyle w:val="18"/>
        <w:rPr>
          <w:rFonts w:hint="eastAsia" w:asciiTheme="minorHAnsi" w:hAnsiTheme="minorHAnsi" w:eastAsiaTheme="minorEastAsia" w:cstheme="minorBidi"/>
          <w:b w:val="0"/>
          <w:caps w:val="0"/>
          <w:sz w:val="22"/>
          <w:szCs w:val="24"/>
          <w14:ligatures w14:val="standardContextual"/>
        </w:rPr>
      </w:pPr>
      <w:r>
        <w:fldChar w:fldCharType="begin"/>
      </w:r>
      <w:r>
        <w:instrText xml:space="preserve"> HYPERLINK \l "_Toc242450699" </w:instrText>
      </w:r>
      <w:r>
        <w:fldChar w:fldCharType="separate"/>
      </w:r>
      <w:r>
        <w:rPr>
          <w:rStyle w:val="29"/>
        </w:rPr>
        <w:t>1</w:t>
      </w:r>
      <w:r>
        <w:rPr>
          <w:rFonts w:hint="eastAsia" w:asciiTheme="minorHAnsi" w:hAnsiTheme="minorHAnsi" w:eastAsiaTheme="minorEastAsia" w:cstheme="minorBidi"/>
          <w:b w:val="0"/>
          <w:caps w:val="0"/>
          <w:sz w:val="22"/>
          <w:szCs w:val="24"/>
          <w14:ligatures w14:val="standardContextual"/>
        </w:rPr>
        <w:tab/>
      </w:r>
      <w:r>
        <w:rPr>
          <w:rStyle w:val="29"/>
        </w:rPr>
        <w:t>工作简况</w:t>
      </w:r>
      <w:r>
        <w:rPr>
          <w:rFonts w:hint="eastAsia"/>
        </w:rPr>
        <w:tab/>
      </w:r>
      <w:r>
        <w:rPr>
          <w:rFonts w:hint="eastAsia"/>
        </w:rPr>
        <w:fldChar w:fldCharType="begin"/>
      </w:r>
      <w:r>
        <w:rPr>
          <w:rFonts w:hint="eastAsia"/>
        </w:rPr>
        <w:instrText xml:space="preserve"> </w:instrText>
      </w:r>
      <w:r>
        <w:instrText xml:space="preserve">PAGEREF _Toc242450699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2"/>
        <w:rPr>
          <w:rFonts w:hint="eastAsia" w:asciiTheme="minorHAnsi" w:hAnsiTheme="minorHAnsi" w:eastAsiaTheme="minorEastAsia" w:cstheme="minorBidi"/>
          <w:bCs w:val="0"/>
          <w:smallCaps w:val="0"/>
          <w:sz w:val="22"/>
          <w:szCs w:val="24"/>
          <w14:ligatures w14:val="standardContextual"/>
        </w:rPr>
      </w:pPr>
      <w:r>
        <w:fldChar w:fldCharType="begin"/>
      </w:r>
      <w:r>
        <w:instrText xml:space="preserve"> HYPERLINK \l "_Toc242450700" </w:instrText>
      </w:r>
      <w:r>
        <w:fldChar w:fldCharType="separate"/>
      </w:r>
      <w:r>
        <w:rPr>
          <w:rStyle w:val="29"/>
          <w:snapToGrid w:val="0"/>
          <w:kern w:val="32"/>
        </w:rPr>
        <w:t>1.1</w:t>
      </w:r>
      <w:r>
        <w:rPr>
          <w:rStyle w:val="29"/>
        </w:rPr>
        <w:t xml:space="preserve"> 任务来源</w:t>
      </w:r>
      <w:r>
        <w:rPr>
          <w:rFonts w:hint="eastAsia"/>
        </w:rPr>
        <w:tab/>
      </w:r>
      <w:r>
        <w:rPr>
          <w:rFonts w:hint="eastAsia"/>
        </w:rPr>
        <w:fldChar w:fldCharType="begin"/>
      </w:r>
      <w:r>
        <w:rPr>
          <w:rFonts w:hint="eastAsia"/>
        </w:rPr>
        <w:instrText xml:space="preserve"> </w:instrText>
      </w:r>
      <w:r>
        <w:instrText xml:space="preserve">PAGEREF _Toc242450700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2"/>
        <w:rPr>
          <w:rFonts w:hint="eastAsia" w:asciiTheme="minorHAnsi" w:hAnsiTheme="minorHAnsi" w:eastAsiaTheme="minorEastAsia" w:cstheme="minorBidi"/>
          <w:bCs w:val="0"/>
          <w:smallCaps w:val="0"/>
          <w:sz w:val="22"/>
          <w:szCs w:val="24"/>
          <w14:ligatures w14:val="standardContextual"/>
        </w:rPr>
      </w:pPr>
      <w:r>
        <w:fldChar w:fldCharType="begin"/>
      </w:r>
      <w:r>
        <w:instrText xml:space="preserve"> HYPERLINK \l "_Toc242450701" </w:instrText>
      </w:r>
      <w:r>
        <w:fldChar w:fldCharType="separate"/>
      </w:r>
      <w:r>
        <w:rPr>
          <w:rStyle w:val="29"/>
          <w:snapToGrid w:val="0"/>
          <w:kern w:val="32"/>
        </w:rPr>
        <w:t>1.2</w:t>
      </w:r>
      <w:r>
        <w:rPr>
          <w:rStyle w:val="29"/>
        </w:rPr>
        <w:t xml:space="preserve"> 编制背景与目的意义</w:t>
      </w:r>
      <w:r>
        <w:rPr>
          <w:rFonts w:hint="eastAsia"/>
        </w:rPr>
        <w:tab/>
      </w:r>
      <w:r>
        <w:rPr>
          <w:rFonts w:hint="eastAsia"/>
        </w:rPr>
        <w:fldChar w:fldCharType="begin"/>
      </w:r>
      <w:r>
        <w:rPr>
          <w:rFonts w:hint="eastAsia"/>
        </w:rPr>
        <w:instrText xml:space="preserve"> </w:instrText>
      </w:r>
      <w:r>
        <w:instrText xml:space="preserve">PAGEREF _Toc242450701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2"/>
        <w:rPr>
          <w:rFonts w:hint="eastAsia" w:eastAsia="宋体" w:asciiTheme="minorHAnsi" w:hAnsiTheme="minorHAnsi" w:cstheme="minorBidi"/>
          <w:bCs w:val="0"/>
          <w:smallCaps w:val="0"/>
          <w:sz w:val="22"/>
          <w:szCs w:val="24"/>
          <w:lang w:eastAsia="zh-CN"/>
          <w14:ligatures w14:val="standardContextual"/>
        </w:rPr>
      </w:pPr>
      <w:r>
        <w:fldChar w:fldCharType="begin"/>
      </w:r>
      <w:r>
        <w:instrText xml:space="preserve"> HYPERLINK \l "_Toc242450702" </w:instrText>
      </w:r>
      <w:r>
        <w:fldChar w:fldCharType="separate"/>
      </w:r>
      <w:r>
        <w:rPr>
          <w:rStyle w:val="29"/>
          <w:snapToGrid w:val="0"/>
          <w:kern w:val="32"/>
          <w:lang w:val="zh-CN"/>
        </w:rPr>
        <w:t>1.3</w:t>
      </w:r>
      <w:r>
        <w:rPr>
          <w:rStyle w:val="29"/>
          <w:lang w:val="zh-CN"/>
        </w:rPr>
        <w:t xml:space="preserve"> 编制工作过程</w:t>
      </w:r>
      <w:r>
        <w:rPr>
          <w:rFonts w:hint="eastAsia"/>
        </w:rPr>
        <w:tab/>
      </w:r>
      <w:r>
        <w:rPr>
          <w:rFonts w:hint="eastAsia"/>
        </w:rPr>
        <w:fldChar w:fldCharType="end"/>
      </w:r>
      <w:r>
        <w:rPr>
          <w:rFonts w:hint="eastAsia"/>
          <w:lang w:val="en-US" w:eastAsia="zh-CN"/>
        </w:rPr>
        <w:t>3</w:t>
      </w:r>
    </w:p>
    <w:p>
      <w:pPr>
        <w:pStyle w:val="22"/>
        <w:rPr>
          <w:rFonts w:hint="eastAsia" w:eastAsia="宋体" w:asciiTheme="minorHAnsi" w:hAnsiTheme="minorHAnsi" w:cstheme="minorBidi"/>
          <w:bCs w:val="0"/>
          <w:smallCaps w:val="0"/>
          <w:sz w:val="22"/>
          <w:szCs w:val="24"/>
          <w:lang w:eastAsia="zh-CN"/>
          <w14:ligatures w14:val="standardContextual"/>
        </w:rPr>
      </w:pPr>
      <w:r>
        <w:fldChar w:fldCharType="begin"/>
      </w:r>
      <w:r>
        <w:instrText xml:space="preserve"> HYPERLINK \l "_Toc242450703" </w:instrText>
      </w:r>
      <w:r>
        <w:fldChar w:fldCharType="separate"/>
      </w:r>
      <w:r>
        <w:rPr>
          <w:rStyle w:val="29"/>
          <w:snapToGrid w:val="0"/>
          <w:kern w:val="32"/>
          <w:lang w:val="zh-CN"/>
        </w:rPr>
        <w:t>1.4</w:t>
      </w:r>
      <w:r>
        <w:rPr>
          <w:rStyle w:val="29"/>
          <w:lang w:val="zh-CN"/>
        </w:rPr>
        <w:t xml:space="preserve"> 编制组组成</w:t>
      </w:r>
      <w:r>
        <w:rPr>
          <w:rFonts w:hint="eastAsia"/>
        </w:rPr>
        <w:tab/>
      </w:r>
      <w:r>
        <w:rPr>
          <w:rFonts w:hint="eastAsia"/>
        </w:rPr>
        <w:fldChar w:fldCharType="end"/>
      </w:r>
      <w:r>
        <w:rPr>
          <w:rFonts w:hint="eastAsia"/>
          <w:lang w:val="en-US" w:eastAsia="zh-CN"/>
        </w:rPr>
        <w:t>4</w:t>
      </w:r>
    </w:p>
    <w:p>
      <w:pPr>
        <w:pStyle w:val="18"/>
        <w:rPr>
          <w:rFonts w:hint="eastAsia" w:eastAsia="宋体" w:asciiTheme="minorHAnsi" w:hAnsiTheme="minorHAnsi" w:cstheme="minorBidi"/>
          <w:b w:val="0"/>
          <w:caps w:val="0"/>
          <w:sz w:val="22"/>
          <w:szCs w:val="24"/>
          <w:lang w:eastAsia="zh-CN"/>
          <w14:ligatures w14:val="standardContextual"/>
        </w:rPr>
      </w:pPr>
      <w:r>
        <w:fldChar w:fldCharType="begin"/>
      </w:r>
      <w:r>
        <w:instrText xml:space="preserve"> HYPERLINK \l "_Toc242450704" </w:instrText>
      </w:r>
      <w:r>
        <w:fldChar w:fldCharType="separate"/>
      </w:r>
      <w:r>
        <w:rPr>
          <w:rStyle w:val="29"/>
          <w:lang w:val="zh-CN"/>
        </w:rPr>
        <w:t>2</w:t>
      </w:r>
      <w:r>
        <w:rPr>
          <w:rFonts w:hint="eastAsia" w:asciiTheme="minorHAnsi" w:hAnsiTheme="minorHAnsi" w:eastAsiaTheme="minorEastAsia" w:cstheme="minorBidi"/>
          <w:b w:val="0"/>
          <w:caps w:val="0"/>
          <w:sz w:val="22"/>
          <w:szCs w:val="24"/>
          <w14:ligatures w14:val="standardContextual"/>
        </w:rPr>
        <w:tab/>
      </w:r>
      <w:r>
        <w:rPr>
          <w:rStyle w:val="29"/>
          <w:lang w:val="zh-CN"/>
        </w:rPr>
        <w:t>标准编制原则和主要依据</w:t>
      </w:r>
      <w:r>
        <w:rPr>
          <w:rFonts w:hint="eastAsia"/>
        </w:rPr>
        <w:tab/>
      </w:r>
      <w:r>
        <w:rPr>
          <w:rFonts w:hint="eastAsia"/>
        </w:rPr>
        <w:fldChar w:fldCharType="end"/>
      </w:r>
      <w:r>
        <w:rPr>
          <w:rFonts w:hint="eastAsia"/>
          <w:lang w:val="en-US" w:eastAsia="zh-CN"/>
        </w:rPr>
        <w:t>6</w:t>
      </w:r>
    </w:p>
    <w:p>
      <w:pPr>
        <w:pStyle w:val="22"/>
        <w:rPr>
          <w:rFonts w:hint="eastAsia" w:eastAsia="宋体" w:asciiTheme="minorHAnsi" w:hAnsiTheme="minorHAnsi" w:cstheme="minorBidi"/>
          <w:bCs w:val="0"/>
          <w:smallCaps w:val="0"/>
          <w:sz w:val="22"/>
          <w:szCs w:val="24"/>
          <w:lang w:eastAsia="zh-CN"/>
          <w14:ligatures w14:val="standardContextual"/>
        </w:rPr>
      </w:pPr>
      <w:r>
        <w:fldChar w:fldCharType="begin"/>
      </w:r>
      <w:r>
        <w:instrText xml:space="preserve"> HYPERLINK \l "_Toc242450705" </w:instrText>
      </w:r>
      <w:r>
        <w:fldChar w:fldCharType="separate"/>
      </w:r>
      <w:r>
        <w:rPr>
          <w:rStyle w:val="29"/>
          <w:snapToGrid w:val="0"/>
          <w:kern w:val="32"/>
          <w:lang w:val="zh-CN"/>
        </w:rPr>
        <w:t>2.1</w:t>
      </w:r>
      <w:r>
        <w:rPr>
          <w:rStyle w:val="29"/>
          <w:lang w:val="zh-CN"/>
        </w:rPr>
        <w:t xml:space="preserve"> 编制原则</w:t>
      </w:r>
      <w:r>
        <w:rPr>
          <w:rFonts w:hint="eastAsia"/>
        </w:rPr>
        <w:tab/>
      </w:r>
      <w:r>
        <w:rPr>
          <w:rFonts w:hint="eastAsia"/>
        </w:rPr>
        <w:fldChar w:fldCharType="end"/>
      </w:r>
      <w:r>
        <w:rPr>
          <w:rFonts w:hint="eastAsia"/>
          <w:lang w:val="en-US" w:eastAsia="zh-CN"/>
        </w:rPr>
        <w:t>6</w:t>
      </w:r>
    </w:p>
    <w:p>
      <w:pPr>
        <w:pStyle w:val="22"/>
        <w:rPr>
          <w:rFonts w:hint="eastAsia" w:eastAsia="宋体" w:asciiTheme="minorHAnsi" w:hAnsiTheme="minorHAnsi" w:cstheme="minorBidi"/>
          <w:bCs w:val="0"/>
          <w:smallCaps w:val="0"/>
          <w:sz w:val="22"/>
          <w:szCs w:val="24"/>
          <w:lang w:eastAsia="zh-CN"/>
          <w14:ligatures w14:val="standardContextual"/>
        </w:rPr>
      </w:pPr>
      <w:r>
        <w:fldChar w:fldCharType="begin"/>
      </w:r>
      <w:r>
        <w:instrText xml:space="preserve"> HYPERLINK \l "_Toc242450706" </w:instrText>
      </w:r>
      <w:r>
        <w:fldChar w:fldCharType="separate"/>
      </w:r>
      <w:r>
        <w:rPr>
          <w:rStyle w:val="29"/>
          <w:snapToGrid w:val="0"/>
          <w:kern w:val="32"/>
          <w:lang w:val="zh-CN"/>
        </w:rPr>
        <w:t>2.2</w:t>
      </w:r>
      <w:r>
        <w:rPr>
          <w:rStyle w:val="29"/>
          <w:lang w:val="zh-CN"/>
        </w:rPr>
        <w:t xml:space="preserve"> 主要编制依据</w:t>
      </w:r>
      <w:r>
        <w:rPr>
          <w:rFonts w:hint="eastAsia"/>
        </w:rPr>
        <w:tab/>
      </w:r>
      <w:r>
        <w:rPr>
          <w:rFonts w:hint="eastAsia"/>
        </w:rPr>
        <w:fldChar w:fldCharType="end"/>
      </w:r>
      <w:r>
        <w:rPr>
          <w:rFonts w:hint="eastAsia"/>
          <w:lang w:val="en-US" w:eastAsia="zh-CN"/>
        </w:rPr>
        <w:t>6</w:t>
      </w:r>
    </w:p>
    <w:p>
      <w:pPr>
        <w:pStyle w:val="18"/>
        <w:rPr>
          <w:rFonts w:hint="default" w:eastAsia="宋体" w:asciiTheme="minorHAnsi" w:hAnsiTheme="minorHAnsi" w:cstheme="minorBidi"/>
          <w:b w:val="0"/>
          <w:caps w:val="0"/>
          <w:sz w:val="22"/>
          <w:szCs w:val="24"/>
          <w:lang w:val="en-US" w:eastAsia="zh-CN"/>
          <w14:ligatures w14:val="standardContextual"/>
        </w:rPr>
      </w:pPr>
      <w:r>
        <w:fldChar w:fldCharType="begin"/>
      </w:r>
      <w:r>
        <w:instrText xml:space="preserve"> HYPERLINK \l "_Toc242450707" </w:instrText>
      </w:r>
      <w:r>
        <w:fldChar w:fldCharType="separate"/>
      </w:r>
      <w:r>
        <w:rPr>
          <w:rStyle w:val="29"/>
          <w:lang w:val="zh-CN"/>
        </w:rPr>
        <w:t>3</w:t>
      </w:r>
      <w:r>
        <w:rPr>
          <w:rFonts w:hint="eastAsia" w:asciiTheme="minorHAnsi" w:hAnsiTheme="minorHAnsi" w:eastAsiaTheme="minorEastAsia" w:cstheme="minorBidi"/>
          <w:b w:val="0"/>
          <w:caps w:val="0"/>
          <w:sz w:val="22"/>
          <w:szCs w:val="24"/>
          <w14:ligatures w14:val="standardContextual"/>
        </w:rPr>
        <w:tab/>
      </w:r>
      <w:r>
        <w:rPr>
          <w:rStyle w:val="29"/>
          <w:lang w:val="zh-CN"/>
        </w:rPr>
        <w:t>国内外及国内地方相关制度、标准对比分析</w:t>
      </w:r>
      <w:r>
        <w:rPr>
          <w:rFonts w:hint="eastAsia"/>
        </w:rPr>
        <w:tab/>
      </w:r>
      <w:r>
        <w:rPr>
          <w:rFonts w:hint="eastAsia"/>
        </w:rPr>
        <w:fldChar w:fldCharType="end"/>
      </w:r>
      <w:r>
        <w:rPr>
          <w:rFonts w:hint="eastAsia"/>
          <w:lang w:val="en-US" w:eastAsia="zh-CN"/>
        </w:rPr>
        <w:t>10</w:t>
      </w:r>
    </w:p>
    <w:p>
      <w:pPr>
        <w:pStyle w:val="22"/>
        <w:rPr>
          <w:rFonts w:hint="default" w:eastAsia="宋体" w:asciiTheme="minorHAnsi" w:hAnsiTheme="minorHAnsi" w:cstheme="minorBidi"/>
          <w:bCs w:val="0"/>
          <w:smallCaps w:val="0"/>
          <w:sz w:val="22"/>
          <w:szCs w:val="24"/>
          <w:lang w:val="en-US" w:eastAsia="zh-CN"/>
          <w14:ligatures w14:val="standardContextual"/>
        </w:rPr>
      </w:pPr>
      <w:r>
        <w:fldChar w:fldCharType="begin"/>
      </w:r>
      <w:r>
        <w:instrText xml:space="preserve"> HYPERLINK \l "_Toc242450708" </w:instrText>
      </w:r>
      <w:r>
        <w:fldChar w:fldCharType="separate"/>
      </w:r>
      <w:r>
        <w:rPr>
          <w:rStyle w:val="29"/>
          <w:snapToGrid w:val="0"/>
          <w:kern w:val="32"/>
          <w:lang w:val="zh-CN"/>
        </w:rPr>
        <w:t>3.1</w:t>
      </w:r>
      <w:r>
        <w:rPr>
          <w:rStyle w:val="29"/>
          <w:lang w:val="zh-CN"/>
        </w:rPr>
        <w:t xml:space="preserve"> 国外相关制度、实践及数据资产定义</w:t>
      </w:r>
      <w:r>
        <w:rPr>
          <w:rFonts w:hint="eastAsia"/>
        </w:rPr>
        <w:tab/>
      </w:r>
      <w:r>
        <w:rPr>
          <w:rFonts w:hint="eastAsia"/>
        </w:rPr>
        <w:fldChar w:fldCharType="end"/>
      </w:r>
      <w:r>
        <w:rPr>
          <w:rFonts w:hint="eastAsia"/>
          <w:lang w:val="en-US" w:eastAsia="zh-CN"/>
        </w:rPr>
        <w:t>10</w:t>
      </w:r>
    </w:p>
    <w:p>
      <w:pPr>
        <w:pStyle w:val="22"/>
        <w:rPr>
          <w:rFonts w:hint="eastAsia" w:eastAsia="宋体" w:asciiTheme="minorHAnsi" w:hAnsiTheme="minorHAnsi" w:cstheme="minorBidi"/>
          <w:bCs w:val="0"/>
          <w:smallCaps w:val="0"/>
          <w:sz w:val="22"/>
          <w:szCs w:val="24"/>
          <w:lang w:eastAsia="zh-CN"/>
          <w14:ligatures w14:val="standardContextual"/>
        </w:rPr>
      </w:pPr>
      <w:r>
        <w:fldChar w:fldCharType="begin"/>
      </w:r>
      <w:r>
        <w:instrText xml:space="preserve"> HYPERLINK \l "_Toc242450709" </w:instrText>
      </w:r>
      <w:r>
        <w:fldChar w:fldCharType="separate"/>
      </w:r>
      <w:r>
        <w:rPr>
          <w:rStyle w:val="29"/>
          <w:snapToGrid w:val="0"/>
          <w:kern w:val="32"/>
          <w:lang w:val="zh-CN"/>
        </w:rPr>
        <w:t>3.2</w:t>
      </w:r>
      <w:r>
        <w:rPr>
          <w:rStyle w:val="29"/>
          <w:lang w:val="zh-CN"/>
        </w:rPr>
        <w:t xml:space="preserve"> 国内国家级政策、标准现状及数据资产定义</w:t>
      </w:r>
      <w:r>
        <w:rPr>
          <w:rFonts w:hint="eastAsia"/>
        </w:rPr>
        <w:tab/>
      </w:r>
      <w:r>
        <w:rPr>
          <w:rFonts w:hint="eastAsia"/>
        </w:rPr>
        <w:fldChar w:fldCharType="begin"/>
      </w:r>
      <w:r>
        <w:rPr>
          <w:rFonts w:hint="eastAsia"/>
        </w:rPr>
        <w:instrText xml:space="preserve"> </w:instrText>
      </w:r>
      <w:r>
        <w:instrText xml:space="preserve">PAGEREF _Toc242450709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r>
        <w:rPr>
          <w:rFonts w:hint="eastAsia"/>
          <w:lang w:val="en-US" w:eastAsia="zh-CN"/>
        </w:rPr>
        <w:t>2</w:t>
      </w:r>
    </w:p>
    <w:p>
      <w:pPr>
        <w:pStyle w:val="22"/>
        <w:rPr>
          <w:rFonts w:hint="eastAsia" w:eastAsia="宋体" w:asciiTheme="minorHAnsi" w:hAnsiTheme="minorHAnsi" w:cstheme="minorBidi"/>
          <w:bCs w:val="0"/>
          <w:smallCaps w:val="0"/>
          <w:sz w:val="22"/>
          <w:szCs w:val="24"/>
          <w:lang w:eastAsia="zh-CN"/>
          <w14:ligatures w14:val="standardContextual"/>
        </w:rPr>
      </w:pPr>
      <w:r>
        <w:fldChar w:fldCharType="begin"/>
      </w:r>
      <w:r>
        <w:instrText xml:space="preserve"> HYPERLINK \l "_Toc242450710" </w:instrText>
      </w:r>
      <w:r>
        <w:fldChar w:fldCharType="separate"/>
      </w:r>
      <w:r>
        <w:rPr>
          <w:rStyle w:val="29"/>
          <w:snapToGrid w:val="0"/>
          <w:kern w:val="32"/>
          <w:lang w:val="zh-CN"/>
        </w:rPr>
        <w:t>3.3</w:t>
      </w:r>
      <w:r>
        <w:rPr>
          <w:rStyle w:val="29"/>
          <w:lang w:val="zh-CN"/>
        </w:rPr>
        <w:t xml:space="preserve"> 国内多省市地方归集类地方标准调研对比</w:t>
      </w:r>
      <w:r>
        <w:rPr>
          <w:rFonts w:hint="eastAsia"/>
        </w:rPr>
        <w:tab/>
      </w:r>
      <w:r>
        <w:rPr>
          <w:rFonts w:hint="eastAsia"/>
        </w:rPr>
        <w:fldChar w:fldCharType="begin"/>
      </w:r>
      <w:r>
        <w:rPr>
          <w:rFonts w:hint="eastAsia"/>
        </w:rPr>
        <w:instrText xml:space="preserve"> </w:instrText>
      </w:r>
      <w:r>
        <w:instrText xml:space="preserve">PAGEREF _Toc242450710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r>
        <w:rPr>
          <w:rFonts w:hint="eastAsia"/>
          <w:lang w:val="en-US" w:eastAsia="zh-CN"/>
        </w:rPr>
        <w:t>3</w:t>
      </w:r>
    </w:p>
    <w:p>
      <w:pPr>
        <w:pStyle w:val="22"/>
        <w:rPr>
          <w:rFonts w:hint="default" w:eastAsia="宋体" w:asciiTheme="minorHAnsi" w:hAnsiTheme="minorHAnsi" w:cstheme="minorBidi"/>
          <w:bCs w:val="0"/>
          <w:smallCaps w:val="0"/>
          <w:sz w:val="22"/>
          <w:szCs w:val="24"/>
          <w:lang w:val="en-US" w:eastAsia="zh-CN"/>
          <w14:ligatures w14:val="standardContextual"/>
        </w:rPr>
      </w:pPr>
      <w:r>
        <w:fldChar w:fldCharType="begin"/>
      </w:r>
      <w:r>
        <w:instrText xml:space="preserve"> HYPERLINK \l "_Toc242450711" </w:instrText>
      </w:r>
      <w:r>
        <w:fldChar w:fldCharType="separate"/>
      </w:r>
      <w:r>
        <w:rPr>
          <w:rStyle w:val="29"/>
          <w:snapToGrid w:val="0"/>
          <w:kern w:val="32"/>
          <w:lang w:val="zh-CN"/>
        </w:rPr>
        <w:t>3.4</w:t>
      </w:r>
      <w:r>
        <w:rPr>
          <w:rStyle w:val="29"/>
          <w:lang w:val="zh-CN"/>
        </w:rPr>
        <w:t xml:space="preserve"> 综合对比分析及本标准借鉴启示</w:t>
      </w:r>
      <w:r>
        <w:rPr>
          <w:rFonts w:hint="eastAsia"/>
        </w:rPr>
        <w:tab/>
      </w:r>
      <w:r>
        <w:rPr>
          <w:rFonts w:hint="eastAsia"/>
        </w:rPr>
        <w:fldChar w:fldCharType="end"/>
      </w:r>
      <w:r>
        <w:rPr>
          <w:rFonts w:hint="eastAsia"/>
          <w:lang w:val="en-US" w:eastAsia="zh-CN"/>
        </w:rPr>
        <w:t>20</w:t>
      </w:r>
    </w:p>
    <w:p>
      <w:pPr>
        <w:pStyle w:val="18"/>
        <w:rPr>
          <w:rFonts w:hint="default" w:eastAsia="宋体" w:asciiTheme="minorHAnsi" w:hAnsiTheme="minorHAnsi" w:cstheme="minorBidi"/>
          <w:b w:val="0"/>
          <w:caps w:val="0"/>
          <w:sz w:val="22"/>
          <w:szCs w:val="24"/>
          <w:lang w:val="en-US" w:eastAsia="zh-CN"/>
          <w14:ligatures w14:val="standardContextual"/>
        </w:rPr>
      </w:pPr>
      <w:r>
        <w:fldChar w:fldCharType="begin"/>
      </w:r>
      <w:r>
        <w:instrText xml:space="preserve"> HYPERLINK \l "_Toc242450712" </w:instrText>
      </w:r>
      <w:r>
        <w:fldChar w:fldCharType="separate"/>
      </w:r>
      <w:r>
        <w:rPr>
          <w:rStyle w:val="29"/>
          <w:lang w:val="zh-CN"/>
        </w:rPr>
        <w:t>4</w:t>
      </w:r>
      <w:r>
        <w:rPr>
          <w:rFonts w:hint="eastAsia" w:asciiTheme="minorHAnsi" w:hAnsiTheme="minorHAnsi" w:eastAsiaTheme="minorEastAsia" w:cstheme="minorBidi"/>
          <w:b w:val="0"/>
          <w:caps w:val="0"/>
          <w:sz w:val="22"/>
          <w:szCs w:val="24"/>
          <w14:ligatures w14:val="standardContextual"/>
        </w:rPr>
        <w:tab/>
      </w:r>
      <w:r>
        <w:rPr>
          <w:rStyle w:val="29"/>
          <w:lang w:val="zh-CN"/>
        </w:rPr>
        <w:t>标准主要技术内容</w:t>
      </w:r>
      <w:r>
        <w:rPr>
          <w:rFonts w:hint="eastAsia"/>
        </w:rPr>
        <w:tab/>
      </w:r>
      <w:r>
        <w:rPr>
          <w:rFonts w:hint="eastAsia"/>
        </w:rPr>
        <w:fldChar w:fldCharType="end"/>
      </w:r>
      <w:r>
        <w:rPr>
          <w:rFonts w:hint="eastAsia"/>
          <w:lang w:val="en-US" w:eastAsia="zh-CN"/>
        </w:rPr>
        <w:t>23</w:t>
      </w:r>
    </w:p>
    <w:p>
      <w:pPr>
        <w:pStyle w:val="22"/>
        <w:rPr>
          <w:rFonts w:hint="default" w:eastAsia="宋体" w:asciiTheme="minorHAnsi" w:hAnsiTheme="minorHAnsi" w:cstheme="minorBidi"/>
          <w:bCs w:val="0"/>
          <w:smallCaps w:val="0"/>
          <w:sz w:val="22"/>
          <w:szCs w:val="24"/>
          <w:lang w:val="en-US" w:eastAsia="zh-CN"/>
          <w14:ligatures w14:val="standardContextual"/>
        </w:rPr>
      </w:pPr>
      <w:r>
        <w:fldChar w:fldCharType="begin"/>
      </w:r>
      <w:r>
        <w:instrText xml:space="preserve"> HYPERLINK \l "_Toc242450713" </w:instrText>
      </w:r>
      <w:r>
        <w:fldChar w:fldCharType="separate"/>
      </w:r>
      <w:r>
        <w:rPr>
          <w:rStyle w:val="29"/>
          <w:snapToGrid w:val="0"/>
          <w:kern w:val="32"/>
          <w:lang w:val="zh-CN"/>
        </w:rPr>
        <w:t>4.1</w:t>
      </w:r>
      <w:r>
        <w:rPr>
          <w:rStyle w:val="29"/>
          <w:lang w:val="zh-CN"/>
        </w:rPr>
        <w:t xml:space="preserve"> 总体框架</w:t>
      </w:r>
      <w:r>
        <w:rPr>
          <w:rFonts w:hint="eastAsia"/>
        </w:rPr>
        <w:tab/>
      </w:r>
      <w:r>
        <w:rPr>
          <w:rFonts w:hint="eastAsia"/>
        </w:rPr>
        <w:fldChar w:fldCharType="end"/>
      </w:r>
      <w:r>
        <w:rPr>
          <w:rFonts w:hint="eastAsia"/>
          <w:lang w:val="en-US" w:eastAsia="zh-CN"/>
        </w:rPr>
        <w:t>23</w:t>
      </w:r>
    </w:p>
    <w:p>
      <w:pPr>
        <w:pStyle w:val="22"/>
        <w:rPr>
          <w:rFonts w:hint="default" w:eastAsia="宋体" w:asciiTheme="minorHAnsi" w:hAnsiTheme="minorHAnsi" w:cstheme="minorBidi"/>
          <w:bCs w:val="0"/>
          <w:smallCaps w:val="0"/>
          <w:sz w:val="22"/>
          <w:szCs w:val="24"/>
          <w:lang w:val="en-US" w:eastAsia="zh-CN"/>
          <w14:ligatures w14:val="standardContextual"/>
        </w:rPr>
      </w:pPr>
      <w:r>
        <w:fldChar w:fldCharType="begin"/>
      </w:r>
      <w:r>
        <w:instrText xml:space="preserve"> HYPERLINK \l "_Toc242450714" </w:instrText>
      </w:r>
      <w:r>
        <w:fldChar w:fldCharType="separate"/>
      </w:r>
      <w:r>
        <w:rPr>
          <w:rStyle w:val="29"/>
          <w:snapToGrid w:val="0"/>
          <w:kern w:val="32"/>
          <w:lang w:val="zh-CN"/>
        </w:rPr>
        <w:t>4.2</w:t>
      </w:r>
      <w:r>
        <w:rPr>
          <w:rStyle w:val="29"/>
          <w:lang w:val="zh-CN"/>
        </w:rPr>
        <w:t xml:space="preserve"> 各章节主要内容</w:t>
      </w:r>
      <w:r>
        <w:rPr>
          <w:rFonts w:hint="eastAsia"/>
        </w:rPr>
        <w:tab/>
      </w:r>
      <w:r>
        <w:rPr>
          <w:rFonts w:hint="eastAsia"/>
        </w:rPr>
        <w:fldChar w:fldCharType="end"/>
      </w:r>
      <w:r>
        <w:rPr>
          <w:rFonts w:hint="eastAsia"/>
          <w:lang w:val="en-US" w:eastAsia="zh-CN"/>
        </w:rPr>
        <w:t>23</w:t>
      </w:r>
    </w:p>
    <w:p>
      <w:pPr>
        <w:pStyle w:val="22"/>
        <w:rPr>
          <w:rFonts w:hint="eastAsia" w:eastAsia="宋体" w:asciiTheme="minorHAnsi" w:hAnsiTheme="minorHAnsi" w:cstheme="minorBidi"/>
          <w:bCs w:val="0"/>
          <w:smallCaps w:val="0"/>
          <w:sz w:val="22"/>
          <w:szCs w:val="24"/>
          <w:lang w:val="en-US" w:eastAsia="zh-CN"/>
          <w14:ligatures w14:val="standardContextual"/>
        </w:rPr>
      </w:pPr>
      <w:r>
        <w:fldChar w:fldCharType="begin"/>
      </w:r>
      <w:r>
        <w:instrText xml:space="preserve"> HYPERLINK \l "_Toc242450715" </w:instrText>
      </w:r>
      <w:r>
        <w:fldChar w:fldCharType="separate"/>
      </w:r>
      <w:r>
        <w:rPr>
          <w:rStyle w:val="29"/>
          <w:snapToGrid w:val="0"/>
          <w:kern w:val="32"/>
          <w:lang w:val="zh-CN"/>
        </w:rPr>
        <w:t>4.3</w:t>
      </w:r>
      <w:r>
        <w:rPr>
          <w:rStyle w:val="29"/>
          <w:lang w:val="zh-CN"/>
        </w:rPr>
        <w:t xml:space="preserve"> 附录A说明</w:t>
      </w:r>
      <w:r>
        <w:rPr>
          <w:rFonts w:hint="eastAsia"/>
        </w:rPr>
        <w:tab/>
      </w:r>
      <w:r>
        <w:rPr>
          <w:rFonts w:hint="eastAsia"/>
        </w:rPr>
        <w:fldChar w:fldCharType="begin"/>
      </w:r>
      <w:r>
        <w:rPr>
          <w:rFonts w:hint="eastAsia"/>
        </w:rPr>
        <w:instrText xml:space="preserve"> </w:instrText>
      </w:r>
      <w:r>
        <w:instrText xml:space="preserve">PAGEREF _Toc242450715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r>
        <w:rPr>
          <w:rFonts w:hint="eastAsia"/>
          <w:lang w:val="en-US" w:eastAsia="zh-CN"/>
        </w:rPr>
        <w:t>5</w:t>
      </w:r>
    </w:p>
    <w:p>
      <w:pPr>
        <w:pStyle w:val="18"/>
        <w:rPr>
          <w:rFonts w:hint="eastAsia" w:eastAsia="宋体" w:asciiTheme="minorHAnsi" w:hAnsiTheme="minorHAnsi" w:cstheme="minorBidi"/>
          <w:b w:val="0"/>
          <w:caps w:val="0"/>
          <w:sz w:val="22"/>
          <w:szCs w:val="24"/>
          <w:lang w:val="en-US" w:eastAsia="zh-CN"/>
          <w14:ligatures w14:val="standardContextual"/>
        </w:rPr>
      </w:pPr>
      <w:r>
        <w:fldChar w:fldCharType="begin"/>
      </w:r>
      <w:r>
        <w:instrText xml:space="preserve"> HYPERLINK \l "_Toc242450720" </w:instrText>
      </w:r>
      <w:r>
        <w:fldChar w:fldCharType="separate"/>
      </w:r>
      <w:r>
        <w:rPr>
          <w:rFonts w:hint="eastAsia"/>
          <w:lang w:val="en-US" w:eastAsia="zh-CN"/>
        </w:rPr>
        <w:t>5</w:t>
      </w:r>
      <w:r>
        <w:rPr>
          <w:rFonts w:hint="eastAsia" w:asciiTheme="minorHAnsi" w:hAnsiTheme="minorHAnsi" w:eastAsiaTheme="minorEastAsia" w:cstheme="minorBidi"/>
          <w:b w:val="0"/>
          <w:caps w:val="0"/>
          <w:sz w:val="22"/>
          <w:szCs w:val="24"/>
          <w14:ligatures w14:val="standardContextual"/>
        </w:rPr>
        <w:tab/>
      </w:r>
      <w:r>
        <w:rPr>
          <w:rStyle w:val="29"/>
          <w:lang w:val="zh-CN"/>
        </w:rPr>
        <w:t>与现行法律、法规、标准的协调性</w:t>
      </w:r>
      <w:r>
        <w:rPr>
          <w:rFonts w:hint="eastAsia"/>
        </w:rPr>
        <w:tab/>
      </w:r>
      <w:r>
        <w:rPr>
          <w:rFonts w:hint="eastAsia"/>
        </w:rPr>
        <w:fldChar w:fldCharType="begin"/>
      </w:r>
      <w:r>
        <w:rPr>
          <w:rFonts w:hint="eastAsia"/>
        </w:rPr>
        <w:instrText xml:space="preserve"> </w:instrText>
      </w:r>
      <w:r>
        <w:instrText xml:space="preserve">PAGEREF _Toc242450720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r>
        <w:rPr>
          <w:rFonts w:hint="eastAsia"/>
          <w:lang w:val="en-US" w:eastAsia="zh-CN"/>
        </w:rPr>
        <w:t>6</w:t>
      </w:r>
    </w:p>
    <w:p>
      <w:pPr>
        <w:pStyle w:val="18"/>
        <w:rPr>
          <w:rFonts w:hint="eastAsia" w:eastAsia="宋体" w:asciiTheme="minorHAnsi" w:hAnsiTheme="minorHAnsi" w:cstheme="minorBidi"/>
          <w:b w:val="0"/>
          <w:caps w:val="0"/>
          <w:sz w:val="22"/>
          <w:szCs w:val="24"/>
          <w:lang w:val="en-US" w:eastAsia="zh-CN"/>
          <w14:ligatures w14:val="standardContextual"/>
        </w:rPr>
      </w:pPr>
      <w:r>
        <w:fldChar w:fldCharType="begin"/>
      </w:r>
      <w:r>
        <w:instrText xml:space="preserve"> HYPERLINK \l "_Toc242450721" </w:instrText>
      </w:r>
      <w:r>
        <w:fldChar w:fldCharType="separate"/>
      </w:r>
      <w:r>
        <w:rPr>
          <w:rFonts w:hint="eastAsia"/>
          <w:lang w:val="en-US" w:eastAsia="zh-CN"/>
        </w:rPr>
        <w:t>6</w:t>
      </w:r>
      <w:r>
        <w:rPr>
          <w:rFonts w:hint="eastAsia" w:asciiTheme="minorHAnsi" w:hAnsiTheme="minorHAnsi" w:eastAsiaTheme="minorEastAsia" w:cstheme="minorBidi"/>
          <w:b w:val="0"/>
          <w:caps w:val="0"/>
          <w:sz w:val="22"/>
          <w:szCs w:val="24"/>
          <w14:ligatures w14:val="standardContextual"/>
        </w:rPr>
        <w:tab/>
      </w:r>
      <w:r>
        <w:rPr>
          <w:rStyle w:val="29"/>
          <w:lang w:val="zh-CN"/>
        </w:rPr>
        <w:t>重大分歧意见处理</w:t>
      </w:r>
      <w:r>
        <w:rPr>
          <w:rFonts w:hint="eastAsia"/>
        </w:rPr>
        <w:tab/>
      </w:r>
      <w:r>
        <w:rPr>
          <w:rFonts w:hint="eastAsia"/>
        </w:rPr>
        <w:fldChar w:fldCharType="begin"/>
      </w:r>
      <w:r>
        <w:rPr>
          <w:rFonts w:hint="eastAsia"/>
        </w:rPr>
        <w:instrText xml:space="preserve"> </w:instrText>
      </w:r>
      <w:r>
        <w:instrText xml:space="preserve">PAGEREF _Toc242450721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r>
        <w:rPr>
          <w:rFonts w:hint="eastAsia"/>
          <w:lang w:val="en-US" w:eastAsia="zh-CN"/>
        </w:rPr>
        <w:t>7</w:t>
      </w:r>
    </w:p>
    <w:p>
      <w:pPr>
        <w:pStyle w:val="18"/>
        <w:rPr>
          <w:rFonts w:hint="eastAsia" w:eastAsia="宋体" w:asciiTheme="minorHAnsi" w:hAnsiTheme="minorHAnsi" w:cstheme="minorBidi"/>
          <w:b w:val="0"/>
          <w:caps w:val="0"/>
          <w:sz w:val="22"/>
          <w:szCs w:val="24"/>
          <w:lang w:val="en-US" w:eastAsia="zh-CN"/>
          <w14:ligatures w14:val="standardContextual"/>
        </w:rPr>
      </w:pPr>
      <w:r>
        <w:fldChar w:fldCharType="begin"/>
      </w:r>
      <w:r>
        <w:instrText xml:space="preserve"> HYPERLINK \l "_Toc242450722" </w:instrText>
      </w:r>
      <w:r>
        <w:fldChar w:fldCharType="separate"/>
      </w:r>
      <w:r>
        <w:rPr>
          <w:rFonts w:hint="eastAsia"/>
          <w:lang w:val="en-US" w:eastAsia="zh-CN"/>
        </w:rPr>
        <w:t>7</w:t>
      </w:r>
      <w:r>
        <w:rPr>
          <w:rFonts w:hint="eastAsia" w:asciiTheme="minorHAnsi" w:hAnsiTheme="minorHAnsi" w:eastAsiaTheme="minorEastAsia" w:cstheme="minorBidi"/>
          <w:b w:val="0"/>
          <w:caps w:val="0"/>
          <w:sz w:val="22"/>
          <w:szCs w:val="24"/>
          <w14:ligatures w14:val="standardContextual"/>
        </w:rPr>
        <w:tab/>
      </w:r>
      <w:r>
        <w:rPr>
          <w:rStyle w:val="29"/>
          <w:lang w:val="zh-CN"/>
        </w:rPr>
        <w:t>实施本标准的措施建议</w:t>
      </w:r>
      <w:r>
        <w:rPr>
          <w:rFonts w:hint="eastAsia"/>
        </w:rPr>
        <w:tab/>
      </w:r>
      <w:r>
        <w:rPr>
          <w:rFonts w:hint="eastAsia"/>
        </w:rPr>
        <w:fldChar w:fldCharType="begin"/>
      </w:r>
      <w:r>
        <w:rPr>
          <w:rFonts w:hint="eastAsia"/>
        </w:rPr>
        <w:instrText xml:space="preserve"> </w:instrText>
      </w:r>
      <w:r>
        <w:instrText xml:space="preserve">PAGEREF _Toc242450722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r>
        <w:rPr>
          <w:rFonts w:hint="eastAsia"/>
          <w:lang w:val="en-US" w:eastAsia="zh-CN"/>
        </w:rPr>
        <w:t>8</w:t>
      </w:r>
    </w:p>
    <w:p>
      <w:pPr>
        <w:pStyle w:val="18"/>
        <w:rPr>
          <w:rFonts w:hint="eastAsia" w:eastAsia="宋体" w:asciiTheme="minorHAnsi" w:hAnsiTheme="minorHAnsi" w:cstheme="minorBidi"/>
          <w:b w:val="0"/>
          <w:caps w:val="0"/>
          <w:sz w:val="22"/>
          <w:szCs w:val="24"/>
          <w:lang w:val="en-US" w:eastAsia="zh-CN"/>
          <w14:ligatures w14:val="standardContextual"/>
        </w:rPr>
      </w:pPr>
      <w:r>
        <w:fldChar w:fldCharType="begin"/>
      </w:r>
      <w:r>
        <w:instrText xml:space="preserve"> HYPERLINK \l "_Toc242450726" </w:instrText>
      </w:r>
      <w:r>
        <w:fldChar w:fldCharType="separate"/>
      </w:r>
      <w:r>
        <w:rPr>
          <w:rFonts w:hint="eastAsia"/>
          <w:lang w:val="en-US" w:eastAsia="zh-CN"/>
        </w:rPr>
        <w:t>8</w:t>
      </w:r>
      <w:r>
        <w:rPr>
          <w:rFonts w:hint="eastAsia" w:asciiTheme="minorHAnsi" w:hAnsiTheme="minorHAnsi" w:eastAsiaTheme="minorEastAsia" w:cstheme="minorBidi"/>
          <w:b w:val="0"/>
          <w:caps w:val="0"/>
          <w:sz w:val="22"/>
          <w:szCs w:val="24"/>
          <w14:ligatures w14:val="standardContextual"/>
        </w:rPr>
        <w:tab/>
      </w:r>
      <w:r>
        <w:rPr>
          <w:rStyle w:val="29"/>
          <w:lang w:val="zh-CN"/>
        </w:rPr>
        <w:t>公平竞争审查说明</w:t>
      </w:r>
      <w:r>
        <w:rPr>
          <w:rFonts w:hint="eastAsia"/>
        </w:rPr>
        <w:tab/>
      </w:r>
      <w:r>
        <w:rPr>
          <w:rFonts w:hint="eastAsia"/>
        </w:rPr>
        <w:fldChar w:fldCharType="begin"/>
      </w:r>
      <w:r>
        <w:rPr>
          <w:rFonts w:hint="eastAsia"/>
        </w:rPr>
        <w:instrText xml:space="preserve"> </w:instrText>
      </w:r>
      <w:r>
        <w:instrText xml:space="preserve">PAGEREF _Toc242450726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r>
        <w:rPr>
          <w:rFonts w:hint="eastAsia"/>
          <w:lang w:val="en-US" w:eastAsia="zh-CN"/>
        </w:rPr>
        <w:t>9</w:t>
      </w:r>
    </w:p>
    <w:p>
      <w:pPr>
        <w:pStyle w:val="18"/>
        <w:rPr>
          <w:rFonts w:hint="default" w:eastAsia="宋体" w:asciiTheme="minorHAnsi" w:hAnsiTheme="minorHAnsi" w:cstheme="minorBidi"/>
          <w:b w:val="0"/>
          <w:caps w:val="0"/>
          <w:sz w:val="22"/>
          <w:szCs w:val="24"/>
          <w:lang w:val="en-US" w:eastAsia="zh-CN"/>
          <w14:ligatures w14:val="standardContextual"/>
        </w:rPr>
      </w:pPr>
      <w:r>
        <w:fldChar w:fldCharType="begin"/>
      </w:r>
      <w:r>
        <w:instrText xml:space="preserve"> HYPERLINK \l "_Toc242450727" </w:instrText>
      </w:r>
      <w:r>
        <w:fldChar w:fldCharType="separate"/>
      </w:r>
      <w:r>
        <w:rPr>
          <w:rFonts w:hint="eastAsia"/>
          <w:lang w:val="en-US" w:eastAsia="zh-CN"/>
        </w:rPr>
        <w:t xml:space="preserve">9 </w:t>
      </w:r>
      <w:r>
        <w:rPr>
          <w:rStyle w:val="29"/>
          <w:lang w:val="zh-CN"/>
        </w:rPr>
        <w:t>其他应予说明的事项</w:t>
      </w:r>
      <w:r>
        <w:rPr>
          <w:rFonts w:hint="eastAsia"/>
        </w:rPr>
        <w:tab/>
      </w:r>
      <w:r>
        <w:rPr>
          <w:rFonts w:hint="eastAsia"/>
        </w:rPr>
        <w:fldChar w:fldCharType="end"/>
      </w:r>
      <w:r>
        <w:rPr>
          <w:rFonts w:hint="eastAsia"/>
          <w:lang w:val="en-US" w:eastAsia="zh-CN"/>
        </w:rPr>
        <w:t>30</w:t>
      </w:r>
    </w:p>
    <w:p>
      <w:pPr>
        <w:pStyle w:val="35"/>
        <w:spacing w:before="114"/>
        <w:rPr>
          <w:rFonts w:hint="eastAsia"/>
        </w:rPr>
        <w:sectPr>
          <w:headerReference r:id="rId11" w:type="default"/>
          <w:footerReference r:id="rId13" w:type="default"/>
          <w:headerReference r:id="rId12" w:type="even"/>
          <w:type w:val="continuous"/>
          <w:pgSz w:w="11907" w:h="16839"/>
          <w:pgMar w:top="1440" w:right="1440" w:bottom="1440" w:left="1797" w:header="851" w:footer="992" w:gutter="0"/>
          <w:pgNumType w:start="1"/>
          <w:cols w:space="720" w:num="1"/>
          <w:docGrid w:type="lines" w:linePitch="381" w:charSpace="0"/>
        </w:sectPr>
      </w:pPr>
      <w:r>
        <w:fldChar w:fldCharType="end"/>
      </w:r>
    </w:p>
    <w:p>
      <w:pPr>
        <w:pStyle w:val="2"/>
        <w:numPr>
          <w:ilvl w:val="0"/>
          <w:numId w:val="2"/>
        </w:numPr>
        <w:spacing w:before="381" w:after="381"/>
        <w:rPr>
          <w:color w:val="000000" w:themeColor="text1"/>
          <w14:textFill>
            <w14:solidFill>
              <w14:schemeClr w14:val="tx1"/>
            </w14:solidFill>
          </w14:textFill>
        </w:rPr>
      </w:pPr>
      <w:bookmarkStart w:id="0" w:name="_Toc242450699"/>
      <w:r>
        <w:rPr>
          <w:rFonts w:hint="eastAsia"/>
          <w:color w:val="000000" w:themeColor="text1"/>
          <w14:textFill>
            <w14:solidFill>
              <w14:schemeClr w14:val="tx1"/>
            </w14:solidFill>
          </w14:textFill>
        </w:rPr>
        <w:t>工作简况</w:t>
      </w:r>
      <w:bookmarkEnd w:id="0"/>
    </w:p>
    <w:p>
      <w:pPr>
        <w:pStyle w:val="3"/>
        <w:numPr>
          <w:ilvl w:val="1"/>
          <w:numId w:val="1"/>
        </w:numPr>
        <w:spacing w:before="76" w:after="76"/>
        <w:ind w:left="300" w:hanging="300"/>
        <w:rPr>
          <w:rFonts w:ascii="Times New Roman"/>
          <w:color w:val="000000" w:themeColor="text1"/>
          <w14:textFill>
            <w14:solidFill>
              <w14:schemeClr w14:val="tx1"/>
            </w14:solidFill>
          </w14:textFill>
        </w:rPr>
      </w:pPr>
      <w:bookmarkStart w:id="1" w:name="_Toc384972103"/>
      <w:bookmarkEnd w:id="1"/>
      <w:r>
        <w:rPr>
          <w:rFonts w:hint="eastAsia" w:ascii="Times New Roman"/>
          <w:color w:val="000000" w:themeColor="text1"/>
          <w14:textFill>
            <w14:solidFill>
              <w14:schemeClr w14:val="tx1"/>
            </w14:solidFill>
          </w14:textFill>
        </w:rPr>
        <w:t xml:space="preserve"> </w:t>
      </w:r>
      <w:bookmarkStart w:id="2" w:name="_Toc242450700"/>
      <w:r>
        <w:rPr>
          <w:rFonts w:hint="eastAsia" w:ascii="Times New Roman"/>
          <w:color w:val="000000" w:themeColor="text1"/>
          <w14:textFill>
            <w14:solidFill>
              <w14:schemeClr w14:val="tx1"/>
            </w14:solidFill>
          </w14:textFill>
        </w:rPr>
        <w:t>任务来源</w:t>
      </w:r>
      <w:bookmarkEnd w:id="2"/>
    </w:p>
    <w:p>
      <w:pPr>
        <w:ind w:firstLine="560"/>
      </w:pPr>
      <w:r>
        <w:rPr>
          <w:rFonts w:hint="eastAsia"/>
        </w:rPr>
        <w:t>根据上海市水务局2026年度水务海洋标准化指导性技术文件制修订工作计划（2026 10），《水利专项项目数据资产归集技术导则》列入上海市地方标准化指导性技术文件编制计划。本文件由上海市水务局提出并归口；主编单位为上海市水利管理事务中心（上海市河湖管理事务中心）、黄河勘测规划设计研究院有限公司；参编单位为上海市堤防泵闸建设运行中心、上海市水务规划设计研究院（上海市海洋规划设计研究院）。</w:t>
      </w:r>
    </w:p>
    <w:p>
      <w:pPr>
        <w:pStyle w:val="3"/>
        <w:numPr>
          <w:ilvl w:val="1"/>
          <w:numId w:val="1"/>
        </w:numPr>
        <w:spacing w:before="76" w:after="76"/>
        <w:ind w:left="300" w:hanging="300"/>
      </w:pPr>
      <w:bookmarkStart w:id="3" w:name="_Toc242450701"/>
      <w:r>
        <w:rPr>
          <w:rFonts w:hint="eastAsia"/>
        </w:rPr>
        <w:t>编制背景与目的意义</w:t>
      </w:r>
      <w:bookmarkEnd w:id="3"/>
    </w:p>
    <w:p>
      <w:pPr>
        <w:pStyle w:val="4"/>
      </w:pPr>
      <w:r>
        <w:rPr>
          <w:rFonts w:hint="eastAsia"/>
        </w:rPr>
        <w:t>编制背景</w:t>
      </w:r>
    </w:p>
    <w:p>
      <w:pPr>
        <w:ind w:firstLine="640"/>
        <w:rPr>
          <w:rFonts w:hint="eastAsia"/>
          <w:bCs/>
          <w:color w:val="000000"/>
          <w:szCs w:val="32"/>
        </w:rPr>
      </w:pPr>
      <w:r>
        <w:rPr>
          <w:rFonts w:hint="eastAsia"/>
          <w:bCs/>
          <w:color w:val="000000"/>
          <w:szCs w:val="32"/>
          <w:lang w:eastAsia="zh-CN"/>
        </w:rPr>
        <w:t>一是</w:t>
      </w:r>
      <w:r>
        <w:rPr>
          <w:rFonts w:hint="eastAsia"/>
          <w:bCs/>
          <w:color w:val="000000"/>
          <w:szCs w:val="32"/>
        </w:rPr>
        <w:t>国家战略引领与行业转型驱动</w:t>
      </w:r>
      <w:r>
        <w:rPr>
          <w:rFonts w:hint="eastAsia"/>
          <w:bCs/>
          <w:color w:val="000000"/>
          <w:szCs w:val="32"/>
          <w:lang w:eastAsia="zh-CN"/>
        </w:rPr>
        <w:t>。</w:t>
      </w:r>
      <w:r>
        <w:rPr>
          <w:rFonts w:hint="eastAsia"/>
          <w:bCs/>
          <w:color w:val="000000"/>
          <w:szCs w:val="32"/>
        </w:rPr>
        <w:t>国家层面已将数据列为第五大生产要素，"数据二十条"、《数字中国建设整体布局规划》等政策文件构建了数据基础制度框架。财政部相继出台《企业数据资源相关会计处理暂行规定》《数据资产全过程管理试点方案》《关于加强数据资产管理的指导意见》，并将水利部列为试点中央部门，标志着水利行业数据资产管理从探索阶段进入制度落地阶段。水利部出台《水利数据分类分级规则》《关于推进水利工程建设数字孪生的指导意见》等，进一步明确了水利数据的分类分级的原则和方法，同时要求大力推进数字孪生流域、智慧水利建设，提升水利工程建设全要素、全过程的数字化、网格化、智能化管理能力，保障水利工程建设质量、安全和长效运行。</w:t>
      </w:r>
    </w:p>
    <w:p>
      <w:pPr>
        <w:ind w:firstLine="640"/>
        <w:rPr>
          <w:rFonts w:hint="eastAsia"/>
          <w:bCs/>
          <w:color w:val="000000"/>
          <w:szCs w:val="32"/>
        </w:rPr>
      </w:pPr>
      <w:r>
        <w:rPr>
          <w:rFonts w:hint="eastAsia"/>
          <w:bCs/>
          <w:color w:val="000000"/>
          <w:szCs w:val="32"/>
          <w:lang w:eastAsia="zh-CN"/>
        </w:rPr>
        <w:t>二是</w:t>
      </w:r>
      <w:r>
        <w:rPr>
          <w:rFonts w:hint="eastAsia"/>
          <w:bCs/>
          <w:color w:val="000000"/>
          <w:szCs w:val="32"/>
        </w:rPr>
        <w:t>上海超大城市发展对水利治理的新要求</w:t>
      </w:r>
      <w:r>
        <w:rPr>
          <w:rFonts w:hint="eastAsia"/>
          <w:bCs/>
          <w:color w:val="000000"/>
          <w:szCs w:val="32"/>
          <w:lang w:eastAsia="zh-CN"/>
        </w:rPr>
        <w:t>。</w:t>
      </w:r>
      <w:r>
        <w:rPr>
          <w:rFonts w:hint="eastAsia"/>
          <w:bCs/>
          <w:color w:val="000000"/>
          <w:szCs w:val="32"/>
        </w:rPr>
        <w:t>上海作为国家数据要素市场建设前沿，出台</w:t>
      </w:r>
      <w:r>
        <w:rPr>
          <w:rFonts w:hint="eastAsia"/>
          <w:bCs/>
          <w:color w:val="000000"/>
          <w:szCs w:val="32"/>
          <w:lang w:eastAsia="zh-CN"/>
        </w:rPr>
        <w:t>《关于进一步加强本市数据资产管理的通知》《关于印发落实财政部</w:t>
      </w:r>
      <w:r>
        <w:rPr>
          <w:rFonts w:hint="eastAsia"/>
          <w:bCs/>
          <w:color w:val="000000"/>
          <w:szCs w:val="32"/>
          <w:lang w:val="en-US" w:eastAsia="zh-CN"/>
        </w:rPr>
        <w:t>&lt;数据资产全过程管理试点方案&gt;的工作方案的通知</w:t>
      </w:r>
      <w:r>
        <w:rPr>
          <w:rFonts w:hint="eastAsia"/>
          <w:bCs/>
          <w:color w:val="000000"/>
          <w:szCs w:val="32"/>
          <w:lang w:eastAsia="zh-CN"/>
        </w:rPr>
        <w:t>》</w:t>
      </w:r>
      <w:r>
        <w:rPr>
          <w:rFonts w:hint="eastAsia"/>
          <w:bCs/>
          <w:color w:val="000000"/>
          <w:szCs w:val="32"/>
        </w:rPr>
        <w:t>《立足数字经济新赛道推动数据要素产业创新发展行动方案》，积极探索数据资产入表、授权运营、交易流通等创新机制。同时上海河网密布、潮洪复合、水利设施密集，且地处软土地基，设施沉降变形、结构老化等安全风险随时间累积，数字孪生工程要求"底数清、数据实"，现阶段智慧水务"四预"能力难以发挥，长三角一体化协同治理缺乏数据互通基础，水利设施长效运维的安全底线面临威胁。</w:t>
      </w:r>
    </w:p>
    <w:p>
      <w:pPr>
        <w:ind w:firstLine="640"/>
        <w:rPr>
          <w:lang w:val="zh-CN"/>
        </w:rPr>
      </w:pPr>
      <w:r>
        <w:rPr>
          <w:rFonts w:hint="eastAsia"/>
          <w:bCs/>
          <w:color w:val="000000"/>
          <w:szCs w:val="32"/>
          <w:lang w:eastAsia="zh-CN"/>
        </w:rPr>
        <w:t>三是</w:t>
      </w:r>
      <w:r>
        <w:rPr>
          <w:rFonts w:hint="eastAsia"/>
          <w:bCs/>
          <w:color w:val="000000"/>
          <w:szCs w:val="32"/>
        </w:rPr>
        <w:t>现行规范体系与标准衔接的需求</w:t>
      </w:r>
      <w:r>
        <w:rPr>
          <w:rFonts w:hint="eastAsia"/>
          <w:bCs/>
          <w:color w:val="000000"/>
          <w:szCs w:val="32"/>
          <w:lang w:eastAsia="zh-CN"/>
        </w:rPr>
        <w:t>。</w:t>
      </w:r>
      <w:r>
        <w:rPr>
          <w:rFonts w:hint="eastAsia"/>
          <w:bCs/>
          <w:color w:val="000000"/>
          <w:szCs w:val="32"/>
        </w:rPr>
        <w:t>国家及行业层面，现行《水利信息化标准体系》侧重通用技术要求，未细化到建设全过程的归集场景；财政相关部门试点方案侧重管理制度，尚未配套技术操作标准。地方层面，上海虽已出台《水务信息管理 第1部分：分类与编码》《水利工程前期成果审查技术导则》《水利工程施工质量验收标准》等地标，但或停留在通用框架层面，或聚焦传统工程管理，均未涉及数字资产的采集时点、格式标准、质量审核、移交程序、数据应用等关键环节。</w:t>
      </w:r>
    </w:p>
    <w:p>
      <w:pPr>
        <w:pStyle w:val="4"/>
      </w:pPr>
      <w:r>
        <w:rPr>
          <w:rFonts w:hint="eastAsia"/>
        </w:rPr>
        <w:t>编制目的</w:t>
      </w:r>
    </w:p>
    <w:p>
      <w:pPr>
        <w:ind w:firstLine="560"/>
        <w:rPr>
          <w:lang w:val="zh-CN"/>
        </w:rPr>
      </w:pPr>
      <w:r>
        <w:rPr>
          <w:rFonts w:hint="eastAsia"/>
          <w:lang w:val="zh-CN"/>
        </w:rPr>
        <w:t>1）统一本市水利专项项目数据资产归集技术要求，明确责任主体、归集技术要求、归集方式、归集流程、归集周期、安全管理等。</w:t>
      </w:r>
    </w:p>
    <w:p>
      <w:pPr>
        <w:ind w:firstLine="560"/>
        <w:rPr>
          <w:lang w:val="zh-CN"/>
        </w:rPr>
      </w:pPr>
      <w:r>
        <w:rPr>
          <w:rFonts w:hint="eastAsia"/>
          <w:lang w:val="zh-CN"/>
        </w:rPr>
        <w:t>2）厘清数据资产归集的要求，推动工程资料向机器可读、业务可复用的数据资产转变。</w:t>
      </w:r>
    </w:p>
    <w:p>
      <w:pPr>
        <w:ind w:firstLine="560"/>
        <w:rPr>
          <w:lang w:val="zh-CN"/>
        </w:rPr>
      </w:pPr>
      <w:r>
        <w:rPr>
          <w:rFonts w:hint="eastAsia"/>
          <w:lang w:val="zh-CN"/>
        </w:rPr>
        <w:t>3）推进水利事业高质量发展，为本市智慧水利、数字孪生水利工程提供高质量数据支撑。</w:t>
      </w:r>
    </w:p>
    <w:p>
      <w:pPr>
        <w:ind w:firstLine="560"/>
        <w:rPr>
          <w:lang w:val="zh-CN"/>
        </w:rPr>
      </w:pPr>
      <w:r>
        <w:rPr>
          <w:rFonts w:hint="eastAsia"/>
          <w:lang w:val="zh-CN"/>
        </w:rPr>
        <w:t>4）开展行政事业单位数据资产管理试点，为本市水利行业数据资产管理提供模板。</w:t>
      </w:r>
    </w:p>
    <w:p>
      <w:pPr>
        <w:pStyle w:val="3"/>
        <w:spacing w:before="76" w:after="76"/>
        <w:rPr>
          <w:lang w:val="zh-CN"/>
        </w:rPr>
      </w:pPr>
      <w:bookmarkStart w:id="4" w:name="_Toc242450702"/>
      <w:r>
        <w:rPr>
          <w:rFonts w:hint="eastAsia"/>
          <w:lang w:val="zh-CN"/>
        </w:rPr>
        <w:t>编制工作过程</w:t>
      </w:r>
      <w:bookmarkEnd w:id="4"/>
    </w:p>
    <w:p>
      <w:pPr>
        <w:ind w:firstLine="562"/>
        <w:rPr>
          <w:lang w:val="zh-CN"/>
        </w:rPr>
      </w:pPr>
      <w:r>
        <w:rPr>
          <w:rFonts w:hint="eastAsia"/>
          <w:b/>
          <w:bCs/>
          <w:lang w:val="zh-CN"/>
        </w:rPr>
        <w:t>1）大纲编制阶段（2026</w:t>
      </w:r>
      <w:r>
        <w:rPr>
          <w:rFonts w:hint="eastAsia"/>
          <w:b/>
          <w:bCs/>
          <w:lang w:val="en-US" w:eastAsia="zh-CN"/>
        </w:rPr>
        <w:t>.</w:t>
      </w:r>
      <w:r>
        <w:rPr>
          <w:rFonts w:hint="eastAsia"/>
          <w:b/>
          <w:bCs/>
          <w:lang w:val="zh-CN"/>
        </w:rPr>
        <w:t>03～2026</w:t>
      </w:r>
      <w:r>
        <w:rPr>
          <w:rFonts w:hint="eastAsia"/>
          <w:b/>
          <w:bCs/>
          <w:lang w:val="en-US" w:eastAsia="zh-CN"/>
        </w:rPr>
        <w:t>.</w:t>
      </w:r>
      <w:r>
        <w:rPr>
          <w:rFonts w:hint="eastAsia"/>
          <w:b/>
          <w:bCs/>
          <w:lang w:val="zh-CN"/>
        </w:rPr>
        <w:t>04下旬）</w:t>
      </w:r>
      <w:r>
        <w:rPr>
          <w:rFonts w:hint="eastAsia"/>
          <w:lang w:val="zh-CN"/>
        </w:rPr>
        <w:t xml:space="preserve"> 成立编制组，梳理国家、行业、地方政策法规标准，调研上海各区水利项目建设与数据管理现状，同时收集国内多省市数据归集类地方标准，完成标准编制大纲。</w:t>
      </w:r>
    </w:p>
    <w:p>
      <w:pPr>
        <w:ind w:firstLine="562"/>
        <w:rPr>
          <w:lang w:val="zh-CN"/>
        </w:rPr>
      </w:pPr>
      <w:r>
        <w:rPr>
          <w:rFonts w:hint="eastAsia"/>
          <w:b/>
          <w:bCs/>
          <w:lang w:val="zh-CN"/>
        </w:rPr>
        <w:t>2）大纲评审阶段（2026</w:t>
      </w:r>
      <w:r>
        <w:rPr>
          <w:rFonts w:hint="eastAsia"/>
          <w:b/>
          <w:bCs/>
          <w:lang w:val="en-US" w:eastAsia="zh-CN"/>
        </w:rPr>
        <w:t>.</w:t>
      </w:r>
      <w:r>
        <w:rPr>
          <w:rFonts w:hint="eastAsia"/>
          <w:b/>
          <w:bCs/>
          <w:lang w:val="zh-CN"/>
        </w:rPr>
        <w:t xml:space="preserve">05中旬） </w:t>
      </w:r>
      <w:r>
        <w:rPr>
          <w:rFonts w:hint="eastAsia"/>
          <w:lang w:val="zh-CN"/>
        </w:rPr>
        <w:t>组织大纲专家评审会，听取行业主管部门、运行管理单位、技术专家意见，优化标准总体框架、技术路线，开展国内外及国内地方标准对标分析。</w:t>
      </w:r>
    </w:p>
    <w:p>
      <w:pPr>
        <w:ind w:firstLine="562"/>
        <w:rPr>
          <w:lang w:val="zh-CN"/>
        </w:rPr>
      </w:pPr>
      <w:r>
        <w:rPr>
          <w:rFonts w:hint="eastAsia"/>
          <w:b/>
          <w:bCs/>
          <w:lang w:val="zh-CN"/>
        </w:rPr>
        <w:t>3）标准初稿编制阶段（2026</w:t>
      </w:r>
      <w:r>
        <w:rPr>
          <w:rFonts w:hint="eastAsia"/>
          <w:b/>
          <w:bCs/>
          <w:lang w:val="en-US" w:eastAsia="zh-CN"/>
        </w:rPr>
        <w:t>.</w:t>
      </w:r>
      <w:r>
        <w:rPr>
          <w:rFonts w:hint="eastAsia"/>
          <w:b/>
          <w:bCs/>
          <w:lang w:val="zh-CN"/>
        </w:rPr>
        <w:t>05中旬～2026</w:t>
      </w:r>
      <w:r>
        <w:rPr>
          <w:rFonts w:hint="eastAsia"/>
          <w:b/>
          <w:bCs/>
          <w:lang w:val="en-US" w:eastAsia="zh-CN"/>
        </w:rPr>
        <w:t>.</w:t>
      </w:r>
      <w:r>
        <w:rPr>
          <w:rFonts w:hint="eastAsia"/>
          <w:b/>
          <w:bCs/>
          <w:lang w:val="zh-CN"/>
        </w:rPr>
        <w:t xml:space="preserve">06中旬） </w:t>
      </w:r>
      <w:r>
        <w:rPr>
          <w:rFonts w:hint="eastAsia"/>
          <w:lang w:val="zh-CN"/>
        </w:rPr>
        <w:t>开展专题调研，梳理水利项目从立项、可研、初设、施工图、施工到竣工验收全生命周期数据；对标国外制度、国家政策以及湖北、江苏、山东、浙江、四川、上海已发布的多份数据归集地方标准，重点分析各地方标准适用对象、归集模式、编码、元数据、安全管理；完成标准条文与编制说明初稿。</w:t>
      </w:r>
    </w:p>
    <w:p>
      <w:pPr>
        <w:ind w:firstLine="562"/>
        <w:rPr>
          <w:lang w:val="zh-CN"/>
        </w:rPr>
      </w:pPr>
      <w:r>
        <w:rPr>
          <w:rFonts w:hint="eastAsia"/>
          <w:b/>
          <w:bCs/>
          <w:lang w:val="zh-CN"/>
        </w:rPr>
        <w:t>4）征求意见稿专家审核（2026</w:t>
      </w:r>
      <w:r>
        <w:rPr>
          <w:rFonts w:hint="eastAsia"/>
          <w:b/>
          <w:bCs/>
          <w:lang w:val="en-US" w:eastAsia="zh-CN"/>
        </w:rPr>
        <w:t>.</w:t>
      </w:r>
      <w:r>
        <w:rPr>
          <w:rFonts w:hint="eastAsia"/>
          <w:b/>
          <w:bCs/>
          <w:lang w:val="zh-CN"/>
        </w:rPr>
        <w:t xml:space="preserve">09中旬） </w:t>
      </w:r>
      <w:r>
        <w:rPr>
          <w:rFonts w:hint="eastAsia"/>
          <w:lang w:val="zh-CN"/>
        </w:rPr>
        <w:t>形成了征询意见初稿，并开展了专家技术审查会，通过了专家技术审核。</w:t>
      </w:r>
    </w:p>
    <w:p>
      <w:pPr>
        <w:ind w:firstLine="562"/>
        <w:rPr>
          <w:lang w:val="zh-CN"/>
        </w:rPr>
      </w:pPr>
      <w:r>
        <w:rPr>
          <w:rFonts w:hint="eastAsia"/>
          <w:b/>
          <w:bCs/>
          <w:lang w:val="zh-CN"/>
        </w:rPr>
        <w:t>5）形成正式征求意见稿（2026</w:t>
      </w:r>
      <w:r>
        <w:rPr>
          <w:rFonts w:hint="eastAsia"/>
          <w:b/>
          <w:bCs/>
          <w:lang w:val="en-US" w:eastAsia="zh-CN"/>
        </w:rPr>
        <w:t>.</w:t>
      </w:r>
      <w:r>
        <w:rPr>
          <w:rFonts w:hint="eastAsia"/>
          <w:b/>
          <w:bCs/>
          <w:lang w:val="zh-CN"/>
        </w:rPr>
        <w:t xml:space="preserve">10） </w:t>
      </w:r>
      <w:r>
        <w:rPr>
          <w:rFonts w:hint="eastAsia"/>
          <w:lang w:val="zh-CN"/>
        </w:rPr>
        <w:t>编制组内部多轮研讨修改，形成正式征求意见稿。</w:t>
      </w:r>
    </w:p>
    <w:p>
      <w:pPr>
        <w:pStyle w:val="3"/>
        <w:spacing w:before="76" w:after="76"/>
        <w:rPr>
          <w:lang w:val="zh-CN"/>
        </w:rPr>
      </w:pPr>
      <w:bookmarkStart w:id="5" w:name="_Toc242450703"/>
      <w:r>
        <w:rPr>
          <w:rFonts w:hint="eastAsia"/>
          <w:lang w:val="zh-CN"/>
        </w:rPr>
        <w:t>编制组组成</w:t>
      </w:r>
      <w:bookmarkEnd w:id="5"/>
    </w:p>
    <w:p>
      <w:pPr>
        <w:ind w:firstLine="560"/>
        <w:rPr>
          <w:lang w:val="zh-CN"/>
        </w:rPr>
      </w:pPr>
      <w:r>
        <w:rPr>
          <w:rFonts w:hint="eastAsia"/>
          <w:lang w:val="zh-CN"/>
        </w:rPr>
        <w:t>主编单位：上海市水利管理事务中心（上海市河湖管理事务中心）、黄河勘测规划设计研究院有限公司。 参编单位：上海市堤防泵闸建设运行中心、上海市水务规划设计研究院（上海市海洋规划设计研究院）。 编制组涵盖水利工程建设、河湖管理、信息化、数据安全、标准化专业人员；设置秘书组负责会议组织、文稿汇总、内外沟通协调。</w:t>
      </w:r>
    </w:p>
    <w:p>
      <w:pPr>
        <w:pStyle w:val="2"/>
        <w:spacing w:before="381" w:after="381"/>
        <w:rPr>
          <w:lang w:val="zh-CN"/>
        </w:rPr>
      </w:pPr>
      <w:bookmarkStart w:id="6" w:name="_Toc242450704"/>
      <w:r>
        <w:rPr>
          <w:rFonts w:hint="eastAsia"/>
          <w:lang w:val="zh-CN"/>
        </w:rPr>
        <w:t>标准编制原则和主要依据</w:t>
      </w:r>
      <w:bookmarkEnd w:id="6"/>
    </w:p>
    <w:p>
      <w:pPr>
        <w:pStyle w:val="3"/>
        <w:spacing w:before="76" w:after="76"/>
        <w:rPr>
          <w:lang w:val="zh-CN"/>
        </w:rPr>
      </w:pPr>
      <w:bookmarkStart w:id="7" w:name="_Toc242450705"/>
      <w:r>
        <w:rPr>
          <w:rFonts w:hint="eastAsia"/>
          <w:lang w:val="zh-CN"/>
        </w:rPr>
        <w:t>编制原则</w:t>
      </w:r>
      <w:bookmarkEnd w:id="7"/>
    </w:p>
    <w:p>
      <w:pPr>
        <w:ind w:firstLine="562"/>
        <w:rPr>
          <w:lang w:val="zh-CN"/>
        </w:rPr>
      </w:pPr>
      <w:r>
        <w:rPr>
          <w:rFonts w:hint="eastAsia"/>
          <w:b/>
          <w:bCs/>
          <w:lang w:val="zh-CN"/>
        </w:rPr>
        <w:t>1）合规协调原则</w:t>
      </w:r>
      <w:r>
        <w:rPr>
          <w:rFonts w:hint="eastAsia"/>
          <w:lang w:val="zh-CN"/>
        </w:rPr>
        <w:t xml:space="preserve">：符合国家法律、行政法规，与国家、行业、上海现行地方标准协调一致；充分辨析国内外以及国内各省市同类归集标准的技术特点，不与上位文件冲突。 </w:t>
      </w:r>
    </w:p>
    <w:p>
      <w:pPr>
        <w:ind w:firstLine="562"/>
        <w:rPr>
          <w:lang w:val="zh-CN"/>
        </w:rPr>
      </w:pPr>
      <w:r>
        <w:rPr>
          <w:rFonts w:hint="eastAsia"/>
          <w:b/>
          <w:bCs/>
          <w:lang w:val="zh-CN"/>
        </w:rPr>
        <w:t>2）实用可操作原则</w:t>
      </w:r>
      <w:r>
        <w:rPr>
          <w:rFonts w:hint="eastAsia"/>
          <w:lang w:val="zh-CN"/>
        </w:rPr>
        <w:t>：立足上海水利专项项目业务实际，兼顾项目法人、参建单位执行条件，流程、格式、周期贴合工程管理现状，便于一线落地执行。</w:t>
      </w:r>
    </w:p>
    <w:p>
      <w:pPr>
        <w:ind w:firstLine="562"/>
        <w:rPr>
          <w:lang w:val="zh-CN"/>
        </w:rPr>
      </w:pPr>
      <w:r>
        <w:rPr>
          <w:rFonts w:hint="eastAsia"/>
          <w:b/>
          <w:bCs/>
          <w:lang w:val="zh-CN"/>
        </w:rPr>
        <w:t>3）适度先进、预留弹性原则</w:t>
      </w:r>
      <w:r>
        <w:rPr>
          <w:rFonts w:hint="eastAsia"/>
          <w:lang w:val="zh-CN"/>
        </w:rPr>
        <w:t>：对接数据要素、智慧水利发展方向，同时不设置过高技术门槛，为后续技术迭代预留空间。</w:t>
      </w:r>
    </w:p>
    <w:p>
      <w:pPr>
        <w:ind w:firstLine="562"/>
        <w:rPr>
          <w:lang w:val="zh-CN"/>
        </w:rPr>
      </w:pPr>
      <w:r>
        <w:rPr>
          <w:rFonts w:hint="eastAsia"/>
          <w:b/>
          <w:bCs/>
          <w:lang w:val="zh-CN"/>
        </w:rPr>
        <w:t>4）权责清晰原则</w:t>
      </w:r>
      <w:r>
        <w:rPr>
          <w:rFonts w:hint="eastAsia"/>
          <w:lang w:val="zh-CN"/>
        </w:rPr>
        <w:t>：落实“谁产生、谁提供、谁负责”，厘清项目法人、参建单位、水行政主管部门权责边界。</w:t>
      </w:r>
    </w:p>
    <w:p>
      <w:pPr>
        <w:ind w:firstLine="562"/>
        <w:rPr>
          <w:lang w:val="zh-CN"/>
        </w:rPr>
      </w:pPr>
      <w:r>
        <w:rPr>
          <w:rFonts w:hint="eastAsia"/>
          <w:b/>
          <w:bCs/>
          <w:lang w:val="zh-CN"/>
        </w:rPr>
        <w:t>5）安全优先原则</w:t>
      </w:r>
      <w:r>
        <w:rPr>
          <w:rFonts w:hint="eastAsia"/>
          <w:lang w:val="zh-CN"/>
        </w:rPr>
        <w:t>：落实《网络安全法》和《数据安全法》，执行水利数据分类分级，强化敏感数据脱敏、访问控制、加密防护。</w:t>
      </w:r>
    </w:p>
    <w:p>
      <w:pPr>
        <w:ind w:firstLine="562"/>
        <w:rPr>
          <w:lang w:val="zh-CN"/>
        </w:rPr>
      </w:pPr>
      <w:r>
        <w:rPr>
          <w:rFonts w:hint="eastAsia"/>
          <w:b/>
          <w:bCs/>
          <w:lang w:val="zh-CN"/>
        </w:rPr>
        <w:t>6）广泛参与原则</w:t>
      </w:r>
      <w:r>
        <w:rPr>
          <w:rFonts w:hint="eastAsia"/>
          <w:lang w:val="zh-CN"/>
        </w:rPr>
        <w:t>：编制全过程征求主管部门、运行单位、设计施工信息化专家意见，做到协商一致。</w:t>
      </w:r>
    </w:p>
    <w:p>
      <w:pPr>
        <w:pStyle w:val="3"/>
        <w:spacing w:before="76" w:after="76"/>
        <w:rPr>
          <w:lang w:val="zh-CN"/>
        </w:rPr>
      </w:pPr>
      <w:bookmarkStart w:id="8" w:name="_Toc242450706"/>
      <w:r>
        <w:rPr>
          <w:rFonts w:hint="eastAsia"/>
          <w:lang w:val="zh-CN"/>
        </w:rPr>
        <w:t>主要编制依据</w:t>
      </w:r>
      <w:bookmarkEnd w:id="8"/>
    </w:p>
    <w:p>
      <w:pPr>
        <w:pStyle w:val="4"/>
      </w:pPr>
      <w:r>
        <w:rPr>
          <w:rFonts w:hint="eastAsia"/>
        </w:rPr>
        <w:t>法律法规</w:t>
      </w:r>
    </w:p>
    <w:p>
      <w:pPr>
        <w:ind w:firstLine="560"/>
        <w:rPr>
          <w:lang w:val="zh-CN"/>
        </w:rPr>
      </w:pPr>
      <w:r>
        <w:rPr>
          <w:rFonts w:hint="eastAsia"/>
          <w:lang w:val="zh-CN"/>
        </w:rPr>
        <w:t>（1）《中华人民共和国网络安全法》；</w:t>
      </w:r>
    </w:p>
    <w:p>
      <w:pPr>
        <w:ind w:firstLine="560"/>
        <w:rPr>
          <w:lang w:val="zh-CN"/>
        </w:rPr>
      </w:pPr>
      <w:r>
        <w:rPr>
          <w:rFonts w:hint="eastAsia"/>
          <w:lang w:val="zh-CN"/>
        </w:rPr>
        <w:t>（2）《中华人民共和国数据安全法》；</w:t>
      </w:r>
    </w:p>
    <w:p>
      <w:pPr>
        <w:ind w:firstLine="560"/>
        <w:rPr>
          <w:lang w:val="zh-CN"/>
        </w:rPr>
      </w:pPr>
      <w:r>
        <w:rPr>
          <w:rFonts w:hint="eastAsia"/>
          <w:lang w:val="zh-CN"/>
        </w:rPr>
        <w:t>（3）《网络数据安全管理条例》。</w:t>
      </w:r>
    </w:p>
    <w:p>
      <w:pPr>
        <w:pStyle w:val="4"/>
      </w:pPr>
      <w:r>
        <w:rPr>
          <w:rFonts w:hint="eastAsia"/>
        </w:rPr>
        <w:t>国家政策文件</w:t>
      </w:r>
    </w:p>
    <w:p>
      <w:pPr>
        <w:ind w:firstLine="560"/>
        <w:rPr>
          <w:lang w:val="zh-CN"/>
        </w:rPr>
      </w:pPr>
      <w:r>
        <w:rPr>
          <w:rFonts w:hint="eastAsia"/>
          <w:lang w:val="zh-CN"/>
        </w:rPr>
        <w:t>（1）《数字中国建设整体布局规划》；</w:t>
      </w:r>
    </w:p>
    <w:p>
      <w:pPr>
        <w:ind w:firstLine="560"/>
        <w:rPr>
          <w:lang w:val="zh-CN"/>
        </w:rPr>
      </w:pPr>
      <w:r>
        <w:rPr>
          <w:rFonts w:hint="eastAsia"/>
          <w:lang w:val="zh-CN"/>
        </w:rPr>
        <w:t>（2）《关于加强行政事业单位数据资产管理的通知》财资〔2024〕1号；</w:t>
      </w:r>
    </w:p>
    <w:p>
      <w:pPr>
        <w:ind w:firstLine="560"/>
        <w:rPr>
          <w:lang w:val="zh-CN"/>
        </w:rPr>
      </w:pPr>
      <w:r>
        <w:rPr>
          <w:rFonts w:hint="eastAsia"/>
          <w:lang w:val="zh-CN"/>
        </w:rPr>
        <w:t>（3）《立足数字经济新赛道推动数据要素产业创新发展行动方案》。</w:t>
      </w:r>
    </w:p>
    <w:p>
      <w:pPr>
        <w:pStyle w:val="4"/>
      </w:pPr>
      <w:r>
        <w:rPr>
          <w:rFonts w:hint="eastAsia"/>
        </w:rPr>
        <w:t>国家标准</w:t>
      </w:r>
    </w:p>
    <w:p>
      <w:pPr>
        <w:ind w:firstLine="560"/>
        <w:rPr>
          <w:lang w:val="zh-CN"/>
        </w:rPr>
      </w:pPr>
      <w:r>
        <w:rPr>
          <w:rFonts w:hint="eastAsia"/>
          <w:lang w:val="zh-CN"/>
        </w:rPr>
        <w:t>（1）《标准化工作导则</w:t>
      </w:r>
      <w:r>
        <w:rPr>
          <w:lang w:val="zh-CN"/>
        </w:rPr>
        <w:t> </w:t>
      </w:r>
      <w:r>
        <w:rPr>
          <w:rFonts w:hint="eastAsia"/>
          <w:lang w:val="zh-CN"/>
        </w:rPr>
        <w:t>第</w:t>
      </w:r>
      <w:r>
        <w:rPr>
          <w:lang w:val="zh-CN"/>
        </w:rPr>
        <w:t>1</w:t>
      </w:r>
      <w:r>
        <w:rPr>
          <w:rFonts w:hint="eastAsia"/>
          <w:lang w:val="zh-CN"/>
        </w:rPr>
        <w:t>部分：标准化文件的结构和起草规则》</w:t>
      </w:r>
      <w:r>
        <w:rPr>
          <w:lang w:val="zh-CN"/>
        </w:rPr>
        <w:t>GB/T 1.1</w:t>
      </w:r>
      <w:r>
        <w:rPr>
          <w:rFonts w:hint="eastAsia"/>
          <w:lang w:val="zh-CN"/>
        </w:rPr>
        <w:t>-</w:t>
      </w:r>
      <w:r>
        <w:rPr>
          <w:lang w:val="zh-CN"/>
        </w:rPr>
        <w:t>2020</w:t>
      </w:r>
      <w:r>
        <w:rPr>
          <w:rFonts w:hint="eastAsia"/>
          <w:lang w:val="zh-CN"/>
        </w:rPr>
        <w:t>；</w:t>
      </w:r>
    </w:p>
    <w:p>
      <w:pPr>
        <w:ind w:firstLine="560"/>
        <w:rPr>
          <w:lang w:val="zh-CN"/>
        </w:rPr>
      </w:pPr>
      <w:r>
        <w:rPr>
          <w:rFonts w:hint="eastAsia"/>
          <w:lang w:val="zh-CN"/>
        </w:rPr>
        <w:t>（2）《电子文件归档和电子档案管理规范》</w:t>
      </w:r>
      <w:r>
        <w:rPr>
          <w:lang w:val="zh-CN"/>
        </w:rPr>
        <w:t>GB/T 18894</w:t>
      </w:r>
      <w:r>
        <w:rPr>
          <w:rFonts w:hint="eastAsia"/>
          <w:lang w:val="zh-CN"/>
        </w:rPr>
        <w:t>；</w:t>
      </w:r>
    </w:p>
    <w:p>
      <w:pPr>
        <w:ind w:firstLine="560"/>
        <w:rPr>
          <w:lang w:val="zh-CN"/>
        </w:rPr>
      </w:pPr>
      <w:r>
        <w:rPr>
          <w:rFonts w:hint="eastAsia"/>
          <w:lang w:val="zh-CN"/>
        </w:rPr>
        <w:t>（3）《信息安全技术</w:t>
      </w:r>
      <w:r>
        <w:rPr>
          <w:lang w:val="zh-CN"/>
        </w:rPr>
        <w:t> </w:t>
      </w:r>
      <w:r>
        <w:rPr>
          <w:rFonts w:hint="eastAsia"/>
          <w:lang w:val="zh-CN"/>
        </w:rPr>
        <w:t>网络安全等级保护基本要求》</w:t>
      </w:r>
      <w:r>
        <w:rPr>
          <w:lang w:val="zh-CN"/>
        </w:rPr>
        <w:t>GB/T 22239</w:t>
      </w:r>
      <w:r>
        <w:rPr>
          <w:rFonts w:hint="eastAsia"/>
          <w:lang w:val="zh-CN"/>
        </w:rPr>
        <w:t>-</w:t>
      </w:r>
      <w:r>
        <w:rPr>
          <w:lang w:val="zh-CN"/>
        </w:rPr>
        <w:t>2019</w:t>
      </w:r>
      <w:r>
        <w:rPr>
          <w:rFonts w:hint="eastAsia"/>
          <w:lang w:val="zh-CN"/>
        </w:rPr>
        <w:t>；</w:t>
      </w:r>
    </w:p>
    <w:p>
      <w:pPr>
        <w:ind w:firstLine="560"/>
        <w:rPr>
          <w:lang w:val="zh-CN"/>
        </w:rPr>
      </w:pPr>
      <w:r>
        <w:rPr>
          <w:rFonts w:hint="eastAsia"/>
          <w:lang w:val="zh-CN"/>
        </w:rPr>
        <w:t>（4）《信息安全技术</w:t>
      </w:r>
      <w:r>
        <w:rPr>
          <w:lang w:val="zh-CN"/>
        </w:rPr>
        <w:t> </w:t>
      </w:r>
      <w:r>
        <w:rPr>
          <w:rFonts w:hint="eastAsia"/>
          <w:lang w:val="zh-CN"/>
        </w:rPr>
        <w:t>网络安全等级保护定级指南》</w:t>
      </w:r>
      <w:r>
        <w:rPr>
          <w:lang w:val="zh-CN"/>
        </w:rPr>
        <w:t>GB/T 22240</w:t>
      </w:r>
      <w:r>
        <w:rPr>
          <w:rFonts w:hint="eastAsia"/>
          <w:lang w:val="zh-CN"/>
        </w:rPr>
        <w:t>-</w:t>
      </w:r>
      <w:r>
        <w:rPr>
          <w:lang w:val="zh-CN"/>
        </w:rPr>
        <w:t>2020</w:t>
      </w:r>
      <w:r>
        <w:rPr>
          <w:rFonts w:hint="eastAsia"/>
          <w:lang w:val="zh-CN"/>
        </w:rPr>
        <w:t>；</w:t>
      </w:r>
    </w:p>
    <w:p>
      <w:pPr>
        <w:ind w:firstLine="560"/>
        <w:rPr>
          <w:lang w:val="zh-CN"/>
        </w:rPr>
      </w:pPr>
      <w:r>
        <w:rPr>
          <w:rFonts w:hint="eastAsia"/>
          <w:lang w:val="zh-CN"/>
        </w:rPr>
        <w:t>（5）《信息技术服务治理</w:t>
      </w:r>
      <w:r>
        <w:rPr>
          <w:lang w:val="zh-CN"/>
        </w:rPr>
        <w:t> </w:t>
      </w:r>
      <w:r>
        <w:rPr>
          <w:rFonts w:hint="eastAsia"/>
          <w:lang w:val="zh-CN"/>
        </w:rPr>
        <w:t>第</w:t>
      </w:r>
      <w:r>
        <w:rPr>
          <w:lang w:val="zh-CN"/>
        </w:rPr>
        <w:t>5</w:t>
      </w:r>
      <w:r>
        <w:rPr>
          <w:rFonts w:hint="eastAsia"/>
          <w:lang w:val="zh-CN"/>
        </w:rPr>
        <w:t>部分：数据治理规范》</w:t>
      </w:r>
      <w:r>
        <w:rPr>
          <w:lang w:val="zh-CN"/>
        </w:rPr>
        <w:t>GB/T 34960.5</w:t>
      </w:r>
      <w:r>
        <w:rPr>
          <w:rFonts w:hint="eastAsia"/>
          <w:lang w:val="zh-CN"/>
        </w:rPr>
        <w:t>-</w:t>
      </w:r>
      <w:r>
        <w:rPr>
          <w:lang w:val="zh-CN"/>
        </w:rPr>
        <w:t>2018</w:t>
      </w:r>
      <w:r>
        <w:rPr>
          <w:rFonts w:hint="eastAsia"/>
          <w:lang w:val="zh-CN"/>
        </w:rPr>
        <w:t>；</w:t>
      </w:r>
    </w:p>
    <w:p>
      <w:pPr>
        <w:ind w:firstLine="560"/>
        <w:rPr>
          <w:lang w:val="zh-CN"/>
        </w:rPr>
      </w:pPr>
      <w:r>
        <w:rPr>
          <w:rFonts w:hint="eastAsia"/>
          <w:lang w:val="zh-CN"/>
        </w:rPr>
        <w:t>（6）《信息安全技术</w:t>
      </w:r>
      <w:r>
        <w:rPr>
          <w:lang w:val="zh-CN"/>
        </w:rPr>
        <w:t> </w:t>
      </w:r>
      <w:r>
        <w:rPr>
          <w:rFonts w:hint="eastAsia"/>
          <w:lang w:val="zh-CN"/>
        </w:rPr>
        <w:t>个人信息安全规范》</w:t>
      </w:r>
      <w:r>
        <w:rPr>
          <w:lang w:val="zh-CN"/>
        </w:rPr>
        <w:t>GB/T 35273</w:t>
      </w:r>
      <w:r>
        <w:rPr>
          <w:rFonts w:hint="eastAsia"/>
          <w:lang w:val="zh-CN"/>
        </w:rPr>
        <w:t>；</w:t>
      </w:r>
    </w:p>
    <w:p>
      <w:pPr>
        <w:ind w:firstLine="560"/>
        <w:rPr>
          <w:lang w:val="zh-CN"/>
        </w:rPr>
      </w:pPr>
      <w:r>
        <w:rPr>
          <w:rFonts w:hint="eastAsia"/>
          <w:lang w:val="zh-CN"/>
        </w:rPr>
        <w:t>（7）《信息技术</w:t>
      </w:r>
      <w:r>
        <w:rPr>
          <w:lang w:val="zh-CN"/>
        </w:rPr>
        <w:t> </w:t>
      </w:r>
      <w:r>
        <w:rPr>
          <w:rFonts w:hint="eastAsia"/>
          <w:lang w:val="zh-CN"/>
        </w:rPr>
        <w:t>数据质量评价指标》</w:t>
      </w:r>
      <w:r>
        <w:rPr>
          <w:lang w:val="zh-CN"/>
        </w:rPr>
        <w:t>GB/T 36344</w:t>
      </w:r>
      <w:r>
        <w:rPr>
          <w:rFonts w:hint="eastAsia"/>
          <w:lang w:val="zh-CN"/>
        </w:rPr>
        <w:t>-</w:t>
      </w:r>
      <w:r>
        <w:rPr>
          <w:lang w:val="zh-CN"/>
        </w:rPr>
        <w:t>2018</w:t>
      </w:r>
      <w:r>
        <w:rPr>
          <w:rFonts w:hint="eastAsia"/>
          <w:lang w:val="zh-CN"/>
        </w:rPr>
        <w:t>；</w:t>
      </w:r>
    </w:p>
    <w:p>
      <w:pPr>
        <w:ind w:firstLine="560"/>
        <w:rPr>
          <w:lang w:val="zh-CN"/>
        </w:rPr>
      </w:pPr>
      <w:r>
        <w:rPr>
          <w:rFonts w:hint="eastAsia"/>
          <w:lang w:val="zh-CN"/>
        </w:rPr>
        <w:t>（8）《信息安全技术</w:t>
      </w:r>
      <w:r>
        <w:rPr>
          <w:lang w:val="zh-CN"/>
        </w:rPr>
        <w:t> </w:t>
      </w:r>
      <w:r>
        <w:rPr>
          <w:rFonts w:hint="eastAsia"/>
          <w:lang w:val="zh-CN"/>
        </w:rPr>
        <w:t>大数据安全管理指南》</w:t>
      </w:r>
      <w:r>
        <w:rPr>
          <w:lang w:val="zh-CN"/>
        </w:rPr>
        <w:t>GB/T 37973</w:t>
      </w:r>
      <w:r>
        <w:rPr>
          <w:rFonts w:hint="eastAsia"/>
          <w:lang w:val="zh-CN"/>
        </w:rPr>
        <w:t>；</w:t>
      </w:r>
    </w:p>
    <w:p>
      <w:pPr>
        <w:ind w:firstLine="560"/>
        <w:rPr>
          <w:lang w:val="zh-CN"/>
        </w:rPr>
      </w:pPr>
      <w:r>
        <w:rPr>
          <w:rFonts w:hint="eastAsia"/>
          <w:lang w:val="zh-CN"/>
        </w:rPr>
        <w:t>（9）《信息技术服务</w:t>
      </w:r>
      <w:r>
        <w:rPr>
          <w:lang w:val="zh-CN"/>
        </w:rPr>
        <w:t> </w:t>
      </w:r>
      <w:r>
        <w:rPr>
          <w:rFonts w:hint="eastAsia"/>
          <w:lang w:val="zh-CN"/>
        </w:rPr>
        <w:t>数据资产管理要求》</w:t>
      </w:r>
      <w:r>
        <w:rPr>
          <w:lang w:val="zh-CN"/>
        </w:rPr>
        <w:t>GB/T 40685</w:t>
      </w:r>
      <w:r>
        <w:rPr>
          <w:rFonts w:hint="eastAsia"/>
          <w:lang w:val="zh-CN"/>
        </w:rPr>
        <w:t>-</w:t>
      </w:r>
      <w:r>
        <w:rPr>
          <w:lang w:val="zh-CN"/>
        </w:rPr>
        <w:t>2021</w:t>
      </w:r>
      <w:r>
        <w:rPr>
          <w:rFonts w:hint="eastAsia"/>
          <w:lang w:val="zh-CN"/>
        </w:rPr>
        <w:t>；</w:t>
      </w:r>
    </w:p>
    <w:p>
      <w:pPr>
        <w:ind w:firstLine="560"/>
        <w:rPr>
          <w:lang w:val="zh-CN"/>
        </w:rPr>
      </w:pPr>
      <w:r>
        <w:rPr>
          <w:rFonts w:hint="eastAsia"/>
          <w:lang w:val="zh-CN"/>
        </w:rPr>
        <w:t>（10）《信息技术</w:t>
      </w:r>
      <w:r>
        <w:rPr>
          <w:lang w:val="zh-CN"/>
        </w:rPr>
        <w:t> </w:t>
      </w:r>
      <w:r>
        <w:rPr>
          <w:rFonts w:hint="eastAsia"/>
          <w:lang w:val="zh-CN"/>
        </w:rPr>
        <w:t>数据资产价值评估</w:t>
      </w:r>
      <w:r>
        <w:rPr>
          <w:lang w:val="zh-CN"/>
        </w:rPr>
        <w:t> </w:t>
      </w:r>
      <w:r>
        <w:rPr>
          <w:rFonts w:hint="eastAsia"/>
          <w:lang w:val="zh-CN"/>
        </w:rPr>
        <w:t>大数据》</w:t>
      </w:r>
      <w:r>
        <w:rPr>
          <w:lang w:val="zh-CN"/>
        </w:rPr>
        <w:t>GB/T 46353</w:t>
      </w:r>
      <w:r>
        <w:rPr>
          <w:rFonts w:hint="eastAsia"/>
          <w:lang w:val="zh-CN"/>
        </w:rPr>
        <w:t>-</w:t>
      </w:r>
      <w:r>
        <w:rPr>
          <w:lang w:val="zh-CN"/>
        </w:rPr>
        <w:t>2025</w:t>
      </w:r>
      <w:r>
        <w:rPr>
          <w:rFonts w:hint="eastAsia"/>
          <w:lang w:val="zh-CN"/>
        </w:rPr>
        <w:t>；</w:t>
      </w:r>
    </w:p>
    <w:p>
      <w:pPr>
        <w:ind w:firstLine="560"/>
        <w:rPr>
          <w:lang w:val="zh-CN"/>
        </w:rPr>
      </w:pPr>
      <w:r>
        <w:rPr>
          <w:rFonts w:hint="eastAsia"/>
          <w:lang w:val="zh-CN"/>
        </w:rPr>
        <w:t>（11）《信息技术服务</w:t>
      </w:r>
      <w:r>
        <w:rPr>
          <w:lang w:val="zh-CN"/>
        </w:rPr>
        <w:t> </w:t>
      </w:r>
      <w:r>
        <w:rPr>
          <w:rFonts w:hint="eastAsia"/>
          <w:lang w:val="zh-CN"/>
        </w:rPr>
        <w:t>数据质量度量指标》</w:t>
      </w:r>
      <w:r>
        <w:rPr>
          <w:lang w:val="zh-CN"/>
        </w:rPr>
        <w:t>GB/T 39443</w:t>
      </w:r>
      <w:r>
        <w:rPr>
          <w:rFonts w:hint="eastAsia"/>
          <w:lang w:val="zh-CN"/>
        </w:rPr>
        <w:t>-</w:t>
      </w:r>
      <w:r>
        <w:rPr>
          <w:lang w:val="zh-CN"/>
        </w:rPr>
        <w:t>2020</w:t>
      </w:r>
      <w:r>
        <w:rPr>
          <w:rFonts w:hint="eastAsia"/>
          <w:lang w:val="zh-CN"/>
        </w:rPr>
        <w:t>；</w:t>
      </w:r>
    </w:p>
    <w:p>
      <w:pPr>
        <w:ind w:firstLine="560"/>
        <w:rPr>
          <w:lang w:val="zh-CN"/>
        </w:rPr>
      </w:pPr>
      <w:r>
        <w:rPr>
          <w:rFonts w:hint="eastAsia"/>
          <w:lang w:val="zh-CN"/>
        </w:rPr>
        <w:t>（12）《纸质档案数字化规范》</w:t>
      </w:r>
      <w:r>
        <w:rPr>
          <w:lang w:val="zh-CN"/>
        </w:rPr>
        <w:t>DA/T 31</w:t>
      </w:r>
      <w:r>
        <w:rPr>
          <w:rFonts w:hint="eastAsia"/>
          <w:lang w:val="zh-CN"/>
        </w:rPr>
        <w:t>。</w:t>
      </w:r>
    </w:p>
    <w:p>
      <w:pPr>
        <w:pStyle w:val="4"/>
      </w:pPr>
      <w:r>
        <w:rPr>
          <w:rFonts w:hint="eastAsia"/>
        </w:rPr>
        <w:t>行业标准</w:t>
      </w:r>
    </w:p>
    <w:p>
      <w:pPr>
        <w:ind w:firstLine="560"/>
        <w:rPr>
          <w:lang w:val="zh-CN"/>
        </w:rPr>
      </w:pPr>
      <w:r>
        <w:rPr>
          <w:rFonts w:hint="eastAsia"/>
          <w:lang w:val="zh-CN"/>
        </w:rPr>
        <w:t>（1）《水利技术标准编写规程》SL/T 1-2024；</w:t>
      </w:r>
    </w:p>
    <w:p>
      <w:pPr>
        <w:ind w:firstLine="560"/>
        <w:rPr>
          <w:lang w:val="zh-CN"/>
        </w:rPr>
      </w:pPr>
      <w:r>
        <w:rPr>
          <w:rFonts w:hint="eastAsia"/>
          <w:lang w:val="zh-CN"/>
        </w:rPr>
        <w:t>（2）《水利水电建设工程验收规程》SL/T 223；</w:t>
      </w:r>
    </w:p>
    <w:p>
      <w:pPr>
        <w:ind w:firstLine="560"/>
        <w:rPr>
          <w:lang w:val="zh-CN"/>
        </w:rPr>
      </w:pPr>
      <w:r>
        <w:rPr>
          <w:rFonts w:hint="eastAsia"/>
          <w:lang w:val="zh-CN"/>
        </w:rPr>
        <w:t>（3）《水利工程建设项目文件收集与归档规范》SL/T 824-2024；</w:t>
      </w:r>
    </w:p>
    <w:p>
      <w:pPr>
        <w:ind w:firstLine="560"/>
        <w:rPr>
          <w:lang w:val="zh-CN"/>
        </w:rPr>
      </w:pPr>
      <w:r>
        <w:rPr>
          <w:rFonts w:hint="eastAsia"/>
          <w:lang w:val="zh-CN"/>
        </w:rPr>
        <w:t>（4）《水利数据分类分级规则》SL/T 864-2026。</w:t>
      </w:r>
    </w:p>
    <w:p>
      <w:pPr>
        <w:pStyle w:val="4"/>
      </w:pPr>
      <w:r>
        <w:rPr>
          <w:rFonts w:hint="eastAsia"/>
        </w:rPr>
        <w:t>国内地方参考标准（对标研究）</w:t>
      </w:r>
    </w:p>
    <w:p>
      <w:pPr>
        <w:ind w:firstLine="560"/>
        <w:rPr>
          <w:lang w:val="zh-CN"/>
        </w:rPr>
      </w:pPr>
      <w:r>
        <w:rPr>
          <w:rFonts w:hint="eastAsia"/>
          <w:lang w:val="zh-CN"/>
        </w:rPr>
        <w:t>（1）《建筑工程和市政工程造价数据归集标准》（湖北）</w:t>
      </w:r>
      <w:r>
        <w:rPr>
          <w:lang w:val="zh-CN"/>
        </w:rPr>
        <w:t>DB42/T 2176</w:t>
      </w:r>
      <w:r>
        <w:rPr>
          <w:rFonts w:hint="eastAsia"/>
          <w:lang w:val="zh-CN"/>
        </w:rPr>
        <w:t>-</w:t>
      </w:r>
      <w:r>
        <w:rPr>
          <w:lang w:val="zh-CN"/>
        </w:rPr>
        <w:t>2024</w:t>
      </w:r>
      <w:r>
        <w:rPr>
          <w:rFonts w:hint="eastAsia"/>
          <w:lang w:val="zh-CN"/>
        </w:rPr>
        <w:t>；</w:t>
      </w:r>
    </w:p>
    <w:p>
      <w:pPr>
        <w:ind w:firstLine="560"/>
        <w:rPr>
          <w:lang w:val="zh-CN"/>
        </w:rPr>
      </w:pPr>
      <w:r>
        <w:rPr>
          <w:rFonts w:hint="eastAsia"/>
          <w:lang w:val="zh-CN"/>
        </w:rPr>
        <w:t>（2）《特种设备双重预防数据归集技术规范》（江苏）</w:t>
      </w:r>
      <w:r>
        <w:rPr>
          <w:lang w:val="zh-CN"/>
        </w:rPr>
        <w:t>DB32/T 4979</w:t>
      </w:r>
      <w:r>
        <w:rPr>
          <w:rFonts w:hint="eastAsia"/>
          <w:lang w:val="zh-CN"/>
        </w:rPr>
        <w:t>-</w:t>
      </w:r>
      <w:r>
        <w:rPr>
          <w:lang w:val="zh-CN"/>
        </w:rPr>
        <w:t>2024</w:t>
      </w:r>
      <w:r>
        <w:rPr>
          <w:rFonts w:hint="eastAsia"/>
          <w:lang w:val="zh-CN"/>
        </w:rPr>
        <w:t>；</w:t>
      </w:r>
    </w:p>
    <w:p>
      <w:pPr>
        <w:ind w:firstLine="560"/>
        <w:rPr>
          <w:lang w:val="zh-CN"/>
        </w:rPr>
      </w:pPr>
      <w:r>
        <w:rPr>
          <w:rFonts w:hint="eastAsia"/>
          <w:lang w:val="zh-CN"/>
        </w:rPr>
        <w:t>（3）《公共信用信息归集规范》（江苏）</w:t>
      </w:r>
      <w:r>
        <w:rPr>
          <w:lang w:val="zh-CN"/>
        </w:rPr>
        <w:t>DB32/T 4143</w:t>
      </w:r>
      <w:r>
        <w:rPr>
          <w:rFonts w:hint="eastAsia"/>
          <w:lang w:val="zh-CN"/>
        </w:rPr>
        <w:t>-</w:t>
      </w:r>
      <w:r>
        <w:rPr>
          <w:lang w:val="zh-CN"/>
        </w:rPr>
        <w:t>2021</w:t>
      </w:r>
      <w:r>
        <w:rPr>
          <w:rFonts w:hint="eastAsia"/>
          <w:lang w:val="zh-CN"/>
        </w:rPr>
        <w:t>；</w:t>
      </w:r>
    </w:p>
    <w:p>
      <w:pPr>
        <w:ind w:firstLine="560"/>
        <w:rPr>
          <w:lang w:val="zh-CN"/>
        </w:rPr>
      </w:pPr>
      <w:r>
        <w:rPr>
          <w:rFonts w:hint="eastAsia"/>
          <w:lang w:val="zh-CN"/>
        </w:rPr>
        <w:t>（4）《医疗卫生信用信息归集规范》（江苏）</w:t>
      </w:r>
      <w:r>
        <w:rPr>
          <w:lang w:val="zh-CN"/>
        </w:rPr>
        <w:t>DB32/T 4008</w:t>
      </w:r>
      <w:r>
        <w:rPr>
          <w:rFonts w:hint="eastAsia"/>
          <w:lang w:val="zh-CN"/>
        </w:rPr>
        <w:t>-</w:t>
      </w:r>
      <w:r>
        <w:rPr>
          <w:lang w:val="zh-CN"/>
        </w:rPr>
        <w:t>2021</w:t>
      </w:r>
      <w:r>
        <w:rPr>
          <w:rFonts w:hint="eastAsia"/>
          <w:lang w:val="zh-CN"/>
        </w:rPr>
        <w:t>；</w:t>
      </w:r>
    </w:p>
    <w:p>
      <w:pPr>
        <w:ind w:firstLine="560"/>
        <w:rPr>
          <w:lang w:val="zh-CN"/>
        </w:rPr>
      </w:pPr>
      <w:r>
        <w:rPr>
          <w:rFonts w:hint="eastAsia"/>
          <w:lang w:val="zh-CN"/>
        </w:rPr>
        <w:t>（5）《公共数据</w:t>
      </w:r>
      <w:r>
        <w:rPr>
          <w:lang w:val="zh-CN"/>
        </w:rPr>
        <w:t> </w:t>
      </w:r>
      <w:r>
        <w:rPr>
          <w:rFonts w:hint="eastAsia"/>
          <w:lang w:val="zh-CN"/>
        </w:rPr>
        <w:t>数据治理规范</w:t>
      </w:r>
      <w:r>
        <w:rPr>
          <w:lang w:val="zh-CN"/>
        </w:rPr>
        <w:t> </w:t>
      </w:r>
      <w:r>
        <w:rPr>
          <w:rFonts w:hint="eastAsia"/>
          <w:lang w:val="zh-CN"/>
        </w:rPr>
        <w:t>第</w:t>
      </w:r>
      <w:r>
        <w:rPr>
          <w:lang w:val="zh-CN"/>
        </w:rPr>
        <w:t>1</w:t>
      </w:r>
      <w:r>
        <w:rPr>
          <w:rFonts w:hint="eastAsia"/>
          <w:lang w:val="zh-CN"/>
        </w:rPr>
        <w:t>部分：数据归集》（山东）</w:t>
      </w:r>
      <w:r>
        <w:rPr>
          <w:lang w:val="zh-CN"/>
        </w:rPr>
        <w:t>DB37/T 4646.1</w:t>
      </w:r>
      <w:r>
        <w:rPr>
          <w:rFonts w:hint="eastAsia"/>
          <w:lang w:val="zh-CN"/>
        </w:rPr>
        <w:t>；</w:t>
      </w:r>
    </w:p>
    <w:p>
      <w:pPr>
        <w:ind w:firstLine="560"/>
        <w:rPr>
          <w:lang w:val="zh-CN"/>
        </w:rPr>
      </w:pPr>
      <w:r>
        <w:rPr>
          <w:rFonts w:hint="eastAsia"/>
          <w:lang w:val="zh-CN"/>
        </w:rPr>
        <w:t>（6）《涉企信息归集应用规范》（山东）</w:t>
      </w:r>
      <w:r>
        <w:rPr>
          <w:lang w:val="zh-CN"/>
        </w:rPr>
        <w:t>DB37/T 4335</w:t>
      </w:r>
      <w:r>
        <w:rPr>
          <w:rFonts w:hint="eastAsia"/>
          <w:lang w:val="zh-CN"/>
        </w:rPr>
        <w:t>-</w:t>
      </w:r>
      <w:r>
        <w:rPr>
          <w:lang w:val="zh-CN"/>
        </w:rPr>
        <w:t>2021</w:t>
      </w:r>
      <w:r>
        <w:rPr>
          <w:rFonts w:hint="eastAsia"/>
          <w:lang w:val="zh-CN"/>
        </w:rPr>
        <w:t>；</w:t>
      </w:r>
    </w:p>
    <w:p>
      <w:pPr>
        <w:ind w:firstLine="560"/>
        <w:rPr>
          <w:lang w:val="zh-CN"/>
        </w:rPr>
      </w:pPr>
      <w:r>
        <w:rPr>
          <w:rFonts w:hint="eastAsia"/>
          <w:lang w:val="zh-CN"/>
        </w:rPr>
        <w:t>（7）《空间地理数据归集技术要求》（上海）</w:t>
      </w:r>
      <w:r>
        <w:rPr>
          <w:lang w:val="zh-CN"/>
        </w:rPr>
        <w:t>DB31/T 1477</w:t>
      </w:r>
      <w:r>
        <w:rPr>
          <w:rFonts w:hint="eastAsia"/>
          <w:lang w:val="zh-CN"/>
        </w:rPr>
        <w:t>-</w:t>
      </w:r>
      <w:r>
        <w:rPr>
          <w:lang w:val="zh-CN"/>
        </w:rPr>
        <w:t>2024</w:t>
      </w:r>
      <w:r>
        <w:rPr>
          <w:rFonts w:hint="eastAsia"/>
          <w:lang w:val="zh-CN"/>
        </w:rPr>
        <w:t>；</w:t>
      </w:r>
    </w:p>
    <w:p>
      <w:pPr>
        <w:ind w:firstLine="560"/>
        <w:rPr>
          <w:lang w:val="zh-CN"/>
        </w:rPr>
      </w:pPr>
      <w:r>
        <w:rPr>
          <w:rFonts w:hint="eastAsia"/>
          <w:lang w:val="zh-CN"/>
        </w:rPr>
        <w:t>（8）《公共数据治理规范</w:t>
      </w:r>
      <w:r>
        <w:rPr>
          <w:lang w:val="zh-CN"/>
        </w:rPr>
        <w:t> </w:t>
      </w:r>
      <w:r>
        <w:rPr>
          <w:rFonts w:hint="eastAsia"/>
          <w:lang w:val="zh-CN"/>
        </w:rPr>
        <w:t>第</w:t>
      </w:r>
      <w:r>
        <w:rPr>
          <w:lang w:val="zh-CN"/>
        </w:rPr>
        <w:t>1</w:t>
      </w:r>
      <w:r>
        <w:rPr>
          <w:rFonts w:hint="eastAsia"/>
          <w:lang w:val="zh-CN"/>
        </w:rPr>
        <w:t>部分：归集》（四川）</w:t>
      </w:r>
      <w:r>
        <w:rPr>
          <w:lang w:val="zh-CN"/>
        </w:rPr>
        <w:t>DB51/T 3356</w:t>
      </w:r>
      <w:r>
        <w:rPr>
          <w:rFonts w:hint="eastAsia"/>
          <w:lang w:val="zh-CN"/>
        </w:rPr>
        <w:t>-</w:t>
      </w:r>
      <w:r>
        <w:rPr>
          <w:lang w:val="zh-CN"/>
        </w:rPr>
        <w:t>2026</w:t>
      </w:r>
      <w:r>
        <w:rPr>
          <w:rFonts w:hint="eastAsia"/>
          <w:lang w:val="zh-CN"/>
        </w:rPr>
        <w:t>；</w:t>
      </w:r>
    </w:p>
    <w:p>
      <w:pPr>
        <w:ind w:firstLine="560"/>
        <w:rPr>
          <w:lang w:val="zh-CN"/>
        </w:rPr>
      </w:pPr>
      <w:r>
        <w:rPr>
          <w:rFonts w:hint="eastAsia"/>
          <w:lang w:val="zh-CN"/>
        </w:rPr>
        <w:t>（9）《审计数据归集规范》（浙江）</w:t>
      </w:r>
      <w:r>
        <w:rPr>
          <w:lang w:val="zh-CN"/>
        </w:rPr>
        <w:t>DB33/T 2579</w:t>
      </w:r>
      <w:r>
        <w:rPr>
          <w:rFonts w:hint="eastAsia"/>
          <w:lang w:val="zh-CN"/>
        </w:rPr>
        <w:t>-</w:t>
      </w:r>
      <w:r>
        <w:rPr>
          <w:lang w:val="zh-CN"/>
        </w:rPr>
        <w:t>2023</w:t>
      </w:r>
      <w:r>
        <w:rPr>
          <w:rFonts w:hint="eastAsia"/>
          <w:lang w:val="zh-CN"/>
        </w:rPr>
        <w:t>。</w:t>
      </w:r>
    </w:p>
    <w:p>
      <w:pPr>
        <w:pStyle w:val="4"/>
      </w:pPr>
      <w:r>
        <w:rPr>
          <w:rFonts w:hint="eastAsia"/>
        </w:rPr>
        <w:t>上海市地方标准及管理文件</w:t>
      </w:r>
    </w:p>
    <w:p>
      <w:pPr>
        <w:ind w:firstLine="560"/>
        <w:rPr>
          <w:lang w:val="zh-CN"/>
        </w:rPr>
      </w:pPr>
      <w:r>
        <w:rPr>
          <w:rFonts w:hint="eastAsia"/>
          <w:lang w:val="zh-CN"/>
        </w:rPr>
        <w:t>（1）《空间地理数据归集技术要求》DB31/T 1477-2024；</w:t>
      </w:r>
    </w:p>
    <w:p>
      <w:pPr>
        <w:ind w:firstLine="560"/>
        <w:rPr>
          <w:lang w:val="zh-CN"/>
        </w:rPr>
      </w:pPr>
      <w:r>
        <w:rPr>
          <w:rFonts w:hint="eastAsia"/>
          <w:lang w:val="zh-CN"/>
        </w:rPr>
        <w:t>（2）《上海市水利专项项目管理办法（试行）》；</w:t>
      </w:r>
    </w:p>
    <w:p>
      <w:pPr>
        <w:ind w:firstLine="560"/>
        <w:rPr>
          <w:lang w:val="zh-CN"/>
        </w:rPr>
      </w:pPr>
      <w:r>
        <w:rPr>
          <w:rFonts w:hint="eastAsia"/>
          <w:lang w:val="zh-CN"/>
        </w:rPr>
        <w:t>（3）《上海市水务局（上海市海洋局）标准化管理办法》（沪水务〔2021〕489号）。</w:t>
      </w:r>
    </w:p>
    <w:p>
      <w:pPr>
        <w:pStyle w:val="2"/>
        <w:spacing w:before="381" w:after="381"/>
        <w:rPr>
          <w:lang w:val="zh-CN"/>
        </w:rPr>
      </w:pPr>
      <w:bookmarkStart w:id="9" w:name="_Toc242450707"/>
      <w:r>
        <w:rPr>
          <w:rFonts w:hint="eastAsia"/>
          <w:lang w:val="zh-CN"/>
        </w:rPr>
        <w:t>国内外及国内地方相关制度、标准对比分析</w:t>
      </w:r>
      <w:bookmarkEnd w:id="9"/>
    </w:p>
    <w:p>
      <w:pPr>
        <w:pStyle w:val="3"/>
        <w:spacing w:before="76" w:after="76"/>
        <w:rPr>
          <w:lang w:val="zh-CN"/>
        </w:rPr>
      </w:pPr>
      <w:bookmarkStart w:id="10" w:name="_Toc242450708"/>
      <w:r>
        <w:rPr>
          <w:rFonts w:hint="eastAsia"/>
          <w:lang w:val="zh-CN"/>
        </w:rPr>
        <w:t>国外相关制度、实践及数据资产定义</w:t>
      </w:r>
      <w:bookmarkEnd w:id="10"/>
    </w:p>
    <w:p>
      <w:pPr>
        <w:pStyle w:val="4"/>
      </w:pPr>
      <w:r>
        <w:rPr>
          <w:rFonts w:hint="eastAsia"/>
        </w:rPr>
        <w:t>美国</w:t>
      </w:r>
    </w:p>
    <w:p>
      <w:pPr>
        <w:ind w:firstLine="560"/>
        <w:rPr>
          <w:lang w:val="zh-CN"/>
        </w:rPr>
      </w:pPr>
      <w:r>
        <w:rPr>
          <w:rFonts w:hint="eastAsia"/>
          <w:lang w:val="zh-CN"/>
        </w:rPr>
        <w:t>1）数据资产定义：美国NIST（美国国家标准与技术研究院）将数据资产定义为“基于信息的资源，由各类数据组成的集合，包括数据库、输出文件、文档、网页、数据访问服务等”；联邦政府语境下，公共数据资产指政府维护、可对外开放的数据集集合，强调机器可读、可复用，并不强制要求会计意义上的经济收益，侧重政府履职的业务价值。美国没有专门针对公益性基建项目的“行政事业单位数据资产”会计定义，更多从数据管理、开放利用角度进行界定。</w:t>
      </w:r>
    </w:p>
    <w:p>
      <w:pPr>
        <w:ind w:firstLine="560"/>
        <w:rPr>
          <w:lang w:val="zh-CN"/>
        </w:rPr>
      </w:pPr>
      <w:r>
        <w:rPr>
          <w:rFonts w:hint="eastAsia"/>
          <w:lang w:val="zh-CN"/>
        </w:rPr>
        <w:t>2）制度实践：美国《开放政府数据法案》《联邦数据战略》，美国陆军工程师兵团USACE推行水利工程全生命周期数据交付。政府出资工程强制交付标准化数字数据集，区分档案保存与工程数据交付；总承包单位负责数据整理交付，政府负责接收存储发布；广泛使用BIM、地理空间标准，以合同约定交付节点，无统一法定工作日时限；依据《联邦信息安全现代化法案》做分级访问控制，涉密、关键基础设施数据不对外开放。</w:t>
      </w:r>
    </w:p>
    <w:p>
      <w:pPr>
        <w:ind w:firstLine="560"/>
        <w:rPr>
          <w:lang w:val="zh-CN"/>
        </w:rPr>
      </w:pPr>
      <w:r>
        <w:rPr>
          <w:rFonts w:hint="eastAsia"/>
          <w:lang w:val="zh-CN"/>
        </w:rPr>
        <w:t>局限：契约化管理模式，缺少公益水利行业专门标准化导则，无国内行政事业单位数据资产制度体系。</w:t>
      </w:r>
    </w:p>
    <w:p>
      <w:pPr>
        <w:pStyle w:val="4"/>
      </w:pPr>
      <w:r>
        <w:rPr>
          <w:rFonts w:hint="eastAsia"/>
        </w:rPr>
        <w:t>欧盟</w:t>
      </w:r>
    </w:p>
    <w:p>
      <w:pPr>
        <w:ind w:firstLine="560"/>
        <w:rPr>
          <w:lang w:val="zh-CN"/>
        </w:rPr>
      </w:pPr>
      <w:r>
        <w:rPr>
          <w:rFonts w:hint="eastAsia"/>
          <w:lang w:val="zh-CN"/>
        </w:rPr>
        <w:t>1）数据资产定义：欧盟《数据治理法案（DGA）》和《数据法案》没有统一法定“数据资产”定义；实务中将公共部门产出数据集视作公共可复用资源，重点关注数据再利用权利，而非会计资产属性；IFRS会计准则下仅满足可辨认、成本可计量条件才计入无形资产；公共水利项目重点关注访问权限、脱敏，不强调直接经济收益。</w:t>
      </w:r>
    </w:p>
    <w:p>
      <w:pPr>
        <w:ind w:firstLine="560"/>
        <w:rPr>
          <w:lang w:val="zh-CN"/>
        </w:rPr>
      </w:pPr>
      <w:r>
        <w:rPr>
          <w:rFonts w:hint="eastAsia"/>
          <w:lang w:val="zh-CN"/>
        </w:rPr>
        <w:t>2）制度实践：荷兰、德国水利工程推行数字交付，工程空间、设施台账纳入公共水利信息库，重视元数据、质量校验；实行“档案归档+业务数据集归集”双线管理；GDPR管控个人信息、关键基础设施敏感数据。</w:t>
      </w:r>
    </w:p>
    <w:p>
      <w:pPr>
        <w:ind w:firstLine="560"/>
        <w:rPr>
          <w:lang w:val="zh-CN"/>
        </w:rPr>
      </w:pPr>
      <w:r>
        <w:rPr>
          <w:rFonts w:hint="eastAsia"/>
          <w:lang w:val="zh-CN"/>
        </w:rPr>
        <w:t>局限：聚焦公共数据开放再利用，缺少针对工程建设项目“数据资产归集”专门技术标准，相关要求分散在档案、地理信息、BIM规范。</w:t>
      </w:r>
    </w:p>
    <w:p>
      <w:pPr>
        <w:pStyle w:val="4"/>
      </w:pPr>
      <w:r>
        <w:rPr>
          <w:rFonts w:hint="eastAsia"/>
        </w:rPr>
        <w:t>日本</w:t>
      </w:r>
    </w:p>
    <w:p>
      <w:pPr>
        <w:ind w:firstLine="560"/>
        <w:rPr>
          <w:lang w:val="zh-CN"/>
        </w:rPr>
      </w:pPr>
      <w:r>
        <w:rPr>
          <w:rFonts w:hint="eastAsia"/>
          <w:lang w:val="zh-CN"/>
        </w:rPr>
        <w:t>1）数据资产定义：日本公共行政领域无专门法定数据资产定义；企业层面参考国际会计准则，符合条件计入无形资产；公共工程领域更多使用“电子交付资料”概念，将图纸、测量报告视作公共业务资源，突出保存查阅，弱化资产价值属性。</w:t>
      </w:r>
    </w:p>
    <w:p>
      <w:pPr>
        <w:ind w:firstLine="560"/>
        <w:rPr>
          <w:lang w:val="zh-CN"/>
        </w:rPr>
      </w:pPr>
      <w:r>
        <w:rPr>
          <w:rFonts w:hint="eastAsia"/>
          <w:lang w:val="zh-CN"/>
        </w:rPr>
        <w:t>2）制度实践：国土交通省《公共工事电子纳品要领》，政府投资公共工程参建单位提交电子图纸、报告、测量空间数据，统一格式、命名、元数据；电子交付作为验收必要环节，以工程节点触发交付；偏向电子档案交付，对业务系统入库复用考虑较少。</w:t>
      </w:r>
    </w:p>
    <w:p>
      <w:pPr>
        <w:ind w:firstLine="560"/>
        <w:rPr>
          <w:lang w:val="zh-CN"/>
        </w:rPr>
      </w:pPr>
      <w:r>
        <w:rPr>
          <w:rFonts w:hint="eastAsia"/>
          <w:lang w:val="zh-CN"/>
        </w:rPr>
        <w:t>局限：偏向档案交付，缺少面向业务系统复用的数据资产归集体系。</w:t>
      </w:r>
    </w:p>
    <w:p>
      <w:pPr>
        <w:pStyle w:val="3"/>
        <w:spacing w:before="76" w:after="76"/>
        <w:rPr>
          <w:lang w:val="zh-CN"/>
        </w:rPr>
      </w:pPr>
      <w:bookmarkStart w:id="11" w:name="_Toc242450709"/>
      <w:r>
        <w:rPr>
          <w:rFonts w:hint="eastAsia"/>
          <w:lang w:val="zh-CN"/>
        </w:rPr>
        <w:t>国内国家级政策、标准现状及数据资产定义</w:t>
      </w:r>
      <w:bookmarkEnd w:id="11"/>
    </w:p>
    <w:p>
      <w:pPr>
        <w:pStyle w:val="4"/>
      </w:pPr>
      <w:r>
        <w:rPr>
          <w:rFonts w:hint="eastAsia"/>
        </w:rPr>
        <w:t>国家级定义</w:t>
      </w:r>
    </w:p>
    <w:p>
      <w:pPr>
        <w:ind w:firstLine="560"/>
        <w:rPr>
          <w:lang w:val="zh-CN"/>
        </w:rPr>
      </w:pPr>
      <w:r>
        <w:rPr>
          <w:rFonts w:hint="eastAsia"/>
          <w:lang w:val="zh-CN"/>
        </w:rPr>
        <w:t>1）行政事业单位官方定义（财资〔2024〕1号）：行政事业单位数据资产是各级行政事业单位在依法履职或提供公共服务过程中持有或控制的，预期能够产生管理服务潜力或带来经济利益流入的数据资源。</w:t>
      </w:r>
    </w:p>
    <w:p>
      <w:pPr>
        <w:ind w:firstLine="560"/>
        <w:rPr>
          <w:lang w:val="zh-CN"/>
        </w:rPr>
      </w:pPr>
      <w:r>
        <w:rPr>
          <w:rFonts w:hint="eastAsia"/>
          <w:lang w:val="zh-CN"/>
        </w:rPr>
        <w:t>要点：兼顾经济利益与公共管理服务潜力；公益性项目可以社会效益、管理服务潜力作为价值体现，不要求直接经济收益。本导则针对财政投资公益水利项目，对定义做适应性修改，突出水利建设管理服务潜力、社会效益。</w:t>
      </w:r>
    </w:p>
    <w:p>
      <w:pPr>
        <w:ind w:firstLine="560"/>
        <w:rPr>
          <w:lang w:val="zh-CN"/>
        </w:rPr>
      </w:pPr>
      <w:r>
        <w:rPr>
          <w:rFonts w:hint="eastAsia"/>
          <w:lang w:val="zh-CN"/>
        </w:rPr>
        <w:t>2）国家标准GB/T 47949-2026《资产管理数据资产分类与代码》：数据资产是组织过去的交易或事项形成的，由组织合法拥有或控制的，预期能够产生服务潜力或带来经济利益流入的数据资源。</w:t>
      </w:r>
    </w:p>
    <w:p>
      <w:pPr>
        <w:pStyle w:val="4"/>
      </w:pPr>
      <w:r>
        <w:rPr>
          <w:rFonts w:hint="eastAsia"/>
        </w:rPr>
        <w:t>行业现状</w:t>
      </w:r>
    </w:p>
    <w:p>
      <w:pPr>
        <w:ind w:firstLine="560"/>
        <w:rPr>
          <w:lang w:val="zh-CN"/>
        </w:rPr>
      </w:pPr>
      <w:r>
        <w:rPr>
          <w:rFonts w:hint="eastAsia"/>
          <w:lang w:val="zh-CN"/>
        </w:rPr>
        <w:t>水利部推进数字孪生流域建设，发布SL/T 824</w:t>
      </w:r>
      <w:r>
        <w:rPr>
          <w:lang w:val="zh-CN"/>
        </w:rPr>
        <w:t>-</w:t>
      </w:r>
      <w:r>
        <w:rPr>
          <w:rFonts w:hint="eastAsia"/>
          <w:lang w:val="zh-CN"/>
        </w:rPr>
        <w:t>2024工程文件归档规范、SL/T 864-2026水利数据分类分级规则。现有行业标准重点解决档案收集归档，侧重资料保管；缺少面向业务系统入库复用的建设项目数据资产归集细则，缺少分阶段归集周期、设施空间数据集的细化要求。</w:t>
      </w:r>
    </w:p>
    <w:p>
      <w:pPr>
        <w:pStyle w:val="3"/>
        <w:spacing w:before="76" w:after="76"/>
        <w:rPr>
          <w:lang w:val="zh-CN"/>
        </w:rPr>
      </w:pPr>
      <w:bookmarkStart w:id="12" w:name="_Toc242450710"/>
      <w:r>
        <w:rPr>
          <w:rFonts w:hint="eastAsia"/>
          <w:lang w:val="zh-CN"/>
        </w:rPr>
        <w:t>国内多省市地方归集类地方标准调研对比</w:t>
      </w:r>
      <w:bookmarkEnd w:id="12"/>
    </w:p>
    <w:p>
      <w:pPr>
        <w:ind w:firstLine="560"/>
        <w:rPr>
          <w:lang w:val="zh-CN"/>
        </w:rPr>
      </w:pPr>
      <w:r>
        <w:rPr>
          <w:rFonts w:hint="eastAsia"/>
          <w:lang w:val="zh-CN"/>
        </w:rPr>
        <w:t>本次调研湖北、江苏、山东、上海、四川、浙江等省市已发布的数据归集地方标准，覆盖工程造价、特种设备双重预防、公共信用、医疗卫生信用、公共数据治理、涉企信息、空间地理、审计数据等领域，对各标准适用对象、归集目的、归集内容、编码/元数据、归集方式、触发节点、质量控制、安全管理进行对比分析。</w:t>
      </w:r>
    </w:p>
    <w:p>
      <w:pPr>
        <w:pStyle w:val="4"/>
      </w:pPr>
      <w:r>
        <w:rPr>
          <w:rFonts w:hint="eastAsia"/>
        </w:rPr>
        <w:t>各地方标准概况简述</w:t>
      </w:r>
    </w:p>
    <w:p>
      <w:pPr>
        <w:ind w:firstLine="560"/>
        <w:rPr>
          <w:lang w:val="zh-CN"/>
        </w:rPr>
      </w:pPr>
      <w:r>
        <w:rPr>
          <w:rFonts w:hint="eastAsia"/>
          <w:lang w:val="zh-CN"/>
        </w:rPr>
        <w:t>1）DB42/T 2176</w:t>
      </w:r>
      <w:r>
        <w:rPr>
          <w:lang w:val="zh-CN"/>
        </w:rPr>
        <w:t>-</w:t>
      </w:r>
      <w:r>
        <w:rPr>
          <w:rFonts w:hint="eastAsia"/>
          <w:lang w:val="zh-CN"/>
        </w:rPr>
        <w:t>2024 湖北《建筑工程和市政工程造价数据归集标准》</w:t>
      </w:r>
    </w:p>
    <w:p>
      <w:pPr>
        <w:ind w:firstLine="560"/>
        <w:rPr>
          <w:lang w:val="zh-CN"/>
        </w:rPr>
      </w:pPr>
      <w:r>
        <w:rPr>
          <w:rFonts w:hint="eastAsia"/>
          <w:lang w:val="zh-CN"/>
        </w:rPr>
        <w:t>•</w:t>
      </w:r>
      <w:r>
        <w:rPr>
          <w:rFonts w:hint="eastAsia"/>
          <w:lang w:val="zh-CN"/>
        </w:rPr>
        <w:tab/>
      </w:r>
      <w:r>
        <w:rPr>
          <w:rFonts w:hint="eastAsia"/>
          <w:lang w:val="zh-CN"/>
        </w:rPr>
        <w:t>适用对象：省内新建、改建、扩建采用工程量清单计价的建筑、市政工程；国有资金投资应执行，其他参照执行。</w:t>
      </w:r>
    </w:p>
    <w:p>
      <w:pPr>
        <w:ind w:firstLine="560"/>
        <w:rPr>
          <w:lang w:val="zh-CN"/>
        </w:rPr>
      </w:pPr>
      <w:r>
        <w:rPr>
          <w:rFonts w:hint="eastAsia"/>
          <w:lang w:val="zh-CN"/>
        </w:rPr>
        <w:t>•</w:t>
      </w:r>
      <w:r>
        <w:rPr>
          <w:rFonts w:hint="eastAsia"/>
          <w:lang w:val="zh-CN"/>
        </w:rPr>
        <w:tab/>
      </w:r>
      <w:r>
        <w:rPr>
          <w:rFonts w:hint="eastAsia"/>
          <w:lang w:val="zh-CN"/>
        </w:rPr>
        <w:t>归集目的：工程造价大数据采集、动态管理、造价指标测算。</w:t>
      </w:r>
    </w:p>
    <w:p>
      <w:pPr>
        <w:ind w:firstLine="560"/>
        <w:rPr>
          <w:lang w:val="zh-CN"/>
        </w:rPr>
      </w:pPr>
      <w:r>
        <w:rPr>
          <w:rFonts w:hint="eastAsia"/>
          <w:lang w:val="zh-CN"/>
        </w:rPr>
        <w:t>•</w:t>
      </w:r>
      <w:r>
        <w:rPr>
          <w:rFonts w:hint="eastAsia"/>
          <w:lang w:val="zh-CN"/>
        </w:rPr>
        <w:tab/>
      </w:r>
      <w:r>
        <w:rPr>
          <w:rFonts w:hint="eastAsia"/>
          <w:lang w:val="zh-CN"/>
        </w:rPr>
        <w:t>核心内容：划分工程三级分类编码（6位），指标数据五级编码；定义工程通用特征字段表，对建筑、构筑物、市政工程设置必填/可选特征字段；覆盖估算、概算、预算、结算、决算各阶段造价成果文件。</w:t>
      </w:r>
    </w:p>
    <w:p>
      <w:pPr>
        <w:ind w:firstLine="560"/>
        <w:rPr>
          <w:lang w:val="zh-CN"/>
        </w:rPr>
      </w:pPr>
      <w:r>
        <w:rPr>
          <w:rFonts w:hint="eastAsia"/>
          <w:lang w:val="zh-CN"/>
        </w:rPr>
        <w:t>•</w:t>
      </w:r>
      <w:r>
        <w:rPr>
          <w:rFonts w:hint="eastAsia"/>
          <w:lang w:val="zh-CN"/>
        </w:rPr>
        <w:tab/>
      </w:r>
      <w:r>
        <w:rPr>
          <w:rFonts w:hint="eastAsia"/>
          <w:lang w:val="zh-CN"/>
        </w:rPr>
        <w:t>归集触发：以工程业务阶段划分，伴随项目实施各阶段归集；强调以单项工程为单元开展特征采集。</w:t>
      </w:r>
    </w:p>
    <w:p>
      <w:pPr>
        <w:ind w:firstLine="560"/>
        <w:rPr>
          <w:lang w:val="zh-CN"/>
        </w:rPr>
      </w:pPr>
      <w:r>
        <w:rPr>
          <w:rFonts w:hint="eastAsia"/>
          <w:lang w:val="zh-CN"/>
        </w:rPr>
        <w:t>•</w:t>
      </w:r>
      <w:r>
        <w:rPr>
          <w:rFonts w:hint="eastAsia"/>
          <w:lang w:val="zh-CN"/>
        </w:rPr>
        <w:tab/>
      </w:r>
      <w:r>
        <w:rPr>
          <w:rFonts w:hint="eastAsia"/>
          <w:lang w:val="zh-CN"/>
        </w:rPr>
        <w:t>质量控制：对工程特征字段设置必填项，对数值、枚举选项做约束。</w:t>
      </w:r>
    </w:p>
    <w:p>
      <w:pPr>
        <w:ind w:firstLine="560"/>
        <w:rPr>
          <w:lang w:val="zh-CN"/>
        </w:rPr>
      </w:pPr>
      <w:r>
        <w:rPr>
          <w:rFonts w:hint="eastAsia"/>
          <w:lang w:val="zh-CN"/>
        </w:rPr>
        <w:t>•</w:t>
      </w:r>
      <w:r>
        <w:rPr>
          <w:rFonts w:hint="eastAsia"/>
          <w:lang w:val="zh-CN"/>
        </w:rPr>
        <w:tab/>
      </w:r>
      <w:r>
        <w:rPr>
          <w:rFonts w:hint="eastAsia"/>
          <w:lang w:val="zh-CN"/>
        </w:rPr>
        <w:t>安全：执行通用信息安全要求，无专门针对工程汇聚后的聚合风险条款。</w:t>
      </w:r>
    </w:p>
    <w:p>
      <w:pPr>
        <w:ind w:firstLine="560"/>
        <w:rPr>
          <w:lang w:val="zh-CN"/>
        </w:rPr>
      </w:pPr>
      <w:r>
        <w:rPr>
          <w:rFonts w:hint="eastAsia"/>
          <w:lang w:val="zh-CN"/>
        </w:rPr>
        <w:t>•</w:t>
      </w:r>
      <w:r>
        <w:rPr>
          <w:rFonts w:hint="eastAsia"/>
          <w:lang w:val="zh-CN"/>
        </w:rPr>
        <w:tab/>
      </w:r>
      <w:r>
        <w:rPr>
          <w:rFonts w:hint="eastAsia"/>
          <w:lang w:val="zh-CN"/>
        </w:rPr>
        <w:t>借鉴启示：①按工程类型做分类编码；②以单项工程为基本归集单元；③区分必填/可选特征字段，提供结构化表格模板；④国有资金项目强制、其余参照执行的条文范式可为本导则参考。</w:t>
      </w:r>
    </w:p>
    <w:p>
      <w:pPr>
        <w:ind w:firstLine="560"/>
        <w:rPr>
          <w:lang w:val="zh-CN"/>
        </w:rPr>
      </w:pPr>
      <w:r>
        <w:rPr>
          <w:rFonts w:hint="eastAsia"/>
          <w:lang w:val="zh-CN"/>
        </w:rPr>
        <w:t>2）DB32/T 4979</w:t>
      </w:r>
      <w:r>
        <w:rPr>
          <w:lang w:val="zh-CN"/>
        </w:rPr>
        <w:t>-</w:t>
      </w:r>
      <w:r>
        <w:rPr>
          <w:rFonts w:hint="eastAsia"/>
          <w:lang w:val="zh-CN"/>
        </w:rPr>
        <w:t>2024 江苏《特种设备双重预防数据归集技术规范》</w:t>
      </w:r>
    </w:p>
    <w:p>
      <w:pPr>
        <w:ind w:firstLine="560"/>
        <w:rPr>
          <w:lang w:val="zh-CN"/>
        </w:rPr>
      </w:pPr>
      <w:r>
        <w:rPr>
          <w:rFonts w:hint="eastAsia"/>
          <w:lang w:val="zh-CN"/>
        </w:rPr>
        <w:t>•</w:t>
      </w:r>
      <w:r>
        <w:rPr>
          <w:rFonts w:hint="eastAsia"/>
          <w:lang w:val="zh-CN"/>
        </w:rPr>
        <w:tab/>
      </w:r>
      <w:r>
        <w:rPr>
          <w:rFonts w:hint="eastAsia"/>
          <w:lang w:val="zh-CN"/>
        </w:rPr>
        <w:t>适用对象：特种设备双重预防机制相关业务数据。</w:t>
      </w:r>
    </w:p>
    <w:p>
      <w:pPr>
        <w:ind w:firstLine="560"/>
        <w:rPr>
          <w:lang w:val="zh-CN"/>
        </w:rPr>
      </w:pPr>
      <w:r>
        <w:rPr>
          <w:rFonts w:hint="eastAsia"/>
          <w:lang w:val="zh-CN"/>
        </w:rPr>
        <w:t>•</w:t>
      </w:r>
      <w:r>
        <w:rPr>
          <w:rFonts w:hint="eastAsia"/>
          <w:lang w:val="zh-CN"/>
        </w:rPr>
        <w:tab/>
      </w:r>
      <w:r>
        <w:rPr>
          <w:rFonts w:hint="eastAsia"/>
          <w:lang w:val="zh-CN"/>
        </w:rPr>
        <w:t>归集目的：风险分级管控、隐患排查治理业务应用。</w:t>
      </w:r>
    </w:p>
    <w:p>
      <w:pPr>
        <w:ind w:firstLine="560"/>
        <w:rPr>
          <w:lang w:val="zh-CN"/>
        </w:rPr>
      </w:pPr>
      <w:r>
        <w:rPr>
          <w:rFonts w:hint="eastAsia"/>
          <w:lang w:val="zh-CN"/>
        </w:rPr>
        <w:t>•</w:t>
      </w:r>
      <w:r>
        <w:rPr>
          <w:rFonts w:hint="eastAsia"/>
          <w:lang w:val="zh-CN"/>
        </w:rPr>
        <w:tab/>
      </w:r>
      <w:r>
        <w:rPr>
          <w:rFonts w:hint="eastAsia"/>
          <w:lang w:val="zh-CN"/>
        </w:rPr>
        <w:t>核心内容：定义数据元、数据分类，明确数据来源主体（生产、使用、维保、检验）；规定数据格式、数据元、报送频率。</w:t>
      </w:r>
    </w:p>
    <w:p>
      <w:pPr>
        <w:ind w:firstLine="560"/>
        <w:rPr>
          <w:lang w:val="zh-CN"/>
        </w:rPr>
      </w:pPr>
      <w:r>
        <w:rPr>
          <w:rFonts w:hint="eastAsia"/>
          <w:lang w:val="zh-CN"/>
        </w:rPr>
        <w:t>•</w:t>
      </w:r>
      <w:r>
        <w:rPr>
          <w:rFonts w:hint="eastAsia"/>
          <w:lang w:val="zh-CN"/>
        </w:rPr>
        <w:tab/>
      </w:r>
      <w:r>
        <w:rPr>
          <w:rFonts w:hint="eastAsia"/>
          <w:lang w:val="zh-CN"/>
        </w:rPr>
        <w:t>归集方式：接口推送、文件上传、在线填报。</w:t>
      </w:r>
    </w:p>
    <w:p>
      <w:pPr>
        <w:ind w:firstLine="560"/>
        <w:rPr>
          <w:lang w:val="zh-CN"/>
        </w:rPr>
      </w:pPr>
      <w:r>
        <w:rPr>
          <w:rFonts w:hint="eastAsia"/>
          <w:lang w:val="zh-CN"/>
        </w:rPr>
        <w:t>•</w:t>
      </w:r>
      <w:r>
        <w:rPr>
          <w:rFonts w:hint="eastAsia"/>
          <w:lang w:val="zh-CN"/>
        </w:rPr>
        <w:tab/>
      </w:r>
      <w:r>
        <w:rPr>
          <w:rFonts w:hint="eastAsia"/>
          <w:lang w:val="zh-CN"/>
        </w:rPr>
        <w:t>触发节点：定时报送、事件触发报送。</w:t>
      </w:r>
    </w:p>
    <w:p>
      <w:pPr>
        <w:ind w:firstLine="560"/>
        <w:rPr>
          <w:lang w:val="zh-CN"/>
        </w:rPr>
      </w:pPr>
      <w:r>
        <w:rPr>
          <w:rFonts w:hint="eastAsia"/>
          <w:lang w:val="zh-CN"/>
        </w:rPr>
        <w:t>•</w:t>
      </w:r>
      <w:r>
        <w:rPr>
          <w:rFonts w:hint="eastAsia"/>
          <w:lang w:val="zh-CN"/>
        </w:rPr>
        <w:tab/>
      </w:r>
      <w:r>
        <w:rPr>
          <w:rFonts w:hint="eastAsia"/>
          <w:lang w:val="zh-CN"/>
        </w:rPr>
        <w:t>借鉴启示：区分多来源主体，区分定时/事件触发两种归集模式，明确多模式报送适用场景。</w:t>
      </w:r>
    </w:p>
    <w:p>
      <w:pPr>
        <w:ind w:firstLine="560"/>
        <w:rPr>
          <w:lang w:val="zh-CN"/>
        </w:rPr>
      </w:pPr>
      <w:r>
        <w:rPr>
          <w:rFonts w:hint="eastAsia"/>
          <w:lang w:val="zh-CN"/>
        </w:rPr>
        <w:t>3）DB32/T 4143</w:t>
      </w:r>
      <w:r>
        <w:rPr>
          <w:lang w:val="zh-CN"/>
        </w:rPr>
        <w:t>-</w:t>
      </w:r>
      <w:r>
        <w:rPr>
          <w:rFonts w:hint="eastAsia"/>
          <w:lang w:val="zh-CN"/>
        </w:rPr>
        <w:t>2021《公共信用信息归集规范》、DB32/T 4008 2021《医疗卫生信用信息归集规范》（江苏）</w:t>
      </w:r>
    </w:p>
    <w:p>
      <w:pPr>
        <w:ind w:firstLine="560"/>
        <w:rPr>
          <w:lang w:val="zh-CN"/>
        </w:rPr>
      </w:pPr>
      <w:r>
        <w:rPr>
          <w:rFonts w:hint="eastAsia"/>
          <w:lang w:val="zh-CN"/>
        </w:rPr>
        <w:t>•</w:t>
      </w:r>
      <w:r>
        <w:rPr>
          <w:rFonts w:hint="eastAsia"/>
          <w:lang w:val="zh-CN"/>
        </w:rPr>
        <w:tab/>
      </w:r>
      <w:r>
        <w:rPr>
          <w:rFonts w:hint="eastAsia"/>
          <w:lang w:val="zh-CN"/>
        </w:rPr>
        <w:t>适用对象：公共信用、医疗卫生领域信用信息。</w:t>
      </w:r>
    </w:p>
    <w:p>
      <w:pPr>
        <w:ind w:firstLine="560"/>
        <w:rPr>
          <w:lang w:val="zh-CN"/>
        </w:rPr>
      </w:pPr>
      <w:r>
        <w:rPr>
          <w:rFonts w:hint="eastAsia"/>
          <w:lang w:val="zh-CN"/>
        </w:rPr>
        <w:t>•</w:t>
      </w:r>
      <w:r>
        <w:rPr>
          <w:rFonts w:hint="eastAsia"/>
          <w:lang w:val="zh-CN"/>
        </w:rPr>
        <w:tab/>
      </w:r>
      <w:r>
        <w:rPr>
          <w:rFonts w:hint="eastAsia"/>
          <w:lang w:val="zh-CN"/>
        </w:rPr>
        <w:t>归集目的：信用平台入库、信用监管。</w:t>
      </w:r>
    </w:p>
    <w:p>
      <w:pPr>
        <w:ind w:firstLine="560"/>
        <w:rPr>
          <w:lang w:val="zh-CN"/>
        </w:rPr>
      </w:pPr>
      <w:r>
        <w:rPr>
          <w:rFonts w:hint="eastAsia"/>
          <w:lang w:val="zh-CN"/>
        </w:rPr>
        <w:t>•</w:t>
      </w:r>
      <w:r>
        <w:rPr>
          <w:rFonts w:hint="eastAsia"/>
          <w:lang w:val="zh-CN"/>
        </w:rPr>
        <w:tab/>
      </w:r>
      <w:r>
        <w:rPr>
          <w:rFonts w:hint="eastAsia"/>
          <w:lang w:val="zh-CN"/>
        </w:rPr>
        <w:t>核心：明确归集来源、数据元、数据格式、数据校验规则；规定异议处理、数据更新机制。</w:t>
      </w:r>
    </w:p>
    <w:p>
      <w:pPr>
        <w:ind w:firstLine="560"/>
        <w:rPr>
          <w:lang w:val="zh-CN"/>
        </w:rPr>
      </w:pPr>
      <w:r>
        <w:rPr>
          <w:rFonts w:hint="eastAsia"/>
          <w:lang w:val="zh-CN"/>
        </w:rPr>
        <w:t>•</w:t>
      </w:r>
      <w:r>
        <w:rPr>
          <w:rFonts w:hint="eastAsia"/>
          <w:lang w:val="zh-CN"/>
        </w:rPr>
        <w:tab/>
      </w:r>
      <w:r>
        <w:rPr>
          <w:rFonts w:hint="eastAsia"/>
          <w:lang w:val="zh-CN"/>
        </w:rPr>
        <w:t>借鉴启示：重视归集之后的数据更新、异议纠错闭环机制，本导则需要增加数据资产更新流程。</w:t>
      </w:r>
    </w:p>
    <w:p>
      <w:pPr>
        <w:ind w:firstLine="560"/>
        <w:rPr>
          <w:lang w:val="zh-CN"/>
        </w:rPr>
      </w:pPr>
      <w:r>
        <w:rPr>
          <w:lang w:val="zh-CN"/>
        </w:rPr>
        <w:t>4</w:t>
      </w:r>
      <w:r>
        <w:rPr>
          <w:rFonts w:hint="eastAsia"/>
          <w:lang w:val="zh-CN"/>
        </w:rPr>
        <w:t>）</w:t>
      </w:r>
      <w:r>
        <w:rPr>
          <w:lang w:val="zh-CN"/>
        </w:rPr>
        <w:t>DB37/T 4646.1</w:t>
      </w:r>
      <w:r>
        <w:rPr>
          <w:rFonts w:hint="eastAsia"/>
          <w:lang w:val="zh-CN"/>
        </w:rPr>
        <w:t>《公共数据</w:t>
      </w:r>
      <w:r>
        <w:rPr>
          <w:lang w:val="zh-CN"/>
        </w:rPr>
        <w:t> </w:t>
      </w:r>
      <w:r>
        <w:rPr>
          <w:rFonts w:hint="eastAsia"/>
          <w:lang w:val="zh-CN"/>
        </w:rPr>
        <w:t>数据治理规范</w:t>
      </w:r>
      <w:r>
        <w:rPr>
          <w:lang w:val="zh-CN"/>
        </w:rPr>
        <w:t> </w:t>
      </w:r>
      <w:r>
        <w:rPr>
          <w:rFonts w:hint="eastAsia"/>
          <w:lang w:val="zh-CN"/>
        </w:rPr>
        <w:t>第</w:t>
      </w:r>
      <w:r>
        <w:rPr>
          <w:lang w:val="zh-CN"/>
        </w:rPr>
        <w:t>1</w:t>
      </w:r>
      <w:r>
        <w:rPr>
          <w:rFonts w:hint="eastAsia"/>
          <w:lang w:val="zh-CN"/>
        </w:rPr>
        <w:t>部分：数据归集》、</w:t>
      </w:r>
      <w:r>
        <w:rPr>
          <w:lang w:val="zh-CN"/>
        </w:rPr>
        <w:t>DB37/T 4335 2021</w:t>
      </w:r>
      <w:r>
        <w:rPr>
          <w:rFonts w:hint="eastAsia"/>
          <w:lang w:val="zh-CN"/>
        </w:rPr>
        <w:t>《涉企信息归集应用规范》（山东）</w:t>
      </w:r>
    </w:p>
    <w:p>
      <w:pPr>
        <w:ind w:firstLine="560"/>
        <w:rPr>
          <w:lang w:val="zh-CN"/>
        </w:rPr>
      </w:pPr>
      <w:r>
        <w:rPr>
          <w:rFonts w:hint="eastAsia"/>
          <w:lang w:val="zh-CN"/>
        </w:rPr>
        <w:t>•</w:t>
      </w:r>
      <w:r>
        <w:rPr>
          <w:rFonts w:hint="eastAsia"/>
          <w:lang w:val="zh-CN"/>
        </w:rPr>
        <w:tab/>
      </w:r>
      <w:r>
        <w:rPr>
          <w:rFonts w:hint="eastAsia"/>
          <w:lang w:val="zh-CN"/>
        </w:rPr>
        <w:t>适用对象：政务公共数据、涉企信息。</w:t>
      </w:r>
    </w:p>
    <w:p>
      <w:pPr>
        <w:ind w:firstLine="560"/>
        <w:rPr>
          <w:lang w:val="zh-CN"/>
        </w:rPr>
      </w:pPr>
      <w:r>
        <w:rPr>
          <w:rFonts w:hint="eastAsia"/>
          <w:lang w:val="zh-CN"/>
        </w:rPr>
        <w:t>•</w:t>
      </w:r>
      <w:r>
        <w:rPr>
          <w:rFonts w:hint="eastAsia"/>
          <w:lang w:val="zh-CN"/>
        </w:rPr>
        <w:tab/>
      </w:r>
      <w:r>
        <w:rPr>
          <w:rFonts w:hint="eastAsia"/>
          <w:lang w:val="zh-CN"/>
        </w:rPr>
        <w:t>归集目的：政务数据治理、共享开放。</w:t>
      </w:r>
    </w:p>
    <w:p>
      <w:pPr>
        <w:ind w:firstLine="560"/>
        <w:rPr>
          <w:lang w:val="zh-CN"/>
        </w:rPr>
      </w:pPr>
      <w:r>
        <w:rPr>
          <w:rFonts w:hint="eastAsia"/>
          <w:lang w:val="zh-CN"/>
        </w:rPr>
        <w:t>•</w:t>
      </w:r>
      <w:r>
        <w:rPr>
          <w:rFonts w:hint="eastAsia"/>
          <w:lang w:val="zh-CN"/>
        </w:rPr>
        <w:tab/>
      </w:r>
      <w:r>
        <w:rPr>
          <w:rFonts w:hint="eastAsia"/>
          <w:lang w:val="zh-CN"/>
        </w:rPr>
        <w:t>核心：规定数据源识别、目录管理、映射转换、清洗、校验；区分库表同步、API接口、文件导入；明确数据格式转换、清洗规则；明确数据质量评价。</w:t>
      </w:r>
    </w:p>
    <w:p>
      <w:pPr>
        <w:ind w:firstLine="560"/>
        <w:rPr>
          <w:lang w:val="zh-CN"/>
        </w:rPr>
      </w:pPr>
      <w:r>
        <w:rPr>
          <w:rFonts w:hint="eastAsia"/>
          <w:lang w:val="zh-CN"/>
        </w:rPr>
        <w:t>•</w:t>
      </w:r>
      <w:r>
        <w:rPr>
          <w:rFonts w:hint="eastAsia"/>
          <w:lang w:val="zh-CN"/>
        </w:rPr>
        <w:tab/>
      </w:r>
      <w:r>
        <w:rPr>
          <w:rFonts w:hint="eastAsia"/>
          <w:lang w:val="zh-CN"/>
        </w:rPr>
        <w:t>借鉴启示：归集不等于简单接收，包含映射、转换、清洗、校验完整处理链路；目录管理作为归集前置工作。</w:t>
      </w:r>
    </w:p>
    <w:p>
      <w:pPr>
        <w:ind w:firstLine="560"/>
        <w:rPr>
          <w:lang w:val="zh-CN"/>
        </w:rPr>
      </w:pPr>
      <w:r>
        <w:rPr>
          <w:rFonts w:hint="eastAsia"/>
          <w:lang w:val="zh-CN"/>
        </w:rPr>
        <w:t>5）DB31/T 1477</w:t>
      </w:r>
      <w:r>
        <w:rPr>
          <w:lang w:val="zh-CN"/>
        </w:rPr>
        <w:t>-</w:t>
      </w:r>
      <w:r>
        <w:rPr>
          <w:rFonts w:hint="eastAsia"/>
          <w:lang w:val="zh-CN"/>
        </w:rPr>
        <w:t>2024《空间地理数据归集技术要求》（上海本地）</w:t>
      </w:r>
    </w:p>
    <w:p>
      <w:pPr>
        <w:ind w:firstLine="560"/>
        <w:rPr>
          <w:lang w:val="zh-CN"/>
        </w:rPr>
      </w:pPr>
      <w:r>
        <w:rPr>
          <w:rFonts w:hint="eastAsia"/>
          <w:lang w:val="zh-CN"/>
        </w:rPr>
        <w:t>•</w:t>
      </w:r>
      <w:r>
        <w:rPr>
          <w:rFonts w:hint="eastAsia"/>
          <w:lang w:val="zh-CN"/>
        </w:rPr>
        <w:tab/>
      </w:r>
      <w:r>
        <w:rPr>
          <w:rFonts w:hint="eastAsia"/>
          <w:lang w:val="zh-CN"/>
        </w:rPr>
        <w:t>适用对象：上海空间地理类数据归集。</w:t>
      </w:r>
    </w:p>
    <w:p>
      <w:pPr>
        <w:ind w:firstLine="560"/>
        <w:rPr>
          <w:lang w:val="zh-CN"/>
        </w:rPr>
      </w:pPr>
      <w:r>
        <w:rPr>
          <w:rFonts w:hint="eastAsia"/>
          <w:lang w:val="zh-CN"/>
        </w:rPr>
        <w:t>•</w:t>
      </w:r>
      <w:r>
        <w:rPr>
          <w:rFonts w:hint="eastAsia"/>
          <w:lang w:val="zh-CN"/>
        </w:rPr>
        <w:tab/>
      </w:r>
      <w:r>
        <w:rPr>
          <w:rFonts w:hint="eastAsia"/>
          <w:lang w:val="zh-CN"/>
        </w:rPr>
        <w:t>归集目的：空间数据汇聚、地理信息平台使用。</w:t>
      </w:r>
    </w:p>
    <w:p>
      <w:pPr>
        <w:ind w:firstLine="560"/>
        <w:rPr>
          <w:lang w:val="zh-CN"/>
        </w:rPr>
      </w:pPr>
      <w:r>
        <w:rPr>
          <w:rFonts w:hint="eastAsia"/>
          <w:lang w:val="zh-CN"/>
        </w:rPr>
        <w:t>•</w:t>
      </w:r>
      <w:r>
        <w:rPr>
          <w:rFonts w:hint="eastAsia"/>
          <w:lang w:val="zh-CN"/>
        </w:rPr>
        <w:tab/>
      </w:r>
      <w:r>
        <w:rPr>
          <w:rFonts w:hint="eastAsia"/>
          <w:lang w:val="zh-CN"/>
        </w:rPr>
        <w:t>核心：规定坐标系（上海2000）、数据格式、元数据、数据质量、安全保密；规定文件、接口、数据库同步三类归集方式。</w:t>
      </w:r>
    </w:p>
    <w:p>
      <w:pPr>
        <w:ind w:firstLine="560"/>
        <w:rPr>
          <w:lang w:val="zh-CN"/>
        </w:rPr>
      </w:pPr>
      <w:r>
        <w:rPr>
          <w:rFonts w:hint="eastAsia"/>
          <w:lang w:val="zh-CN"/>
        </w:rPr>
        <w:t>•</w:t>
      </w:r>
      <w:r>
        <w:rPr>
          <w:rFonts w:hint="eastAsia"/>
          <w:lang w:val="zh-CN"/>
        </w:rPr>
        <w:tab/>
      </w:r>
      <w:r>
        <w:rPr>
          <w:rFonts w:hint="eastAsia"/>
          <w:lang w:val="zh-CN"/>
        </w:rPr>
        <w:t>借鉴启示：①明确地方专属坐标系约束；②地理空间数据元数据必填字段；③文件/接口/数据库同步三种模式，和本导则水利项目同时存在文档、表格、空间数据场景高度匹配。</w:t>
      </w:r>
    </w:p>
    <w:p>
      <w:pPr>
        <w:ind w:firstLine="560"/>
        <w:rPr>
          <w:lang w:val="zh-CN"/>
        </w:rPr>
      </w:pPr>
      <w:r>
        <w:rPr>
          <w:lang w:val="zh-CN"/>
        </w:rPr>
        <w:t>6</w:t>
      </w:r>
      <w:r>
        <w:rPr>
          <w:rFonts w:hint="eastAsia"/>
          <w:lang w:val="zh-CN"/>
        </w:rPr>
        <w:t>）</w:t>
      </w:r>
      <w:r>
        <w:rPr>
          <w:lang w:val="zh-CN"/>
        </w:rPr>
        <w:t>DB51/T 3356-2026</w:t>
      </w:r>
      <w:r>
        <w:rPr>
          <w:rFonts w:hint="eastAsia"/>
          <w:lang w:val="zh-CN"/>
        </w:rPr>
        <w:t>《公共数据治理规范</w:t>
      </w:r>
      <w:r>
        <w:rPr>
          <w:lang w:val="zh-CN"/>
        </w:rPr>
        <w:t> </w:t>
      </w:r>
      <w:r>
        <w:rPr>
          <w:rFonts w:hint="eastAsia"/>
          <w:lang w:val="zh-CN"/>
        </w:rPr>
        <w:t>第</w:t>
      </w:r>
      <w:r>
        <w:rPr>
          <w:lang w:val="zh-CN"/>
        </w:rPr>
        <w:t>1</w:t>
      </w:r>
      <w:r>
        <w:rPr>
          <w:rFonts w:hint="eastAsia"/>
          <w:lang w:val="zh-CN"/>
        </w:rPr>
        <w:t>部分：归集》（四川）</w:t>
      </w:r>
    </w:p>
    <w:p>
      <w:pPr>
        <w:ind w:firstLine="560"/>
        <w:rPr>
          <w:lang w:val="zh-CN"/>
        </w:rPr>
      </w:pPr>
      <w:r>
        <w:rPr>
          <w:rFonts w:hint="eastAsia"/>
          <w:lang w:val="zh-CN"/>
        </w:rPr>
        <w:t>•</w:t>
      </w:r>
      <w:r>
        <w:rPr>
          <w:rFonts w:hint="eastAsia"/>
          <w:lang w:val="zh-CN"/>
        </w:rPr>
        <w:tab/>
      </w:r>
      <w:r>
        <w:rPr>
          <w:rFonts w:hint="eastAsia"/>
          <w:lang w:val="zh-CN"/>
        </w:rPr>
        <w:t>适用对象：省级公共数据。</w:t>
      </w:r>
    </w:p>
    <w:p>
      <w:pPr>
        <w:ind w:firstLine="560"/>
        <w:rPr>
          <w:lang w:val="zh-CN"/>
        </w:rPr>
      </w:pPr>
      <w:r>
        <w:rPr>
          <w:rFonts w:hint="eastAsia"/>
          <w:lang w:val="zh-CN"/>
        </w:rPr>
        <w:t>•</w:t>
      </w:r>
      <w:r>
        <w:rPr>
          <w:rFonts w:hint="eastAsia"/>
          <w:lang w:val="zh-CN"/>
        </w:rPr>
        <w:tab/>
      </w:r>
      <w:r>
        <w:rPr>
          <w:rFonts w:hint="eastAsia"/>
          <w:lang w:val="zh-CN"/>
        </w:rPr>
        <w:t>核心：数据目录、数据源评估、归集接入模式、数据预处理、质量核查、归集日志管理。</w:t>
      </w:r>
    </w:p>
    <w:p>
      <w:pPr>
        <w:ind w:firstLine="560"/>
        <w:rPr>
          <w:lang w:val="zh-CN"/>
        </w:rPr>
      </w:pPr>
      <w:r>
        <w:rPr>
          <w:rFonts w:hint="eastAsia"/>
          <w:lang w:val="zh-CN"/>
        </w:rPr>
        <w:t>•</w:t>
      </w:r>
      <w:r>
        <w:rPr>
          <w:rFonts w:hint="eastAsia"/>
          <w:lang w:val="zh-CN"/>
        </w:rPr>
        <w:tab/>
      </w:r>
      <w:r>
        <w:rPr>
          <w:rFonts w:hint="eastAsia"/>
          <w:lang w:val="zh-CN"/>
        </w:rPr>
        <w:t>借鉴启示：归集全过程日志留痕，便于审计追溯。</w:t>
      </w:r>
    </w:p>
    <w:p>
      <w:pPr>
        <w:ind w:firstLine="560"/>
        <w:rPr>
          <w:lang w:val="zh-CN"/>
        </w:rPr>
      </w:pPr>
      <w:r>
        <w:rPr>
          <w:rFonts w:hint="eastAsia"/>
          <w:lang w:val="zh-CN"/>
        </w:rPr>
        <w:t>7）DB33/T 2579</w:t>
      </w:r>
      <w:r>
        <w:rPr>
          <w:lang w:val="zh-CN"/>
        </w:rPr>
        <w:t>-</w:t>
      </w:r>
      <w:r>
        <w:rPr>
          <w:rFonts w:hint="eastAsia"/>
          <w:lang w:val="zh-CN"/>
        </w:rPr>
        <w:t>2023《审计数据归集规范》（浙江）</w:t>
      </w:r>
    </w:p>
    <w:p>
      <w:pPr>
        <w:ind w:firstLine="560"/>
        <w:rPr>
          <w:lang w:val="zh-CN"/>
        </w:rPr>
      </w:pPr>
      <w:r>
        <w:rPr>
          <w:rFonts w:hint="eastAsia"/>
          <w:lang w:val="zh-CN"/>
        </w:rPr>
        <w:t>•</w:t>
      </w:r>
      <w:r>
        <w:rPr>
          <w:rFonts w:hint="eastAsia"/>
          <w:lang w:val="zh-CN"/>
        </w:rPr>
        <w:tab/>
      </w:r>
      <w:r>
        <w:rPr>
          <w:rFonts w:hint="eastAsia"/>
          <w:lang w:val="zh-CN"/>
        </w:rPr>
        <w:t>适用对象：审计业务数据。</w:t>
      </w:r>
    </w:p>
    <w:p>
      <w:pPr>
        <w:ind w:firstLine="560"/>
        <w:rPr>
          <w:lang w:val="zh-CN"/>
        </w:rPr>
      </w:pPr>
      <w:r>
        <w:rPr>
          <w:rFonts w:hint="eastAsia"/>
          <w:lang w:val="zh-CN"/>
        </w:rPr>
        <w:t>•</w:t>
      </w:r>
      <w:r>
        <w:rPr>
          <w:rFonts w:hint="eastAsia"/>
          <w:lang w:val="zh-CN"/>
        </w:rPr>
        <w:tab/>
      </w:r>
      <w:r>
        <w:rPr>
          <w:rFonts w:hint="eastAsia"/>
          <w:lang w:val="zh-CN"/>
        </w:rPr>
        <w:t>核心：明确数据来源识别、数据模板、抽取转换加载（ETL）、数据校验、版本管理。</w:t>
      </w:r>
    </w:p>
    <w:p>
      <w:pPr>
        <w:ind w:firstLine="560"/>
        <w:rPr>
          <w:lang w:val="zh-CN"/>
        </w:rPr>
      </w:pPr>
      <w:r>
        <w:rPr>
          <w:rFonts w:hint="eastAsia"/>
          <w:lang w:val="zh-CN"/>
        </w:rPr>
        <w:t>•</w:t>
      </w:r>
      <w:r>
        <w:rPr>
          <w:rFonts w:hint="eastAsia"/>
          <w:lang w:val="zh-CN"/>
        </w:rPr>
        <w:tab/>
      </w:r>
      <w:r>
        <w:rPr>
          <w:rFonts w:hint="eastAsia"/>
          <w:lang w:val="zh-CN"/>
        </w:rPr>
        <w:t>借鉴启示：重视版本管理，工程建设多版本图纸、报告需要保留版本信息，为本导则提供参考。</w:t>
      </w:r>
    </w:p>
    <w:p>
      <w:pPr>
        <w:pStyle w:val="4"/>
      </w:pPr>
      <w:r>
        <w:rPr>
          <w:rFonts w:hint="eastAsia"/>
        </w:rPr>
        <w:t>国内地方归集标准汇总对比表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1648"/>
        <w:gridCol w:w="1114"/>
        <w:gridCol w:w="1140"/>
        <w:gridCol w:w="1648"/>
        <w:gridCol w:w="1114"/>
        <w:gridCol w:w="1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237" w:type="dxa"/>
            <w:vAlign w:val="center"/>
          </w:tcPr>
          <w:p>
            <w:pPr>
              <w:pStyle w:val="55"/>
              <w:rPr>
                <w:b/>
                <w:bCs/>
                <w:lang w:val="zh-CN"/>
              </w:rPr>
            </w:pPr>
            <w:r>
              <w:rPr>
                <w:rFonts w:hint="eastAsia"/>
                <w:b/>
                <w:bCs/>
              </w:rPr>
              <w:t>对比维度</w:t>
            </w:r>
          </w:p>
        </w:tc>
        <w:tc>
          <w:tcPr>
            <w:tcW w:w="1237" w:type="dxa"/>
            <w:vAlign w:val="center"/>
          </w:tcPr>
          <w:p>
            <w:pPr>
              <w:pStyle w:val="55"/>
              <w:rPr>
                <w:b/>
                <w:bCs/>
                <w:lang w:val="zh-CN"/>
              </w:rPr>
            </w:pPr>
            <w:r>
              <w:rPr>
                <w:rFonts w:hint="eastAsia"/>
                <w:b/>
                <w:bCs/>
              </w:rPr>
              <w:t>湖北DB42/T2176造价归集</w:t>
            </w:r>
          </w:p>
        </w:tc>
        <w:tc>
          <w:tcPr>
            <w:tcW w:w="1237" w:type="dxa"/>
            <w:vAlign w:val="center"/>
          </w:tcPr>
          <w:p>
            <w:pPr>
              <w:pStyle w:val="55"/>
              <w:rPr>
                <w:b/>
                <w:bCs/>
                <w:lang w:val="zh-CN"/>
              </w:rPr>
            </w:pPr>
            <w:r>
              <w:rPr>
                <w:rFonts w:hint="eastAsia"/>
                <w:b/>
                <w:bCs/>
              </w:rPr>
              <w:t>江苏特种设备双重预防</w:t>
            </w:r>
          </w:p>
        </w:tc>
        <w:tc>
          <w:tcPr>
            <w:tcW w:w="1237" w:type="dxa"/>
            <w:vAlign w:val="center"/>
          </w:tcPr>
          <w:p>
            <w:pPr>
              <w:pStyle w:val="55"/>
              <w:rPr>
                <w:b/>
                <w:bCs/>
                <w:lang w:val="zh-CN"/>
              </w:rPr>
            </w:pPr>
            <w:r>
              <w:rPr>
                <w:rFonts w:hint="eastAsia"/>
                <w:b/>
                <w:bCs/>
              </w:rPr>
              <w:t>山东公共数据归集</w:t>
            </w:r>
          </w:p>
        </w:tc>
        <w:tc>
          <w:tcPr>
            <w:tcW w:w="1237" w:type="dxa"/>
            <w:vAlign w:val="center"/>
          </w:tcPr>
          <w:p>
            <w:pPr>
              <w:pStyle w:val="55"/>
              <w:rPr>
                <w:b/>
                <w:bCs/>
                <w:lang w:val="zh-CN"/>
              </w:rPr>
            </w:pPr>
            <w:r>
              <w:rPr>
                <w:rFonts w:hint="eastAsia"/>
                <w:b/>
                <w:bCs/>
              </w:rPr>
              <w:t>上海DB31/T1477空间地理</w:t>
            </w:r>
          </w:p>
        </w:tc>
        <w:tc>
          <w:tcPr>
            <w:tcW w:w="1237" w:type="dxa"/>
            <w:vAlign w:val="center"/>
          </w:tcPr>
          <w:p>
            <w:pPr>
              <w:pStyle w:val="55"/>
              <w:rPr>
                <w:b/>
                <w:bCs/>
                <w:lang w:val="zh-CN"/>
              </w:rPr>
            </w:pPr>
            <w:r>
              <w:rPr>
                <w:rFonts w:hint="eastAsia"/>
                <w:b/>
                <w:bCs/>
              </w:rPr>
              <w:t>四川公共数据归集</w:t>
            </w:r>
          </w:p>
        </w:tc>
        <w:tc>
          <w:tcPr>
            <w:tcW w:w="1238" w:type="dxa"/>
            <w:vAlign w:val="center"/>
          </w:tcPr>
          <w:p>
            <w:pPr>
              <w:pStyle w:val="55"/>
              <w:rPr>
                <w:b/>
                <w:bCs/>
                <w:lang w:val="zh-CN"/>
              </w:rPr>
            </w:pPr>
            <w:r>
              <w:rPr>
                <w:rFonts w:hint="eastAsia"/>
                <w:b/>
                <w:bCs/>
              </w:rPr>
              <w:t>浙江审计数据归集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7" w:type="dxa"/>
            <w:vAlign w:val="center"/>
          </w:tcPr>
          <w:p>
            <w:pPr>
              <w:pStyle w:val="55"/>
              <w:rPr>
                <w:lang w:val="zh-CN"/>
              </w:rPr>
            </w:pPr>
            <w:r>
              <w:rPr>
                <w:rFonts w:hint="eastAsia"/>
              </w:rPr>
              <w:t>适用领域</w:t>
            </w:r>
          </w:p>
        </w:tc>
        <w:tc>
          <w:tcPr>
            <w:tcW w:w="1237" w:type="dxa"/>
            <w:vAlign w:val="center"/>
          </w:tcPr>
          <w:p>
            <w:pPr>
              <w:pStyle w:val="55"/>
              <w:rPr>
                <w:lang w:val="zh-CN"/>
              </w:rPr>
            </w:pPr>
            <w:r>
              <w:rPr>
                <w:rFonts w:hint="eastAsia"/>
              </w:rPr>
              <w:t>建筑市政工程造价</w:t>
            </w:r>
          </w:p>
        </w:tc>
        <w:tc>
          <w:tcPr>
            <w:tcW w:w="1237" w:type="dxa"/>
            <w:vAlign w:val="center"/>
          </w:tcPr>
          <w:p>
            <w:pPr>
              <w:pStyle w:val="55"/>
              <w:rPr>
                <w:lang w:val="zh-CN"/>
              </w:rPr>
            </w:pPr>
            <w:r>
              <w:rPr>
                <w:rFonts w:hint="eastAsia"/>
              </w:rPr>
              <w:t>特种设备安全风险</w:t>
            </w:r>
          </w:p>
        </w:tc>
        <w:tc>
          <w:tcPr>
            <w:tcW w:w="1237" w:type="dxa"/>
            <w:vAlign w:val="center"/>
          </w:tcPr>
          <w:p>
            <w:pPr>
              <w:pStyle w:val="55"/>
              <w:rPr>
                <w:lang w:val="zh-CN"/>
              </w:rPr>
            </w:pPr>
            <w:r>
              <w:rPr>
                <w:rFonts w:hint="eastAsia"/>
              </w:rPr>
              <w:t>政务公共数据</w:t>
            </w:r>
          </w:p>
        </w:tc>
        <w:tc>
          <w:tcPr>
            <w:tcW w:w="1237" w:type="dxa"/>
            <w:vAlign w:val="center"/>
          </w:tcPr>
          <w:p>
            <w:pPr>
              <w:pStyle w:val="55"/>
              <w:rPr>
                <w:lang w:val="zh-CN"/>
              </w:rPr>
            </w:pPr>
            <w:r>
              <w:rPr>
                <w:rFonts w:hint="eastAsia"/>
              </w:rPr>
              <w:t>空间地理数据</w:t>
            </w:r>
          </w:p>
        </w:tc>
        <w:tc>
          <w:tcPr>
            <w:tcW w:w="1237" w:type="dxa"/>
            <w:vAlign w:val="center"/>
          </w:tcPr>
          <w:p>
            <w:pPr>
              <w:pStyle w:val="55"/>
              <w:rPr>
                <w:lang w:val="zh-CN"/>
              </w:rPr>
            </w:pPr>
            <w:r>
              <w:rPr>
                <w:rFonts w:hint="eastAsia"/>
              </w:rPr>
              <w:t>政务公共数据</w:t>
            </w:r>
          </w:p>
        </w:tc>
        <w:tc>
          <w:tcPr>
            <w:tcW w:w="1238" w:type="dxa"/>
            <w:vAlign w:val="center"/>
          </w:tcPr>
          <w:p>
            <w:pPr>
              <w:pStyle w:val="55"/>
              <w:rPr>
                <w:lang w:val="zh-CN"/>
              </w:rPr>
            </w:pPr>
            <w:r>
              <w:rPr>
                <w:rFonts w:hint="eastAsia"/>
              </w:rPr>
              <w:t>审计业务数据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7" w:type="dxa"/>
            <w:vAlign w:val="center"/>
          </w:tcPr>
          <w:p>
            <w:pPr>
              <w:pStyle w:val="55"/>
              <w:rPr>
                <w:lang w:val="zh-CN"/>
              </w:rPr>
            </w:pPr>
            <w:r>
              <w:rPr>
                <w:rFonts w:hint="eastAsia"/>
              </w:rPr>
              <w:t>归集单元</w:t>
            </w:r>
          </w:p>
        </w:tc>
        <w:tc>
          <w:tcPr>
            <w:tcW w:w="1237" w:type="dxa"/>
            <w:vAlign w:val="center"/>
          </w:tcPr>
          <w:p>
            <w:pPr>
              <w:pStyle w:val="55"/>
              <w:rPr>
                <w:lang w:val="zh-CN"/>
              </w:rPr>
            </w:pPr>
            <w:r>
              <w:rPr>
                <w:rFonts w:hint="eastAsia"/>
              </w:rPr>
              <w:t>单项工程</w:t>
            </w:r>
          </w:p>
        </w:tc>
        <w:tc>
          <w:tcPr>
            <w:tcW w:w="1237" w:type="dxa"/>
            <w:vAlign w:val="center"/>
          </w:tcPr>
          <w:p>
            <w:pPr>
              <w:pStyle w:val="55"/>
              <w:rPr>
                <w:lang w:val="zh-CN"/>
              </w:rPr>
            </w:pPr>
            <w:r>
              <w:rPr>
                <w:rFonts w:hint="eastAsia"/>
              </w:rPr>
              <w:t>设备对象</w:t>
            </w:r>
          </w:p>
        </w:tc>
        <w:tc>
          <w:tcPr>
            <w:tcW w:w="1237" w:type="dxa"/>
            <w:vAlign w:val="center"/>
          </w:tcPr>
          <w:p>
            <w:pPr>
              <w:pStyle w:val="55"/>
              <w:rPr>
                <w:lang w:val="zh-CN"/>
              </w:rPr>
            </w:pPr>
            <w:r>
              <w:rPr>
                <w:rFonts w:hint="eastAsia"/>
              </w:rPr>
              <w:t>数据目录数据集</w:t>
            </w:r>
          </w:p>
        </w:tc>
        <w:tc>
          <w:tcPr>
            <w:tcW w:w="1237" w:type="dxa"/>
            <w:vAlign w:val="center"/>
          </w:tcPr>
          <w:p>
            <w:pPr>
              <w:pStyle w:val="55"/>
              <w:rPr>
                <w:lang w:val="zh-CN"/>
              </w:rPr>
            </w:pPr>
            <w:r>
              <w:rPr>
                <w:rFonts w:hint="eastAsia"/>
              </w:rPr>
              <w:t>地理数据集</w:t>
            </w:r>
          </w:p>
        </w:tc>
        <w:tc>
          <w:tcPr>
            <w:tcW w:w="1237" w:type="dxa"/>
            <w:vAlign w:val="center"/>
          </w:tcPr>
          <w:p>
            <w:pPr>
              <w:pStyle w:val="55"/>
              <w:rPr>
                <w:lang w:val="zh-CN"/>
              </w:rPr>
            </w:pPr>
            <w:r>
              <w:rPr>
                <w:rFonts w:hint="eastAsia"/>
              </w:rPr>
              <w:t>数据目录</w:t>
            </w:r>
          </w:p>
        </w:tc>
        <w:tc>
          <w:tcPr>
            <w:tcW w:w="1238" w:type="dxa"/>
            <w:vAlign w:val="center"/>
          </w:tcPr>
          <w:p>
            <w:pPr>
              <w:pStyle w:val="55"/>
              <w:rPr>
                <w:lang w:val="zh-CN"/>
              </w:rPr>
            </w:pPr>
            <w:r>
              <w:rPr>
                <w:rFonts w:hint="eastAsia"/>
              </w:rPr>
              <w:t>审计业务主题域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vAlign w:val="center"/>
          </w:tcPr>
          <w:p>
            <w:pPr>
              <w:pStyle w:val="55"/>
              <w:rPr>
                <w:lang w:val="zh-CN"/>
              </w:rPr>
            </w:pPr>
            <w:r>
              <w:rPr>
                <w:rFonts w:hint="eastAsia"/>
              </w:rPr>
              <w:t>编码体系</w:t>
            </w:r>
          </w:p>
        </w:tc>
        <w:tc>
          <w:tcPr>
            <w:tcW w:w="1237" w:type="dxa"/>
            <w:vAlign w:val="center"/>
          </w:tcPr>
          <w:p>
            <w:pPr>
              <w:pStyle w:val="55"/>
              <w:rPr>
                <w:lang w:val="zh-CN"/>
              </w:rPr>
            </w:pPr>
            <w:r>
              <w:rPr>
                <w:rFonts w:hint="eastAsia"/>
              </w:rPr>
              <w:t>工程三级分类编码，指标五级编码</w:t>
            </w:r>
          </w:p>
        </w:tc>
        <w:tc>
          <w:tcPr>
            <w:tcW w:w="1237" w:type="dxa"/>
            <w:vAlign w:val="center"/>
          </w:tcPr>
          <w:p>
            <w:pPr>
              <w:pStyle w:val="55"/>
              <w:rPr>
                <w:lang w:val="zh-CN"/>
              </w:rPr>
            </w:pPr>
            <w:r>
              <w:rPr>
                <w:rFonts w:hint="eastAsia"/>
              </w:rPr>
              <w:t>业务数据元编码</w:t>
            </w:r>
          </w:p>
        </w:tc>
        <w:tc>
          <w:tcPr>
            <w:tcW w:w="1237" w:type="dxa"/>
            <w:vAlign w:val="center"/>
          </w:tcPr>
          <w:p>
            <w:pPr>
              <w:pStyle w:val="55"/>
              <w:rPr>
                <w:lang w:val="zh-CN"/>
              </w:rPr>
            </w:pPr>
            <w:r>
              <w:rPr>
                <w:rFonts w:hint="eastAsia"/>
              </w:rPr>
              <w:t>数据目录编码</w:t>
            </w:r>
          </w:p>
        </w:tc>
        <w:tc>
          <w:tcPr>
            <w:tcW w:w="1237" w:type="dxa"/>
            <w:vAlign w:val="center"/>
          </w:tcPr>
          <w:p>
            <w:pPr>
              <w:pStyle w:val="55"/>
              <w:rPr>
                <w:lang w:val="zh-CN"/>
              </w:rPr>
            </w:pPr>
            <w:r>
              <w:rPr>
                <w:rFonts w:hint="eastAsia"/>
              </w:rPr>
              <w:t>空间数据集编码</w:t>
            </w:r>
          </w:p>
        </w:tc>
        <w:tc>
          <w:tcPr>
            <w:tcW w:w="1237" w:type="dxa"/>
            <w:vAlign w:val="center"/>
          </w:tcPr>
          <w:p>
            <w:pPr>
              <w:pStyle w:val="55"/>
              <w:rPr>
                <w:lang w:val="zh-CN"/>
              </w:rPr>
            </w:pPr>
            <w:r>
              <w:rPr>
                <w:rFonts w:hint="eastAsia"/>
              </w:rPr>
              <w:t>公共数据目录编码</w:t>
            </w:r>
          </w:p>
        </w:tc>
        <w:tc>
          <w:tcPr>
            <w:tcW w:w="1238" w:type="dxa"/>
            <w:vAlign w:val="center"/>
          </w:tcPr>
          <w:p>
            <w:pPr>
              <w:pStyle w:val="55"/>
              <w:rPr>
                <w:lang w:val="zh-CN"/>
              </w:rPr>
            </w:pPr>
            <w:r>
              <w:rPr>
                <w:rFonts w:hint="eastAsia"/>
              </w:rPr>
              <w:t>审计主题编码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7" w:type="dxa"/>
            <w:vAlign w:val="center"/>
          </w:tcPr>
          <w:p>
            <w:pPr>
              <w:pStyle w:val="55"/>
              <w:rPr>
                <w:lang w:val="zh-CN"/>
              </w:rPr>
            </w:pPr>
            <w:r>
              <w:rPr>
                <w:rFonts w:hint="eastAsia"/>
              </w:rPr>
              <w:t>主要归集方式</w:t>
            </w:r>
          </w:p>
        </w:tc>
        <w:tc>
          <w:tcPr>
            <w:tcW w:w="1237" w:type="dxa"/>
            <w:vAlign w:val="center"/>
          </w:tcPr>
          <w:p>
            <w:pPr>
              <w:pStyle w:val="55"/>
              <w:rPr>
                <w:lang w:val="zh-CN"/>
              </w:rPr>
            </w:pPr>
            <w:r>
              <w:rPr>
                <w:rFonts w:hint="eastAsia"/>
              </w:rPr>
              <w:t>文件报送、在线填报</w:t>
            </w:r>
          </w:p>
        </w:tc>
        <w:tc>
          <w:tcPr>
            <w:tcW w:w="1237" w:type="dxa"/>
            <w:vAlign w:val="center"/>
          </w:tcPr>
          <w:p>
            <w:pPr>
              <w:pStyle w:val="55"/>
              <w:rPr>
                <w:lang w:val="zh-CN"/>
              </w:rPr>
            </w:pPr>
            <w:r>
              <w:rPr>
                <w:rFonts w:hint="eastAsia"/>
              </w:rPr>
              <w:t>接口推送、文件、在线填报</w:t>
            </w:r>
          </w:p>
        </w:tc>
        <w:tc>
          <w:tcPr>
            <w:tcW w:w="1237" w:type="dxa"/>
            <w:vAlign w:val="center"/>
          </w:tcPr>
          <w:p>
            <w:pPr>
              <w:pStyle w:val="55"/>
              <w:rPr>
                <w:lang w:val="zh-CN"/>
              </w:rPr>
            </w:pPr>
            <w:r>
              <w:rPr>
                <w:rFonts w:hint="eastAsia"/>
              </w:rPr>
              <w:t>库表同步、API、文件导入</w:t>
            </w:r>
          </w:p>
        </w:tc>
        <w:tc>
          <w:tcPr>
            <w:tcW w:w="1237" w:type="dxa"/>
            <w:vAlign w:val="center"/>
          </w:tcPr>
          <w:p>
            <w:pPr>
              <w:pStyle w:val="55"/>
              <w:rPr>
                <w:lang w:val="zh-CN"/>
              </w:rPr>
            </w:pPr>
            <w:r>
              <w:rPr>
                <w:rFonts w:hint="eastAsia"/>
              </w:rPr>
              <w:t>文件、接口、数据库同步</w:t>
            </w:r>
          </w:p>
        </w:tc>
        <w:tc>
          <w:tcPr>
            <w:tcW w:w="1237" w:type="dxa"/>
            <w:vAlign w:val="center"/>
          </w:tcPr>
          <w:p>
            <w:pPr>
              <w:pStyle w:val="55"/>
              <w:rPr>
                <w:lang w:val="zh-CN"/>
              </w:rPr>
            </w:pPr>
            <w:r>
              <w:rPr>
                <w:rFonts w:hint="eastAsia"/>
              </w:rPr>
              <w:t>接口、文件、库表同步</w:t>
            </w:r>
          </w:p>
        </w:tc>
        <w:tc>
          <w:tcPr>
            <w:tcW w:w="1238" w:type="dxa"/>
            <w:vAlign w:val="center"/>
          </w:tcPr>
          <w:p>
            <w:pPr>
              <w:pStyle w:val="55"/>
              <w:rPr>
                <w:lang w:val="zh-CN"/>
              </w:rPr>
            </w:pPr>
            <w:r>
              <w:rPr>
                <w:rFonts w:hint="eastAsia"/>
              </w:rPr>
              <w:t>抽取ETL、文件、接口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7" w:type="dxa"/>
            <w:vAlign w:val="center"/>
          </w:tcPr>
          <w:p>
            <w:pPr>
              <w:pStyle w:val="55"/>
              <w:rPr>
                <w:lang w:val="zh-CN"/>
              </w:rPr>
            </w:pPr>
            <w:r>
              <w:rPr>
                <w:rFonts w:hint="eastAsia"/>
              </w:rPr>
              <w:t>触发模式</w:t>
            </w:r>
          </w:p>
        </w:tc>
        <w:tc>
          <w:tcPr>
            <w:tcW w:w="1237" w:type="dxa"/>
            <w:vAlign w:val="center"/>
          </w:tcPr>
          <w:p>
            <w:pPr>
              <w:pStyle w:val="55"/>
              <w:rPr>
                <w:lang w:val="zh-CN"/>
              </w:rPr>
            </w:pPr>
            <w:r>
              <w:rPr>
                <w:rFonts w:hint="eastAsia"/>
              </w:rPr>
              <w:t>按工程阶段触发</w:t>
            </w:r>
          </w:p>
        </w:tc>
        <w:tc>
          <w:tcPr>
            <w:tcW w:w="1237" w:type="dxa"/>
            <w:vAlign w:val="center"/>
          </w:tcPr>
          <w:p>
            <w:pPr>
              <w:pStyle w:val="55"/>
              <w:rPr>
                <w:lang w:val="zh-CN"/>
              </w:rPr>
            </w:pPr>
            <w:r>
              <w:rPr>
                <w:rFonts w:hint="eastAsia"/>
              </w:rPr>
              <w:t>定时报送+事件触发</w:t>
            </w:r>
          </w:p>
        </w:tc>
        <w:tc>
          <w:tcPr>
            <w:tcW w:w="1237" w:type="dxa"/>
            <w:vAlign w:val="center"/>
          </w:tcPr>
          <w:p>
            <w:pPr>
              <w:pStyle w:val="55"/>
              <w:rPr>
                <w:lang w:val="zh-CN"/>
              </w:rPr>
            </w:pPr>
            <w:r>
              <w:rPr>
                <w:rFonts w:hint="eastAsia"/>
              </w:rPr>
              <w:t>目录驱动</w:t>
            </w:r>
          </w:p>
        </w:tc>
        <w:tc>
          <w:tcPr>
            <w:tcW w:w="1237" w:type="dxa"/>
            <w:vAlign w:val="center"/>
          </w:tcPr>
          <w:p>
            <w:pPr>
              <w:pStyle w:val="55"/>
              <w:rPr>
                <w:lang w:val="zh-CN"/>
              </w:rPr>
            </w:pPr>
            <w:r>
              <w:rPr>
                <w:rFonts w:hint="eastAsia"/>
              </w:rPr>
              <w:t>任务触发</w:t>
            </w:r>
          </w:p>
        </w:tc>
        <w:tc>
          <w:tcPr>
            <w:tcW w:w="1237" w:type="dxa"/>
            <w:vAlign w:val="center"/>
          </w:tcPr>
          <w:p>
            <w:pPr>
              <w:pStyle w:val="55"/>
              <w:rPr>
                <w:lang w:val="zh-CN"/>
              </w:rPr>
            </w:pPr>
            <w:r>
              <w:rPr>
                <w:rFonts w:hint="eastAsia"/>
              </w:rPr>
              <w:t>目录驱动</w:t>
            </w:r>
          </w:p>
        </w:tc>
        <w:tc>
          <w:tcPr>
            <w:tcW w:w="1238" w:type="dxa"/>
            <w:vAlign w:val="center"/>
          </w:tcPr>
          <w:p>
            <w:pPr>
              <w:pStyle w:val="55"/>
              <w:rPr>
                <w:lang w:val="zh-CN"/>
              </w:rPr>
            </w:pPr>
            <w:r>
              <w:rPr>
                <w:rFonts w:hint="eastAsia"/>
              </w:rPr>
              <w:t>审计任务触发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7" w:type="dxa"/>
            <w:vAlign w:val="center"/>
          </w:tcPr>
          <w:p>
            <w:pPr>
              <w:pStyle w:val="55"/>
              <w:rPr>
                <w:lang w:val="zh-CN"/>
              </w:rPr>
            </w:pPr>
            <w:r>
              <w:rPr>
                <w:rFonts w:hint="eastAsia"/>
              </w:rPr>
              <w:t>元数据/特征字段</w:t>
            </w:r>
          </w:p>
        </w:tc>
        <w:tc>
          <w:tcPr>
            <w:tcW w:w="1237" w:type="dxa"/>
            <w:vAlign w:val="center"/>
          </w:tcPr>
          <w:p>
            <w:pPr>
              <w:pStyle w:val="55"/>
              <w:rPr>
                <w:lang w:val="zh-CN"/>
              </w:rPr>
            </w:pPr>
            <w:r>
              <w:rPr>
                <w:rFonts w:hint="eastAsia"/>
              </w:rPr>
              <w:t>大量工程结构化特征表</w:t>
            </w:r>
          </w:p>
        </w:tc>
        <w:tc>
          <w:tcPr>
            <w:tcW w:w="1237" w:type="dxa"/>
            <w:vAlign w:val="center"/>
          </w:tcPr>
          <w:p>
            <w:pPr>
              <w:pStyle w:val="55"/>
              <w:rPr>
                <w:lang w:val="zh-CN"/>
              </w:rPr>
            </w:pPr>
            <w:r>
              <w:rPr>
                <w:rFonts w:hint="eastAsia"/>
              </w:rPr>
              <w:t>业务数据元定义</w:t>
            </w:r>
          </w:p>
        </w:tc>
        <w:tc>
          <w:tcPr>
            <w:tcW w:w="1237" w:type="dxa"/>
            <w:vAlign w:val="center"/>
          </w:tcPr>
          <w:p>
            <w:pPr>
              <w:pStyle w:val="55"/>
              <w:rPr>
                <w:lang w:val="zh-CN"/>
              </w:rPr>
            </w:pPr>
            <w:r>
              <w:rPr>
                <w:rFonts w:hint="eastAsia"/>
              </w:rPr>
              <w:t>目录元数据</w:t>
            </w:r>
          </w:p>
        </w:tc>
        <w:tc>
          <w:tcPr>
            <w:tcW w:w="1237" w:type="dxa"/>
            <w:vAlign w:val="center"/>
          </w:tcPr>
          <w:p>
            <w:pPr>
              <w:pStyle w:val="55"/>
              <w:rPr>
                <w:lang w:val="zh-CN"/>
              </w:rPr>
            </w:pPr>
            <w:r>
              <w:rPr>
                <w:rFonts w:hint="eastAsia"/>
              </w:rPr>
              <w:t>空间元数据（坐标系、范围、时间）</w:t>
            </w:r>
          </w:p>
        </w:tc>
        <w:tc>
          <w:tcPr>
            <w:tcW w:w="1237" w:type="dxa"/>
            <w:vAlign w:val="center"/>
          </w:tcPr>
          <w:p>
            <w:pPr>
              <w:pStyle w:val="55"/>
              <w:rPr>
                <w:lang w:val="zh-CN"/>
              </w:rPr>
            </w:pPr>
            <w:r>
              <w:rPr>
                <w:rFonts w:hint="eastAsia"/>
              </w:rPr>
              <w:t>数据集元数据</w:t>
            </w:r>
          </w:p>
        </w:tc>
        <w:tc>
          <w:tcPr>
            <w:tcW w:w="1238" w:type="dxa"/>
            <w:vAlign w:val="center"/>
          </w:tcPr>
          <w:p>
            <w:pPr>
              <w:pStyle w:val="55"/>
              <w:rPr>
                <w:lang w:val="zh-CN"/>
              </w:rPr>
            </w:pPr>
            <w:r>
              <w:rPr>
                <w:rFonts w:hint="eastAsia"/>
              </w:rPr>
              <w:t>审计元数据、版本信息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vAlign w:val="center"/>
          </w:tcPr>
          <w:p>
            <w:pPr>
              <w:pStyle w:val="55"/>
              <w:rPr>
                <w:lang w:val="zh-CN"/>
              </w:rPr>
            </w:pPr>
            <w:r>
              <w:rPr>
                <w:rFonts w:hint="eastAsia"/>
              </w:rPr>
              <w:t>质量控制</w:t>
            </w:r>
          </w:p>
        </w:tc>
        <w:tc>
          <w:tcPr>
            <w:tcW w:w="1237" w:type="dxa"/>
            <w:vAlign w:val="center"/>
          </w:tcPr>
          <w:p>
            <w:pPr>
              <w:pStyle w:val="55"/>
              <w:rPr>
                <w:lang w:val="zh-CN"/>
              </w:rPr>
            </w:pPr>
            <w:r>
              <w:rPr>
                <w:rFonts w:hint="eastAsia"/>
              </w:rPr>
              <w:t>必填字段约束，枚举校验</w:t>
            </w:r>
          </w:p>
        </w:tc>
        <w:tc>
          <w:tcPr>
            <w:tcW w:w="1237" w:type="dxa"/>
            <w:vAlign w:val="center"/>
          </w:tcPr>
          <w:p>
            <w:pPr>
              <w:pStyle w:val="55"/>
              <w:rPr>
                <w:lang w:val="zh-CN"/>
              </w:rPr>
            </w:pPr>
            <w:r>
              <w:rPr>
                <w:rFonts w:hint="eastAsia"/>
              </w:rPr>
              <w:t>数据元格式校验</w:t>
            </w:r>
          </w:p>
        </w:tc>
        <w:tc>
          <w:tcPr>
            <w:tcW w:w="1237" w:type="dxa"/>
            <w:vAlign w:val="center"/>
          </w:tcPr>
          <w:p>
            <w:pPr>
              <w:pStyle w:val="55"/>
              <w:rPr>
                <w:lang w:val="zh-CN"/>
              </w:rPr>
            </w:pPr>
            <w:r>
              <w:rPr>
                <w:rFonts w:hint="eastAsia"/>
              </w:rPr>
              <w:t>清洗、转换、质量评价</w:t>
            </w:r>
          </w:p>
        </w:tc>
        <w:tc>
          <w:tcPr>
            <w:tcW w:w="1237" w:type="dxa"/>
            <w:vAlign w:val="center"/>
          </w:tcPr>
          <w:p>
            <w:pPr>
              <w:pStyle w:val="55"/>
              <w:rPr>
                <w:lang w:val="zh-CN"/>
              </w:rPr>
            </w:pPr>
            <w:r>
              <w:rPr>
                <w:rFonts w:hint="eastAsia"/>
              </w:rPr>
              <w:t>几何、属性、坐标系校验</w:t>
            </w:r>
          </w:p>
        </w:tc>
        <w:tc>
          <w:tcPr>
            <w:tcW w:w="1237" w:type="dxa"/>
            <w:vAlign w:val="center"/>
          </w:tcPr>
          <w:p>
            <w:pPr>
              <w:pStyle w:val="55"/>
              <w:rPr>
                <w:lang w:val="zh-CN"/>
              </w:rPr>
            </w:pPr>
            <w:r>
              <w:rPr>
                <w:rFonts w:hint="eastAsia"/>
              </w:rPr>
              <w:t>预处理、质量核查</w:t>
            </w:r>
          </w:p>
        </w:tc>
        <w:tc>
          <w:tcPr>
            <w:tcW w:w="1238" w:type="dxa"/>
            <w:vAlign w:val="center"/>
          </w:tcPr>
          <w:p>
            <w:pPr>
              <w:pStyle w:val="55"/>
              <w:rPr>
                <w:lang w:val="zh-CN"/>
              </w:rPr>
            </w:pPr>
            <w:r>
              <w:rPr>
                <w:rFonts w:hint="eastAsia"/>
              </w:rPr>
              <w:t>ETL校验、版本控制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7" w:type="dxa"/>
            <w:vAlign w:val="center"/>
          </w:tcPr>
          <w:p>
            <w:pPr>
              <w:pStyle w:val="55"/>
              <w:rPr>
                <w:lang w:val="zh-CN"/>
              </w:rPr>
            </w:pPr>
            <w:r>
              <w:rPr>
                <w:rFonts w:hint="eastAsia"/>
              </w:rPr>
              <w:t>更新机制</w:t>
            </w:r>
          </w:p>
        </w:tc>
        <w:tc>
          <w:tcPr>
            <w:tcW w:w="1237" w:type="dxa"/>
            <w:vAlign w:val="center"/>
          </w:tcPr>
          <w:p>
            <w:pPr>
              <w:pStyle w:val="55"/>
              <w:rPr>
                <w:lang w:val="zh-CN"/>
              </w:rPr>
            </w:pPr>
            <w:r>
              <w:rPr>
                <w:rFonts w:hint="eastAsia"/>
              </w:rPr>
              <w:t>随工程阶段更新</w:t>
            </w:r>
          </w:p>
        </w:tc>
        <w:tc>
          <w:tcPr>
            <w:tcW w:w="1237" w:type="dxa"/>
            <w:vAlign w:val="center"/>
          </w:tcPr>
          <w:p>
            <w:pPr>
              <w:pStyle w:val="55"/>
              <w:rPr>
                <w:lang w:val="zh-CN"/>
              </w:rPr>
            </w:pPr>
            <w:r>
              <w:rPr>
                <w:rFonts w:hint="eastAsia"/>
              </w:rPr>
              <w:t>定时+事件更新</w:t>
            </w:r>
          </w:p>
        </w:tc>
        <w:tc>
          <w:tcPr>
            <w:tcW w:w="1237" w:type="dxa"/>
            <w:vAlign w:val="center"/>
          </w:tcPr>
          <w:p>
            <w:pPr>
              <w:pStyle w:val="55"/>
              <w:rPr>
                <w:lang w:val="zh-CN"/>
              </w:rPr>
            </w:pPr>
            <w:r>
              <w:rPr>
                <w:rFonts w:hint="eastAsia"/>
              </w:rPr>
              <w:t>目录变更驱动更新</w:t>
            </w:r>
          </w:p>
        </w:tc>
        <w:tc>
          <w:tcPr>
            <w:tcW w:w="1237" w:type="dxa"/>
            <w:vAlign w:val="center"/>
          </w:tcPr>
          <w:p>
            <w:pPr>
              <w:pStyle w:val="55"/>
              <w:rPr>
                <w:lang w:val="zh-CN"/>
              </w:rPr>
            </w:pPr>
            <w:r>
              <w:rPr>
                <w:rFonts w:hint="eastAsia"/>
              </w:rPr>
              <w:t>版本更新</w:t>
            </w:r>
          </w:p>
        </w:tc>
        <w:tc>
          <w:tcPr>
            <w:tcW w:w="1237" w:type="dxa"/>
            <w:vAlign w:val="center"/>
          </w:tcPr>
          <w:p>
            <w:pPr>
              <w:pStyle w:val="55"/>
              <w:rPr>
                <w:lang w:val="zh-CN"/>
              </w:rPr>
            </w:pPr>
            <w:r>
              <w:rPr>
                <w:rFonts w:hint="eastAsia"/>
              </w:rPr>
              <w:t>按策略更新</w:t>
            </w:r>
          </w:p>
        </w:tc>
        <w:tc>
          <w:tcPr>
            <w:tcW w:w="1238" w:type="dxa"/>
            <w:vAlign w:val="center"/>
          </w:tcPr>
          <w:p>
            <w:pPr>
              <w:pStyle w:val="55"/>
              <w:rPr>
                <w:lang w:val="zh-CN"/>
              </w:rPr>
            </w:pPr>
            <w:r>
              <w:rPr>
                <w:rFonts w:hint="eastAsia"/>
              </w:rPr>
              <w:t>版本留存管理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7" w:type="dxa"/>
            <w:vAlign w:val="center"/>
          </w:tcPr>
          <w:p>
            <w:pPr>
              <w:pStyle w:val="55"/>
              <w:rPr>
                <w:lang w:val="zh-CN"/>
              </w:rPr>
            </w:pPr>
            <w:r>
              <w:rPr>
                <w:rFonts w:hint="eastAsia"/>
              </w:rPr>
              <w:t>安全管理</w:t>
            </w:r>
          </w:p>
        </w:tc>
        <w:tc>
          <w:tcPr>
            <w:tcW w:w="1237" w:type="dxa"/>
            <w:vAlign w:val="center"/>
          </w:tcPr>
          <w:p>
            <w:pPr>
              <w:pStyle w:val="55"/>
              <w:rPr>
                <w:lang w:val="zh-CN"/>
              </w:rPr>
            </w:pPr>
            <w:r>
              <w:rPr>
                <w:rFonts w:hint="eastAsia"/>
              </w:rPr>
              <w:t>通用安全</w:t>
            </w:r>
          </w:p>
        </w:tc>
        <w:tc>
          <w:tcPr>
            <w:tcW w:w="1237" w:type="dxa"/>
            <w:vAlign w:val="center"/>
          </w:tcPr>
          <w:p>
            <w:pPr>
              <w:pStyle w:val="55"/>
              <w:rPr>
                <w:lang w:val="zh-CN"/>
              </w:rPr>
            </w:pPr>
            <w:r>
              <w:rPr>
                <w:rFonts w:hint="eastAsia"/>
              </w:rPr>
              <w:t>业务数据访问权限</w:t>
            </w:r>
          </w:p>
        </w:tc>
        <w:tc>
          <w:tcPr>
            <w:tcW w:w="1237" w:type="dxa"/>
            <w:vAlign w:val="center"/>
          </w:tcPr>
          <w:p>
            <w:pPr>
              <w:pStyle w:val="55"/>
              <w:rPr>
                <w:lang w:val="zh-CN"/>
              </w:rPr>
            </w:pPr>
            <w:r>
              <w:rPr>
                <w:rFonts w:hint="eastAsia"/>
              </w:rPr>
              <w:t>分级分类、脱敏</w:t>
            </w:r>
          </w:p>
        </w:tc>
        <w:tc>
          <w:tcPr>
            <w:tcW w:w="1237" w:type="dxa"/>
            <w:vAlign w:val="center"/>
          </w:tcPr>
          <w:p>
            <w:pPr>
              <w:pStyle w:val="55"/>
              <w:rPr>
                <w:lang w:val="zh-CN"/>
              </w:rPr>
            </w:pPr>
            <w:r>
              <w:rPr>
                <w:rFonts w:hint="eastAsia"/>
              </w:rPr>
              <w:t>空间数据保密、访问控制</w:t>
            </w:r>
          </w:p>
        </w:tc>
        <w:tc>
          <w:tcPr>
            <w:tcW w:w="1237" w:type="dxa"/>
            <w:vAlign w:val="center"/>
          </w:tcPr>
          <w:p>
            <w:pPr>
              <w:pStyle w:val="55"/>
              <w:rPr>
                <w:lang w:val="zh-CN"/>
              </w:rPr>
            </w:pPr>
            <w:r>
              <w:rPr>
                <w:rFonts w:hint="eastAsia"/>
              </w:rPr>
              <w:t>日志留痕、分级</w:t>
            </w:r>
          </w:p>
        </w:tc>
        <w:tc>
          <w:tcPr>
            <w:tcW w:w="1238" w:type="dxa"/>
            <w:vAlign w:val="center"/>
          </w:tcPr>
          <w:p>
            <w:pPr>
              <w:pStyle w:val="55"/>
              <w:rPr>
                <w:lang w:val="zh-CN"/>
              </w:rPr>
            </w:pPr>
            <w:r>
              <w:rPr>
                <w:rFonts w:hint="eastAsia"/>
              </w:rPr>
              <w:t>访问日志、审计留痕</w:t>
            </w:r>
          </w:p>
        </w:tc>
      </w:tr>
    </w:tbl>
    <w:p>
      <w:pPr>
        <w:pStyle w:val="4"/>
      </w:pPr>
      <w:r>
        <w:rPr>
          <w:rFonts w:hint="eastAsia"/>
        </w:rPr>
        <w:t>国内地方标准综合借鉴启示</w:t>
      </w:r>
    </w:p>
    <w:p>
      <w:pPr>
        <w:ind w:firstLine="560"/>
        <w:rPr>
          <w:lang w:val="zh-CN"/>
        </w:rPr>
      </w:pPr>
      <w:r>
        <w:rPr>
          <w:rFonts w:hint="eastAsia"/>
          <w:lang w:val="zh-CN"/>
        </w:rPr>
        <w:t>1）归集单元管理：湖北造价标准以单项工程作为归集单元，适合工程建设类场景；本导则借鉴该思路，以水利专项项目下的单项工程作为基础归集单元，配套分类编码。</w:t>
      </w:r>
    </w:p>
    <w:p>
      <w:pPr>
        <w:ind w:firstLine="560"/>
        <w:rPr>
          <w:lang w:val="zh-CN"/>
        </w:rPr>
      </w:pPr>
      <w:r>
        <w:rPr>
          <w:rFonts w:hint="eastAsia"/>
          <w:lang w:val="zh-CN"/>
        </w:rPr>
        <w:t>2）多模式归集方式：江苏、山东、上海、四川地方标准普遍采用在线填报、文件上传、API接口、数据库同步多种模式，区分不同业务场景。上海本地空间地理标准的三种归集模式，与水利项目同时存在文档、表格台账、空间矢量数据场景高度契合，为本导则4.2归集方式章节提供参考。</w:t>
      </w:r>
    </w:p>
    <w:p>
      <w:pPr>
        <w:ind w:firstLine="560"/>
        <w:rPr>
          <w:lang w:val="zh-CN"/>
        </w:rPr>
      </w:pPr>
      <w:r>
        <w:rPr>
          <w:rFonts w:hint="eastAsia"/>
          <w:lang w:val="zh-CN"/>
        </w:rPr>
        <w:t>3）元数据、特征字段、编码：湖北造价标准设置工程分类编码、大量结构化工程特征表，区分必填、选填；上海空间标准强制坐标系、空间范围等元数据；本导则需要设置水利工程分类编码，附录A归集清单区分必填/可选字段，配套元数据要求。</w:t>
      </w:r>
    </w:p>
    <w:p>
      <w:pPr>
        <w:ind w:firstLine="560"/>
        <w:rPr>
          <w:lang w:val="zh-CN"/>
        </w:rPr>
      </w:pPr>
      <w:r>
        <w:rPr>
          <w:rFonts w:hint="eastAsia"/>
          <w:lang w:val="zh-CN"/>
        </w:rPr>
        <w:t>4）触发模式：存在两类模式：①业务阶段驱动（湖北造价标准，工程可研、初设、施工图、竣工阶段触发）；②定时/事件触发（特种设备、政务公共数据）。水利工程建设以里程碑节点推进，适合采用工程业务里程碑节点触发为主，事件变更驱动更新为辅。</w:t>
      </w:r>
    </w:p>
    <w:p>
      <w:pPr>
        <w:ind w:firstLine="560"/>
        <w:rPr>
          <w:lang w:val="zh-CN"/>
        </w:rPr>
      </w:pPr>
      <w:r>
        <w:rPr>
          <w:rFonts w:hint="eastAsia"/>
          <w:lang w:val="zh-CN"/>
        </w:rPr>
        <w:t>5）质量与版本管理：浙江审计标准强调版本留存；湖北造价标准对字段做必填、枚举约束；山东、四川标准明确归集包含映射、转换、清洗、校验预处理，并非简单接收文件。本导则明确归集包含数据校验、清洗处理，工程图纸报告需要留存版本信息。</w:t>
      </w:r>
    </w:p>
    <w:p>
      <w:pPr>
        <w:ind w:firstLine="560"/>
        <w:rPr>
          <w:lang w:val="zh-CN"/>
        </w:rPr>
      </w:pPr>
      <w:r>
        <w:rPr>
          <w:rFonts w:hint="eastAsia"/>
          <w:lang w:val="zh-CN"/>
        </w:rPr>
        <w:t>6）闭环管理机制：江苏信用类标准包含异议纠错；四川标准要求归集日志留痕。本导则设置归集结果确认、变更更新、日志留存闭环流程。</w:t>
      </w:r>
    </w:p>
    <w:p>
      <w:pPr>
        <w:ind w:firstLine="560"/>
        <w:rPr>
          <w:lang w:val="zh-CN"/>
        </w:rPr>
      </w:pPr>
      <w:r>
        <w:rPr>
          <w:rFonts w:hint="eastAsia"/>
          <w:lang w:val="zh-CN"/>
        </w:rPr>
        <w:t>7）安全特点：上海空间标准重点关注涉密地理信息；政务类地方标准落实分级分类、脱敏。水利项目汇聚大量工程位置、设施参数，存在聚合安全风险，在参考地方标准基础上增加多源汇聚聚合风险管控条款。</w:t>
      </w:r>
    </w:p>
    <w:p>
      <w:pPr>
        <w:ind w:firstLine="560"/>
        <w:rPr>
          <w:lang w:val="zh-CN"/>
        </w:rPr>
      </w:pPr>
      <w:r>
        <w:rPr>
          <w:rFonts w:hint="eastAsia"/>
          <w:lang w:val="zh-CN"/>
        </w:rPr>
        <w:t>8）条文范式参考：湖北造价标准规定“国有资金投资应执行，其他资金参照执行”；本导则针对市级财政水利专项项目，采用同类表述。</w:t>
      </w:r>
    </w:p>
    <w:p>
      <w:pPr>
        <w:ind w:firstLine="560"/>
        <w:rPr>
          <w:lang w:val="zh-CN"/>
        </w:rPr>
      </w:pPr>
      <w:r>
        <w:rPr>
          <w:rFonts w:hint="eastAsia"/>
          <w:lang w:val="zh-CN"/>
        </w:rPr>
        <w:t>同时识别现有地方标准不足：调研的地方标准，大多面向造价、信用、政务、空间地理、特种设备、审计等领域；国内尚未有专门针对水利财政投资建设项目全生命周期数据资产归集的地方标准，没有完全适配水利工程建设管理、河湖、泵闸、堤防海塘业务的完整规范，因此需要编制本导则填补空白。</w:t>
      </w:r>
    </w:p>
    <w:p>
      <w:pPr>
        <w:pStyle w:val="3"/>
        <w:spacing w:before="76" w:after="76"/>
        <w:rPr>
          <w:lang w:val="zh-CN"/>
        </w:rPr>
      </w:pPr>
      <w:bookmarkStart w:id="13" w:name="_Toc242450711"/>
      <w:r>
        <w:rPr>
          <w:rFonts w:hint="eastAsia"/>
          <w:lang w:val="zh-CN"/>
        </w:rPr>
        <w:t>综合对比分析及本标准借鉴启示</w:t>
      </w:r>
      <w:bookmarkEnd w:id="13"/>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1842"/>
        <w:gridCol w:w="1701"/>
        <w:gridCol w:w="24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pStyle w:val="55"/>
              <w:rPr>
                <w:lang w:val="zh-CN"/>
              </w:rPr>
            </w:pPr>
            <w:r>
              <w:rPr>
                <w:rFonts w:hint="eastAsia"/>
              </w:rPr>
              <w:t>对比维度</w:t>
            </w:r>
          </w:p>
        </w:tc>
        <w:tc>
          <w:tcPr>
            <w:tcW w:w="1843" w:type="dxa"/>
          </w:tcPr>
          <w:p>
            <w:pPr>
              <w:pStyle w:val="55"/>
              <w:rPr>
                <w:lang w:val="zh-CN"/>
              </w:rPr>
            </w:pPr>
            <w:r>
              <w:rPr>
                <w:rFonts w:hint="eastAsia"/>
              </w:rPr>
              <w:t>国外实践（美/欧/日）</w:t>
            </w:r>
          </w:p>
        </w:tc>
        <w:tc>
          <w:tcPr>
            <w:tcW w:w="1842" w:type="dxa"/>
          </w:tcPr>
          <w:p>
            <w:pPr>
              <w:pStyle w:val="55"/>
              <w:rPr>
                <w:lang w:val="zh-CN"/>
              </w:rPr>
            </w:pPr>
            <w:r>
              <w:rPr>
                <w:rFonts w:hint="eastAsia"/>
              </w:rPr>
              <w:t>国内国家政策标准</w:t>
            </w:r>
          </w:p>
        </w:tc>
        <w:tc>
          <w:tcPr>
            <w:tcW w:w="1701" w:type="dxa"/>
          </w:tcPr>
          <w:p>
            <w:pPr>
              <w:pStyle w:val="55"/>
              <w:rPr>
                <w:lang w:val="zh-CN"/>
              </w:rPr>
            </w:pPr>
            <w:r>
              <w:rPr>
                <w:rFonts w:hint="eastAsia"/>
              </w:rPr>
              <w:t>国内各省市地方归集标准</w:t>
            </w:r>
          </w:p>
        </w:tc>
        <w:tc>
          <w:tcPr>
            <w:tcW w:w="2428" w:type="dxa"/>
          </w:tcPr>
          <w:p>
            <w:pPr>
              <w:pStyle w:val="55"/>
              <w:rPr>
                <w:lang w:val="zh-CN"/>
              </w:rPr>
            </w:pPr>
            <w:r>
              <w:rPr>
                <w:rFonts w:hint="eastAsia"/>
              </w:rPr>
              <w:t>本导则借鉴与差异化处理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pStyle w:val="55"/>
              <w:rPr>
                <w:lang w:val="zh-CN"/>
              </w:rPr>
            </w:pPr>
            <w:r>
              <w:rPr>
                <w:rFonts w:hint="eastAsia"/>
              </w:rPr>
              <w:t>数据资产定义视角</w:t>
            </w:r>
          </w:p>
        </w:tc>
        <w:tc>
          <w:tcPr>
            <w:tcW w:w="1843" w:type="dxa"/>
          </w:tcPr>
          <w:p>
            <w:pPr>
              <w:pStyle w:val="55"/>
              <w:rPr>
                <w:lang w:val="zh-CN"/>
              </w:rPr>
            </w:pPr>
            <w:r>
              <w:rPr>
                <w:rFonts w:hint="eastAsia"/>
              </w:rPr>
              <w:t>美国：数据集信息资源，侧重机器可读开放复用；欧盟：公共数据再利用资源，缺少会计资产视角；日本：公共工程电子交付资料，侧重档案保存；共性：缺少公益基建行政事业单位场景定义。</w:t>
            </w:r>
          </w:p>
        </w:tc>
        <w:tc>
          <w:tcPr>
            <w:tcW w:w="1842" w:type="dxa"/>
          </w:tcPr>
          <w:p>
            <w:pPr>
              <w:pStyle w:val="55"/>
              <w:rPr>
                <w:lang w:val="zh-CN"/>
              </w:rPr>
            </w:pPr>
            <w:r>
              <w:rPr>
                <w:rFonts w:hint="eastAsia"/>
              </w:rPr>
              <w:t>财资〔2024〕1号：兼顾管理服务潜力+经济利益；公益事业单位允许以社会效益为价值来源；水利行业缺少项目细分定义。</w:t>
            </w:r>
          </w:p>
        </w:tc>
        <w:tc>
          <w:tcPr>
            <w:tcW w:w="1701" w:type="dxa"/>
          </w:tcPr>
          <w:p>
            <w:pPr>
              <w:pStyle w:val="55"/>
              <w:rPr>
                <w:lang w:val="zh-CN"/>
              </w:rPr>
            </w:pPr>
            <w:r>
              <w:rPr>
                <w:rFonts w:hint="eastAsia"/>
              </w:rPr>
              <w:t>地方标准大多不重新定义“数据资产”，聚焦“数据归集”操作流程。</w:t>
            </w:r>
          </w:p>
        </w:tc>
        <w:tc>
          <w:tcPr>
            <w:tcW w:w="2428" w:type="dxa"/>
          </w:tcPr>
          <w:p>
            <w:pPr>
              <w:pStyle w:val="55"/>
              <w:rPr>
                <w:lang w:val="zh-CN"/>
              </w:rPr>
            </w:pPr>
            <w:r>
              <w:rPr>
                <w:rFonts w:hint="eastAsia"/>
              </w:rPr>
              <w:t>吸收国外数据集、机器可读资源内涵；立足国内财资〔2024〕1号行政事业单位制度语境；针对水利公益项目弱化“直接经济利益流入”，修改为水利建设与管理服务潜力或社会效益，形成本导则2.0.2术语定义。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pStyle w:val="55"/>
              <w:rPr>
                <w:lang w:val="zh-CN"/>
              </w:rPr>
            </w:pPr>
            <w:r>
              <w:rPr>
                <w:rFonts w:hint="eastAsia"/>
              </w:rPr>
              <w:t>管理定位</w:t>
            </w:r>
          </w:p>
        </w:tc>
        <w:tc>
          <w:tcPr>
            <w:tcW w:w="1843" w:type="dxa"/>
          </w:tcPr>
          <w:p>
            <w:pPr>
              <w:pStyle w:val="55"/>
              <w:rPr>
                <w:lang w:val="zh-CN"/>
              </w:rPr>
            </w:pPr>
            <w:r>
              <w:rPr>
                <w:rFonts w:hint="eastAsia"/>
              </w:rPr>
              <w:t>美欧侧重公共数据开放再利用；日本偏向工程电子档案交付。</w:t>
            </w:r>
          </w:p>
        </w:tc>
        <w:tc>
          <w:tcPr>
            <w:tcW w:w="1842" w:type="dxa"/>
          </w:tcPr>
          <w:p>
            <w:pPr>
              <w:pStyle w:val="55"/>
              <w:rPr>
                <w:lang w:val="zh-CN"/>
              </w:rPr>
            </w:pPr>
            <w:r>
              <w:rPr>
                <w:rFonts w:hint="eastAsia"/>
              </w:rPr>
              <w:t>国家层面重制度框架；水利行业重档案归档；缺少项目级归集操作细则。</w:t>
            </w:r>
          </w:p>
        </w:tc>
        <w:tc>
          <w:tcPr>
            <w:tcW w:w="1701" w:type="dxa"/>
          </w:tcPr>
          <w:p>
            <w:pPr>
              <w:pStyle w:val="55"/>
              <w:rPr>
                <w:lang w:val="zh-CN"/>
              </w:rPr>
            </w:pPr>
            <w:r>
              <w:rPr>
                <w:rFonts w:hint="eastAsia"/>
              </w:rPr>
              <w:t>地方标准分为两类：一类是政务公共数据治理类；一类是特定行业业务数据归集（造价、特种设备等）。</w:t>
            </w:r>
          </w:p>
        </w:tc>
        <w:tc>
          <w:tcPr>
            <w:tcW w:w="2428" w:type="dxa"/>
          </w:tcPr>
          <w:p>
            <w:pPr>
              <w:pStyle w:val="55"/>
              <w:rPr>
                <w:lang w:val="zh-CN"/>
              </w:rPr>
            </w:pPr>
            <w:r>
              <w:rPr>
                <w:rFonts w:hint="eastAsia"/>
              </w:rPr>
              <w:t>借鉴国外工程节点交付、元数据、格式标准化；借鉴湖北造价标准单项工程归集单元；借鉴上海空间标准多模式归集；立足上海水利项目管理体制，面向业务系统入库复用，不等同档案归档。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6" w:type="dxa"/>
          </w:tcPr>
          <w:p>
            <w:pPr>
              <w:pStyle w:val="55"/>
              <w:rPr>
                <w:lang w:val="zh-CN"/>
              </w:rPr>
            </w:pPr>
            <w:r>
              <w:rPr>
                <w:rFonts w:hint="eastAsia"/>
              </w:rPr>
              <w:t>责任机制</w:t>
            </w:r>
          </w:p>
        </w:tc>
        <w:tc>
          <w:tcPr>
            <w:tcW w:w="1843" w:type="dxa"/>
          </w:tcPr>
          <w:p>
            <w:pPr>
              <w:pStyle w:val="55"/>
              <w:rPr>
                <w:lang w:val="zh-CN"/>
              </w:rPr>
            </w:pPr>
            <w:r>
              <w:rPr>
                <w:rFonts w:hint="eastAsia"/>
              </w:rPr>
              <w:t>国外依靠工程合同约定责任方。</w:t>
            </w:r>
          </w:p>
        </w:tc>
        <w:tc>
          <w:tcPr>
            <w:tcW w:w="1842" w:type="dxa"/>
          </w:tcPr>
          <w:p>
            <w:pPr>
              <w:pStyle w:val="55"/>
              <w:rPr>
                <w:lang w:val="zh-CN"/>
              </w:rPr>
            </w:pPr>
            <w:r>
              <w:rPr>
                <w:rFonts w:hint="eastAsia"/>
              </w:rPr>
              <w:t>国内档案规范侧重参建单位移交档案，未明确数据资产归集主体。</w:t>
            </w:r>
          </w:p>
        </w:tc>
        <w:tc>
          <w:tcPr>
            <w:tcW w:w="1701" w:type="dxa"/>
          </w:tcPr>
          <w:p>
            <w:pPr>
              <w:pStyle w:val="55"/>
              <w:rPr>
                <w:lang w:val="zh-CN"/>
              </w:rPr>
            </w:pPr>
            <w:r>
              <w:rPr>
                <w:rFonts w:hint="eastAsia"/>
              </w:rPr>
              <w:t>湖北造价标准：项目建设单位负责造价数据上报。</w:t>
            </w:r>
          </w:p>
        </w:tc>
        <w:tc>
          <w:tcPr>
            <w:tcW w:w="2428" w:type="dxa"/>
          </w:tcPr>
          <w:p>
            <w:pPr>
              <w:pStyle w:val="55"/>
              <w:rPr>
                <w:lang w:val="zh-CN"/>
              </w:rPr>
            </w:pPr>
            <w:r>
              <w:rPr>
                <w:rFonts w:hint="eastAsia"/>
              </w:rPr>
              <w:t>吸收合同责任思想，明确项目法人作为归集第一责任主体，落实“谁产生、谁提供、谁负责”，适配国内水利项目法人制。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pStyle w:val="55"/>
              <w:rPr>
                <w:lang w:val="zh-CN"/>
              </w:rPr>
            </w:pPr>
            <w:r>
              <w:rPr>
                <w:rFonts w:hint="eastAsia"/>
              </w:rPr>
              <w:t>归集触发与时限</w:t>
            </w:r>
          </w:p>
        </w:tc>
        <w:tc>
          <w:tcPr>
            <w:tcW w:w="1843" w:type="dxa"/>
          </w:tcPr>
          <w:p>
            <w:pPr>
              <w:pStyle w:val="55"/>
              <w:rPr>
                <w:lang w:val="zh-CN"/>
              </w:rPr>
            </w:pPr>
            <w:r>
              <w:rPr>
                <w:rFonts w:hint="eastAsia"/>
              </w:rPr>
              <w:t>美欧依靠合同约定节点；日本随工程验收交付，无统一强制工作日时限。</w:t>
            </w:r>
          </w:p>
        </w:tc>
        <w:tc>
          <w:tcPr>
            <w:tcW w:w="1842" w:type="dxa"/>
          </w:tcPr>
          <w:p>
            <w:pPr>
              <w:pStyle w:val="55"/>
              <w:rPr>
                <w:lang w:val="zh-CN"/>
              </w:rPr>
            </w:pPr>
            <w:r>
              <w:rPr>
                <w:rFonts w:hint="eastAsia"/>
              </w:rPr>
              <w:t>水利归档标准要求竣工归档，缺少分阶段时限。</w:t>
            </w:r>
          </w:p>
        </w:tc>
        <w:tc>
          <w:tcPr>
            <w:tcW w:w="1701" w:type="dxa"/>
          </w:tcPr>
          <w:p>
            <w:pPr>
              <w:pStyle w:val="55"/>
              <w:rPr>
                <w:lang w:val="zh-CN"/>
              </w:rPr>
            </w:pPr>
            <w:r>
              <w:rPr>
                <w:rFonts w:hint="eastAsia"/>
              </w:rPr>
              <w:t>湖北造价：工程各业务阶段触发；特种设备：定时+事件双模式。</w:t>
            </w:r>
          </w:p>
        </w:tc>
        <w:tc>
          <w:tcPr>
            <w:tcW w:w="2428" w:type="dxa"/>
          </w:tcPr>
          <w:p>
            <w:pPr>
              <w:pStyle w:val="55"/>
              <w:rPr>
                <w:lang w:val="zh-CN"/>
              </w:rPr>
            </w:pPr>
            <w:r>
              <w:rPr>
                <w:rFonts w:hint="eastAsia"/>
              </w:rPr>
              <w:t>采用工程里程碑节点触发为主，变更事件驱动更新为辅；结合上海管理实际设置分阶段工作日上限，改变仅竣工一次性移交模式。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pStyle w:val="55"/>
              <w:rPr>
                <w:lang w:val="zh-CN"/>
              </w:rPr>
            </w:pPr>
            <w:r>
              <w:rPr>
                <w:rFonts w:hint="eastAsia"/>
              </w:rPr>
              <w:t>数据内容格式</w:t>
            </w:r>
          </w:p>
        </w:tc>
        <w:tc>
          <w:tcPr>
            <w:tcW w:w="1843" w:type="dxa"/>
          </w:tcPr>
          <w:p>
            <w:pPr>
              <w:pStyle w:val="55"/>
              <w:rPr>
                <w:lang w:val="zh-CN"/>
              </w:rPr>
            </w:pPr>
            <w:r>
              <w:rPr>
                <w:rFonts w:hint="eastAsia"/>
              </w:rPr>
              <w:t>重视图纸、BIM、地理空间数据集，规定交换格式。</w:t>
            </w:r>
          </w:p>
        </w:tc>
        <w:tc>
          <w:tcPr>
            <w:tcW w:w="1842" w:type="dxa"/>
          </w:tcPr>
          <w:p>
            <w:pPr>
              <w:pStyle w:val="55"/>
              <w:rPr>
                <w:lang w:val="zh-CN"/>
              </w:rPr>
            </w:pPr>
            <w:r>
              <w:rPr>
                <w:rFonts w:hint="eastAsia"/>
              </w:rPr>
              <w:t>归档以文档报告为主，空间设施数据集要求不足。</w:t>
            </w:r>
          </w:p>
        </w:tc>
        <w:tc>
          <w:tcPr>
            <w:tcW w:w="1701" w:type="dxa"/>
          </w:tcPr>
          <w:p>
            <w:pPr>
              <w:pStyle w:val="55"/>
              <w:rPr>
                <w:lang w:val="zh-CN"/>
              </w:rPr>
            </w:pPr>
            <w:r>
              <w:rPr>
                <w:rFonts w:hint="eastAsia"/>
              </w:rPr>
              <w:t>湖北造价：大量工程结构化特征字段表；上海空间标准明确地方坐标系。</w:t>
            </w:r>
          </w:p>
        </w:tc>
        <w:tc>
          <w:tcPr>
            <w:tcW w:w="2428" w:type="dxa"/>
          </w:tcPr>
          <w:p>
            <w:pPr>
              <w:pStyle w:val="55"/>
              <w:rPr>
                <w:lang w:val="zh-CN"/>
              </w:rPr>
            </w:pPr>
            <w:r>
              <w:rPr>
                <w:rFonts w:hint="eastAsia"/>
              </w:rPr>
              <w:t>增加河湖、泵闸、堤防、海塘设施空间+属性台账；明确上海2000坐标系；设置附录A归集清单，区分必填/可选。不强制高门槛BIM，兼容国内主流CAD格式。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pStyle w:val="55"/>
              <w:rPr>
                <w:lang w:val="zh-CN"/>
              </w:rPr>
            </w:pPr>
            <w:r>
              <w:rPr>
                <w:rFonts w:hint="eastAsia"/>
              </w:rPr>
              <w:t>归集技术方式</w:t>
            </w:r>
          </w:p>
        </w:tc>
        <w:tc>
          <w:tcPr>
            <w:tcW w:w="1843" w:type="dxa"/>
          </w:tcPr>
          <w:p>
            <w:pPr>
              <w:pStyle w:val="55"/>
              <w:rPr>
                <w:lang w:val="zh-CN"/>
              </w:rPr>
            </w:pPr>
            <w:r>
              <w:rPr>
                <w:rFonts w:hint="eastAsia"/>
              </w:rPr>
              <w:t>以文件交付为主，部分接口对接，缺少场景选型指引。</w:t>
            </w:r>
          </w:p>
        </w:tc>
        <w:tc>
          <w:tcPr>
            <w:tcW w:w="1842" w:type="dxa"/>
          </w:tcPr>
          <w:p>
            <w:pPr>
              <w:pStyle w:val="55"/>
              <w:rPr>
                <w:lang w:val="zh-CN"/>
              </w:rPr>
            </w:pPr>
            <w:r>
              <w:rPr>
                <w:rFonts w:hint="eastAsia"/>
              </w:rPr>
              <w:t>水利领域缺少在线填报、文件、数据库、接口四类场景指引。</w:t>
            </w:r>
          </w:p>
        </w:tc>
        <w:tc>
          <w:tcPr>
            <w:tcW w:w="1701" w:type="dxa"/>
          </w:tcPr>
          <w:p>
            <w:pPr>
              <w:pStyle w:val="55"/>
              <w:rPr>
                <w:lang w:val="zh-CN"/>
              </w:rPr>
            </w:pPr>
            <w:r>
              <w:rPr>
                <w:rFonts w:hint="eastAsia"/>
              </w:rPr>
              <w:t>多省市普遍采用：在线填报、文件上传、API接口、数据库同步。</w:t>
            </w:r>
          </w:p>
        </w:tc>
        <w:tc>
          <w:tcPr>
            <w:tcW w:w="2428" w:type="dxa"/>
          </w:tcPr>
          <w:p>
            <w:pPr>
              <w:pStyle w:val="55"/>
              <w:rPr>
                <w:lang w:val="zh-CN"/>
              </w:rPr>
            </w:pPr>
            <w:r>
              <w:rPr>
                <w:rFonts w:hint="eastAsia"/>
              </w:rPr>
              <w:t>本导则创新设置四种归集方式，明确不同业务场景适用条件，兼顾小型项目简易填报、大型项目系统对接。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6" w:type="dxa"/>
          </w:tcPr>
          <w:p>
            <w:pPr>
              <w:pStyle w:val="55"/>
              <w:rPr>
                <w:lang w:val="zh-CN"/>
              </w:rPr>
            </w:pPr>
            <w:r>
              <w:rPr>
                <w:rFonts w:hint="eastAsia"/>
              </w:rPr>
              <w:t>质量、版本、更新</w:t>
            </w:r>
          </w:p>
        </w:tc>
        <w:tc>
          <w:tcPr>
            <w:tcW w:w="1843" w:type="dxa"/>
          </w:tcPr>
          <w:p>
            <w:pPr>
              <w:pStyle w:val="55"/>
              <w:rPr>
                <w:lang w:val="zh-CN"/>
              </w:rPr>
            </w:pPr>
            <w:r>
              <w:rPr>
                <w:rFonts w:hint="eastAsia"/>
              </w:rPr>
              <w:t>重视元数据、质量校验；版本分散在业务系统。</w:t>
            </w:r>
          </w:p>
        </w:tc>
        <w:tc>
          <w:tcPr>
            <w:tcW w:w="1842" w:type="dxa"/>
          </w:tcPr>
          <w:p>
            <w:pPr>
              <w:pStyle w:val="55"/>
              <w:rPr>
                <w:lang w:val="zh-CN"/>
              </w:rPr>
            </w:pPr>
            <w:r>
              <w:rPr>
                <w:rFonts w:hint="eastAsia"/>
              </w:rPr>
              <w:t>侧重档案完整性，缺少版本、更新机制。</w:t>
            </w:r>
          </w:p>
        </w:tc>
        <w:tc>
          <w:tcPr>
            <w:tcW w:w="1701" w:type="dxa"/>
          </w:tcPr>
          <w:p>
            <w:pPr>
              <w:pStyle w:val="55"/>
              <w:rPr>
                <w:lang w:val="zh-CN"/>
              </w:rPr>
            </w:pPr>
            <w:r>
              <w:rPr>
                <w:rFonts w:hint="eastAsia"/>
              </w:rPr>
              <w:t>浙江审计标准重视版本留存；江苏信用标准设置异议纠错；四川标准归集日志留痕。</w:t>
            </w:r>
          </w:p>
        </w:tc>
        <w:tc>
          <w:tcPr>
            <w:tcW w:w="2428" w:type="dxa"/>
          </w:tcPr>
          <w:p>
            <w:pPr>
              <w:pStyle w:val="55"/>
              <w:rPr>
                <w:lang w:val="zh-CN"/>
              </w:rPr>
            </w:pPr>
            <w:r>
              <w:rPr>
                <w:rFonts w:hint="eastAsia"/>
              </w:rPr>
              <w:t>明确归集包含转换、清洗、校验预处理；增加版本管理、变更更新、归集日志留痕闭环流程。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pStyle w:val="55"/>
              <w:rPr>
                <w:lang w:val="zh-CN"/>
              </w:rPr>
            </w:pPr>
            <w:r>
              <w:rPr>
                <w:rFonts w:hint="eastAsia"/>
              </w:rPr>
              <w:t>安全管理</w:t>
            </w:r>
          </w:p>
        </w:tc>
        <w:tc>
          <w:tcPr>
            <w:tcW w:w="1843" w:type="dxa"/>
          </w:tcPr>
          <w:p>
            <w:pPr>
              <w:pStyle w:val="55"/>
              <w:rPr>
                <w:lang w:val="zh-CN"/>
              </w:rPr>
            </w:pPr>
            <w:r>
              <w:rPr>
                <w:rFonts w:hint="eastAsia"/>
              </w:rPr>
              <w:t>美国联邦信息安全、欧盟GDPR、日本个人信息保护；管控关键基础设施数据。</w:t>
            </w:r>
          </w:p>
        </w:tc>
        <w:tc>
          <w:tcPr>
            <w:tcW w:w="1842" w:type="dxa"/>
          </w:tcPr>
          <w:p>
            <w:pPr>
              <w:pStyle w:val="55"/>
              <w:rPr>
                <w:lang w:val="zh-CN"/>
              </w:rPr>
            </w:pPr>
            <w:r>
              <w:rPr>
                <w:rFonts w:hint="eastAsia"/>
              </w:rPr>
              <w:t>《数据安全法》</w:t>
            </w:r>
            <w:r>
              <w:rPr>
                <w:rFonts w:hint="eastAsia"/>
                <w:lang w:eastAsia="zh-CN"/>
              </w:rPr>
              <w:t>等</w:t>
            </w:r>
            <w:r>
              <w:rPr>
                <w:rFonts w:hint="eastAsia"/>
              </w:rPr>
              <w:t>保、SL/T 864</w:t>
            </w:r>
            <w:r>
              <w:rPr>
                <w:rFonts w:hint="eastAsia"/>
                <w:lang w:eastAsia="zh-CN"/>
              </w:rPr>
              <w:t>-</w:t>
            </w:r>
            <w:r>
              <w:rPr>
                <w:rFonts w:hint="eastAsia"/>
              </w:rPr>
              <w:t>2026水利数据分类分级。</w:t>
            </w:r>
          </w:p>
        </w:tc>
        <w:tc>
          <w:tcPr>
            <w:tcW w:w="1701" w:type="dxa"/>
          </w:tcPr>
          <w:p>
            <w:pPr>
              <w:pStyle w:val="55"/>
              <w:rPr>
                <w:lang w:val="zh-CN"/>
              </w:rPr>
            </w:pPr>
            <w:r>
              <w:rPr>
                <w:rFonts w:hint="eastAsia"/>
              </w:rPr>
              <w:t>地方标准落实分级分类、脱敏、访问控制；上海空间标准重点关注地理信息保密。</w:t>
            </w:r>
          </w:p>
        </w:tc>
        <w:tc>
          <w:tcPr>
            <w:tcW w:w="2428" w:type="dxa"/>
          </w:tcPr>
          <w:p>
            <w:pPr>
              <w:pStyle w:val="55"/>
              <w:rPr>
                <w:lang w:val="zh-CN"/>
              </w:rPr>
            </w:pPr>
            <w:r>
              <w:rPr>
                <w:rFonts w:hint="eastAsia"/>
              </w:rPr>
              <w:t>借鉴国内外分级保护思路，在地方标准基础上强化归集阶段前置脱敏，防范多项目汇聚带来聚合安全风险。</w:t>
            </w:r>
          </w:p>
        </w:tc>
      </w:tr>
    </w:tbl>
    <w:p>
      <w:pPr>
        <w:ind w:firstLine="560"/>
        <w:rPr>
          <w:lang w:val="zh-CN"/>
        </w:rPr>
      </w:pPr>
      <w:r>
        <w:rPr>
          <w:rFonts w:hint="eastAsia"/>
          <w:lang w:val="zh-CN"/>
        </w:rPr>
        <w:t>综合对标得到启示：</w:t>
      </w:r>
    </w:p>
    <w:p>
      <w:pPr>
        <w:ind w:firstLine="560"/>
        <w:rPr>
          <w:lang w:val="zh-CN"/>
        </w:rPr>
      </w:pPr>
      <w:r>
        <w:rPr>
          <w:rFonts w:hint="eastAsia"/>
          <w:lang w:val="zh-CN"/>
        </w:rPr>
        <w:t>1）国外水利工程电子交付实践较多，但制度语境和我国行政事业单位数据资产不完全相同，不能直接照搬。</w:t>
      </w:r>
    </w:p>
    <w:p>
      <w:pPr>
        <w:ind w:firstLine="560"/>
        <w:rPr>
          <w:lang w:val="zh-CN"/>
        </w:rPr>
      </w:pPr>
      <w:r>
        <w:rPr>
          <w:rFonts w:hint="eastAsia"/>
          <w:lang w:val="zh-CN"/>
        </w:rPr>
        <w:t>2）国家财资〔2024〕1号给出顶层定义，但未细化到水利工程建设项目；国内地方归集标准覆盖造价、政务、信用、空间地理等领域，但缺少水利专项建设项目完整归集规范。</w:t>
      </w:r>
    </w:p>
    <w:p>
      <w:pPr>
        <w:ind w:firstLine="560"/>
        <w:rPr>
          <w:lang w:val="zh-CN"/>
        </w:rPr>
      </w:pPr>
      <w:r>
        <w:rPr>
          <w:rFonts w:hint="eastAsia"/>
          <w:lang w:val="zh-CN"/>
        </w:rPr>
        <w:t>3）本导则综合吸收：①湖北造价标准“单项工程为单元、业务阶段驱动、结构化特征字段”；②上海空间地理标准“多模式归集、本地坐标系、空间元数据”；③浙江审计标准版本管理；④四川标准归集日志与预处理；⑤江苏信用标准异议更新闭环；同时结合水利行业特点，构建适配上海水利专项项目的数据资产归集完整技术体系。</w:t>
      </w:r>
    </w:p>
    <w:p>
      <w:pPr>
        <w:pStyle w:val="2"/>
        <w:spacing w:before="381" w:after="381"/>
        <w:rPr>
          <w:lang w:val="zh-CN"/>
        </w:rPr>
      </w:pPr>
      <w:bookmarkStart w:id="14" w:name="_Toc242450712"/>
      <w:r>
        <w:rPr>
          <w:rFonts w:hint="eastAsia"/>
          <w:lang w:val="zh-CN"/>
        </w:rPr>
        <w:t>标准主要技术内容</w:t>
      </w:r>
      <w:bookmarkEnd w:id="14"/>
    </w:p>
    <w:p>
      <w:pPr>
        <w:pStyle w:val="3"/>
        <w:spacing w:before="76" w:after="76"/>
        <w:rPr>
          <w:lang w:val="zh-CN"/>
        </w:rPr>
      </w:pPr>
      <w:bookmarkStart w:id="15" w:name="_Toc242450713"/>
      <w:r>
        <w:rPr>
          <w:rFonts w:hint="eastAsia"/>
          <w:lang w:val="zh-CN"/>
        </w:rPr>
        <w:t>总体框架</w:t>
      </w:r>
      <w:bookmarkEnd w:id="15"/>
    </w:p>
    <w:p>
      <w:pPr>
        <w:ind w:firstLine="560"/>
        <w:rPr>
          <w:lang w:val="zh-CN"/>
        </w:rPr>
      </w:pPr>
      <w:r>
        <w:rPr>
          <w:rFonts w:hint="eastAsia"/>
          <w:lang w:val="zh-CN"/>
        </w:rPr>
        <w:t>本指导性技术文件一共设置5个章节、1个规范性附录，配套条文说明。</w:t>
      </w:r>
    </w:p>
    <w:p>
      <w:pPr>
        <w:ind w:firstLine="560"/>
        <w:rPr>
          <w:lang w:val="zh-CN"/>
        </w:rPr>
      </w:pPr>
      <w:r>
        <w:rPr>
          <w:rFonts w:hint="eastAsia"/>
          <w:lang w:val="zh-CN"/>
        </w:rPr>
        <w:t>章节：</w:t>
      </w:r>
    </w:p>
    <w:p>
      <w:pPr>
        <w:ind w:firstLine="560"/>
        <w:rPr>
          <w:lang w:val="zh-CN"/>
        </w:rPr>
      </w:pPr>
      <w:r>
        <w:rPr>
          <w:rFonts w:hint="eastAsia"/>
          <w:lang w:val="zh-CN"/>
        </w:rPr>
        <w:t>1总则；</w:t>
      </w:r>
    </w:p>
    <w:p>
      <w:pPr>
        <w:ind w:firstLine="560"/>
        <w:rPr>
          <w:lang w:val="zh-CN"/>
        </w:rPr>
      </w:pPr>
      <w:r>
        <w:rPr>
          <w:rFonts w:hint="eastAsia"/>
          <w:lang w:val="zh-CN"/>
        </w:rPr>
        <w:t>2术语；</w:t>
      </w:r>
    </w:p>
    <w:p>
      <w:pPr>
        <w:ind w:firstLine="560"/>
        <w:rPr>
          <w:lang w:val="zh-CN"/>
        </w:rPr>
      </w:pPr>
      <w:r>
        <w:rPr>
          <w:rFonts w:hint="eastAsia"/>
          <w:lang w:val="zh-CN"/>
        </w:rPr>
        <w:t>3总体要求；</w:t>
      </w:r>
    </w:p>
    <w:p>
      <w:pPr>
        <w:ind w:firstLine="560"/>
        <w:rPr>
          <w:lang w:val="zh-CN"/>
        </w:rPr>
      </w:pPr>
      <w:r>
        <w:rPr>
          <w:rFonts w:hint="eastAsia"/>
          <w:lang w:val="zh-CN"/>
        </w:rPr>
        <w:t>4数据资产归集；</w:t>
      </w:r>
    </w:p>
    <w:p>
      <w:pPr>
        <w:ind w:firstLine="560"/>
        <w:rPr>
          <w:lang w:val="zh-CN"/>
        </w:rPr>
      </w:pPr>
      <w:r>
        <w:rPr>
          <w:rFonts w:hint="eastAsia"/>
          <w:lang w:val="zh-CN"/>
        </w:rPr>
        <w:t>5数据资产安全；</w:t>
      </w:r>
    </w:p>
    <w:p>
      <w:pPr>
        <w:ind w:firstLine="560"/>
        <w:rPr>
          <w:lang w:val="zh-CN"/>
        </w:rPr>
      </w:pPr>
      <w:r>
        <w:rPr>
          <w:rFonts w:hint="eastAsia"/>
          <w:lang w:val="zh-CN"/>
        </w:rPr>
        <w:t>附录A《水利专项项目数据资产归集清单》。</w:t>
      </w:r>
    </w:p>
    <w:p>
      <w:pPr>
        <w:ind w:firstLine="560"/>
        <w:rPr>
          <w:lang w:val="zh-CN"/>
        </w:rPr>
      </w:pPr>
      <w:r>
        <w:rPr>
          <w:rFonts w:hint="eastAsia"/>
          <w:lang w:val="zh-CN"/>
        </w:rPr>
        <w:t>本文件定位为地方标准化指导性技术文件，用于指导列入上海市水利专项计划项目开展数据资产归集；重点解决归集什么、怎么归集、何时归集、如何保障安全四大实操问题，突出数据资产“机器可读、系统汇聚、业务复用”特点。</w:t>
      </w:r>
    </w:p>
    <w:p>
      <w:pPr>
        <w:pStyle w:val="3"/>
        <w:spacing w:before="76" w:after="76"/>
        <w:rPr>
          <w:lang w:val="zh-CN"/>
        </w:rPr>
      </w:pPr>
      <w:bookmarkStart w:id="16" w:name="_Toc242450714"/>
      <w:r>
        <w:rPr>
          <w:rFonts w:hint="eastAsia"/>
          <w:lang w:val="zh-CN"/>
        </w:rPr>
        <w:t>各章节主要内容</w:t>
      </w:r>
      <w:bookmarkEnd w:id="16"/>
    </w:p>
    <w:p>
      <w:pPr>
        <w:ind w:firstLine="562"/>
        <w:rPr>
          <w:lang w:val="zh-CN"/>
        </w:rPr>
      </w:pPr>
      <w:r>
        <w:rPr>
          <w:rFonts w:hint="eastAsia"/>
          <w:b/>
          <w:bCs/>
          <w:lang w:val="zh-CN"/>
        </w:rPr>
        <w:t>第</w:t>
      </w:r>
      <w:r>
        <w:rPr>
          <w:b/>
          <w:bCs/>
          <w:lang w:val="zh-CN"/>
        </w:rPr>
        <w:t>1</w:t>
      </w:r>
      <w:r>
        <w:rPr>
          <w:rFonts w:hint="eastAsia"/>
          <w:b/>
          <w:bCs/>
          <w:lang w:val="zh-CN"/>
        </w:rPr>
        <w:t>章</w:t>
      </w:r>
      <w:r>
        <w:rPr>
          <w:b/>
          <w:bCs/>
          <w:lang w:val="zh-CN"/>
        </w:rPr>
        <w:t> </w:t>
      </w:r>
      <w:r>
        <w:rPr>
          <w:rFonts w:hint="eastAsia"/>
          <w:b/>
          <w:bCs/>
          <w:lang w:val="zh-CN"/>
        </w:rPr>
        <w:t>总则</w:t>
      </w:r>
      <w:r>
        <w:rPr>
          <w:rFonts w:hint="eastAsia"/>
          <w:lang w:val="zh-CN"/>
        </w:rPr>
        <w:t>：说明本标准规定的主要技术内容；适用范围为列入上海市水利专项计划的河道整治、圩区改造、泵闸新建改造、堤防维修、海塘达标保滩项目，其他水利工程可参照执行；列出规范性引用文件。</w:t>
      </w:r>
    </w:p>
    <w:p>
      <w:pPr>
        <w:ind w:firstLine="562"/>
        <w:rPr>
          <w:lang w:val="zh-CN"/>
        </w:rPr>
      </w:pPr>
      <w:r>
        <w:rPr>
          <w:rFonts w:hint="eastAsia"/>
          <w:b/>
          <w:bCs/>
          <w:lang w:val="zh-CN"/>
        </w:rPr>
        <w:t>第</w:t>
      </w:r>
      <w:r>
        <w:rPr>
          <w:b/>
          <w:bCs/>
          <w:lang w:val="zh-CN"/>
        </w:rPr>
        <w:t>2</w:t>
      </w:r>
      <w:r>
        <w:rPr>
          <w:rFonts w:hint="eastAsia"/>
          <w:b/>
          <w:bCs/>
          <w:lang w:val="zh-CN"/>
        </w:rPr>
        <w:t>章</w:t>
      </w:r>
      <w:r>
        <w:rPr>
          <w:b/>
          <w:bCs/>
          <w:lang w:val="zh-CN"/>
        </w:rPr>
        <w:t> </w:t>
      </w:r>
      <w:r>
        <w:rPr>
          <w:rFonts w:hint="eastAsia"/>
          <w:b/>
          <w:bCs/>
          <w:lang w:val="zh-CN"/>
        </w:rPr>
        <w:t>术语和定义</w:t>
      </w:r>
      <w:r>
        <w:rPr>
          <w:rFonts w:hint="eastAsia"/>
          <w:lang w:val="zh-CN"/>
        </w:rPr>
        <w:t>：定义</w:t>
      </w:r>
      <w:r>
        <w:rPr>
          <w:lang w:val="zh-CN"/>
        </w:rPr>
        <w:t>4</w:t>
      </w:r>
      <w:r>
        <w:rPr>
          <w:rFonts w:hint="eastAsia"/>
          <w:lang w:val="zh-CN"/>
        </w:rPr>
        <w:t>个核心术语：水利专项项目、水利专项项目数据资产、数据资产归集、水利专项项目业务管理系统。结合上海水利公益项目属性，参考财资〔</w:t>
      </w:r>
      <w:r>
        <w:rPr>
          <w:lang w:val="zh-CN"/>
        </w:rPr>
        <w:t>2024</w:t>
      </w:r>
      <w:r>
        <w:rPr>
          <w:rFonts w:hint="eastAsia"/>
          <w:lang w:val="zh-CN"/>
        </w:rPr>
        <w:t>〕</w:t>
      </w:r>
      <w:r>
        <w:rPr>
          <w:lang w:val="zh-CN"/>
        </w:rPr>
        <w:t>1</w:t>
      </w:r>
      <w:r>
        <w:rPr>
          <w:rFonts w:hint="eastAsia"/>
          <w:lang w:val="zh-CN"/>
        </w:rPr>
        <w:t>号，借鉴国内外不同体系数据资产定义视角，对水利专项项目数据资产定义做适应性修改，区分数据资产归集和传统档案归档概念。</w:t>
      </w:r>
    </w:p>
    <w:p>
      <w:pPr>
        <w:ind w:firstLine="562"/>
        <w:rPr>
          <w:lang w:val="zh-CN"/>
        </w:rPr>
      </w:pPr>
      <w:r>
        <w:rPr>
          <w:rFonts w:hint="eastAsia"/>
          <w:b/>
          <w:bCs/>
          <w:lang w:val="zh-CN"/>
        </w:rPr>
        <w:t>第</w:t>
      </w:r>
      <w:r>
        <w:rPr>
          <w:b/>
          <w:bCs/>
          <w:lang w:val="zh-CN"/>
        </w:rPr>
        <w:t>3</w:t>
      </w:r>
      <w:r>
        <w:rPr>
          <w:rFonts w:hint="eastAsia"/>
          <w:b/>
          <w:bCs/>
          <w:lang w:val="zh-CN"/>
        </w:rPr>
        <w:t>章</w:t>
      </w:r>
      <w:r>
        <w:rPr>
          <w:b/>
          <w:bCs/>
          <w:lang w:val="zh-CN"/>
        </w:rPr>
        <w:t> </w:t>
      </w:r>
      <w:r>
        <w:rPr>
          <w:rFonts w:hint="eastAsia"/>
          <w:b/>
          <w:bCs/>
          <w:lang w:val="zh-CN"/>
        </w:rPr>
        <w:t>总体要求</w:t>
      </w:r>
      <w:r>
        <w:rPr>
          <w:rFonts w:hint="eastAsia"/>
          <w:lang w:val="zh-CN"/>
        </w:rPr>
        <w:t>：提出归集四项基本原则：准确性、完整性、及时性、安全性。要求归集数据和工程实体保持一致，覆盖项目全生命周期，按节点及时归集，执行水利数据分类分级开展安全防护；明确以单项工程作为基础归集单元；明确项目法人主体责任。</w:t>
      </w:r>
    </w:p>
    <w:p>
      <w:pPr>
        <w:ind w:firstLine="562"/>
        <w:rPr>
          <w:lang w:val="zh-CN"/>
        </w:rPr>
      </w:pPr>
      <w:r>
        <w:rPr>
          <w:rFonts w:hint="eastAsia"/>
          <w:b/>
          <w:bCs/>
          <w:lang w:val="zh-CN"/>
        </w:rPr>
        <w:t>第</w:t>
      </w:r>
      <w:r>
        <w:rPr>
          <w:b/>
          <w:bCs/>
          <w:lang w:val="zh-CN"/>
        </w:rPr>
        <w:t>4</w:t>
      </w:r>
      <w:r>
        <w:rPr>
          <w:rFonts w:hint="eastAsia"/>
          <w:b/>
          <w:bCs/>
          <w:lang w:val="zh-CN"/>
        </w:rPr>
        <w:t>章</w:t>
      </w:r>
      <w:r>
        <w:rPr>
          <w:b/>
          <w:bCs/>
          <w:lang w:val="zh-CN"/>
        </w:rPr>
        <w:t> </w:t>
      </w:r>
      <w:r>
        <w:rPr>
          <w:rFonts w:hint="eastAsia"/>
          <w:b/>
          <w:bCs/>
          <w:lang w:val="zh-CN"/>
        </w:rPr>
        <w:t>数据资产归集（核心章节）</w:t>
      </w:r>
      <w:r>
        <w:rPr>
          <w:rFonts w:hint="eastAsia"/>
          <w:lang w:val="zh-CN"/>
        </w:rPr>
        <w:t>：</w:t>
      </w:r>
    </w:p>
    <w:p>
      <w:pPr>
        <w:ind w:firstLine="560"/>
        <w:rPr>
          <w:lang w:val="zh-CN"/>
        </w:rPr>
      </w:pPr>
      <w:r>
        <w:rPr>
          <w:lang w:val="zh-CN"/>
        </w:rPr>
        <w:t>4.1</w:t>
      </w:r>
      <w:r>
        <w:rPr>
          <w:rFonts w:hint="eastAsia"/>
          <w:lang w:val="zh-CN"/>
        </w:rPr>
        <w:t>一般规定，明确了项目法人在数据资产归集中的三项核心职责，即建立制度、落实责任、明确范围；</w:t>
      </w:r>
    </w:p>
    <w:p>
      <w:pPr>
        <w:ind w:firstLine="560"/>
        <w:rPr>
          <w:lang w:val="zh-CN"/>
        </w:rPr>
      </w:pPr>
      <w:r>
        <w:rPr>
          <w:lang w:val="zh-CN"/>
        </w:rPr>
        <w:t>4.2</w:t>
      </w:r>
      <w:r>
        <w:rPr>
          <w:rFonts w:hint="eastAsia"/>
          <w:lang w:val="zh-CN"/>
        </w:rPr>
        <w:t>归集技术要求，明确了归集文件的命名规则、文件大小、格式要求，并进一步对归集文件的项目建设数据及建成设施数据提出要求，明确各自适用业务场景；</w:t>
      </w:r>
    </w:p>
    <w:p>
      <w:pPr>
        <w:ind w:firstLine="560"/>
        <w:rPr>
          <w:lang w:val="zh-CN"/>
        </w:rPr>
      </w:pPr>
      <w:r>
        <w:rPr>
          <w:rFonts w:hint="eastAsia"/>
          <w:lang w:val="zh-CN"/>
        </w:rPr>
        <w:t>4</w:t>
      </w:r>
      <w:r>
        <w:rPr>
          <w:lang w:val="zh-CN"/>
        </w:rPr>
        <w:t>.3</w:t>
      </w:r>
      <w:r>
        <w:rPr>
          <w:rFonts w:hint="eastAsia"/>
          <w:lang w:val="zh-CN"/>
        </w:rPr>
        <w:t>归集方式，规定</w:t>
      </w:r>
      <w:r>
        <w:rPr>
          <w:rFonts w:hint="eastAsia"/>
        </w:rPr>
        <w:t>在线填报方式、接口调用方式这两种归集方式，明确各自适用业务场景；</w:t>
      </w:r>
    </w:p>
    <w:p>
      <w:pPr>
        <w:ind w:firstLine="560"/>
        <w:rPr>
          <w:lang w:val="zh-CN"/>
        </w:rPr>
      </w:pPr>
      <w:r>
        <w:rPr>
          <w:lang w:val="zh-CN"/>
        </w:rPr>
        <w:t>4.4</w:t>
      </w:r>
      <w:r>
        <w:rPr>
          <w:rFonts w:hint="eastAsia"/>
          <w:lang w:val="zh-CN"/>
        </w:rPr>
        <w:t>归集流程，明确了归集程序包括</w:t>
      </w:r>
      <w:r>
        <w:rPr>
          <w:rFonts w:hint="eastAsia"/>
        </w:rPr>
        <w:t>归集准备、归集报送、归集确认、</w:t>
      </w:r>
      <w:r>
        <w:t>数据更新</w:t>
      </w:r>
      <w:r>
        <w:rPr>
          <w:rFonts w:hint="eastAsia"/>
        </w:rPr>
        <w:t>，确保水利专项项目管理系统内的数据准确、完整、及时、安全；</w:t>
      </w:r>
    </w:p>
    <w:p>
      <w:pPr>
        <w:ind w:firstLine="560"/>
        <w:rPr>
          <w:lang w:val="zh-CN"/>
        </w:rPr>
      </w:pPr>
      <w:r>
        <w:rPr>
          <w:lang w:val="zh-CN"/>
        </w:rPr>
        <w:t>4.5</w:t>
      </w:r>
      <w:r>
        <w:rPr>
          <w:rFonts w:hint="eastAsia"/>
          <w:lang w:val="zh-CN"/>
        </w:rPr>
        <w:t>归集周期，根据收集数据的类型不同，按照工程里程碑节点设置分阶段归集时限。</w:t>
      </w:r>
    </w:p>
    <w:p>
      <w:pPr>
        <w:ind w:firstLine="562"/>
        <w:rPr>
          <w:lang w:val="zh-CN"/>
        </w:rPr>
      </w:pPr>
      <w:r>
        <w:rPr>
          <w:rFonts w:hint="eastAsia"/>
          <w:b/>
          <w:bCs/>
          <w:lang w:val="zh-CN"/>
        </w:rPr>
        <w:t>第</w:t>
      </w:r>
      <w:r>
        <w:rPr>
          <w:b/>
          <w:bCs/>
          <w:lang w:val="zh-CN"/>
        </w:rPr>
        <w:t>5</w:t>
      </w:r>
      <w:r>
        <w:rPr>
          <w:rFonts w:hint="eastAsia"/>
          <w:b/>
          <w:bCs/>
          <w:lang w:val="zh-CN"/>
        </w:rPr>
        <w:t>章</w:t>
      </w:r>
      <w:r>
        <w:rPr>
          <w:b/>
          <w:bCs/>
          <w:lang w:val="zh-CN"/>
        </w:rPr>
        <w:t> </w:t>
      </w:r>
      <w:r>
        <w:rPr>
          <w:rFonts w:hint="eastAsia"/>
          <w:b/>
          <w:bCs/>
          <w:lang w:val="zh-CN"/>
        </w:rPr>
        <w:t>数据资产安全</w:t>
      </w:r>
      <w:r>
        <w:rPr>
          <w:rFonts w:hint="eastAsia"/>
          <w:lang w:val="zh-CN"/>
        </w:rPr>
        <w:t>：明确数据资产合规使用底线；业务系统落实网络安全等级保护；针对多项目汇聚带来的聚合风险，强化访问控制、数据脱敏、加密、操作审计管控措施。</w:t>
      </w:r>
    </w:p>
    <w:p>
      <w:pPr>
        <w:pStyle w:val="3"/>
        <w:spacing w:before="76" w:after="76"/>
        <w:rPr>
          <w:lang w:val="zh-CN"/>
        </w:rPr>
      </w:pPr>
      <w:bookmarkStart w:id="17" w:name="_Toc242450715"/>
      <w:r>
        <w:rPr>
          <w:rFonts w:hint="eastAsia"/>
          <w:lang w:val="zh-CN"/>
        </w:rPr>
        <w:t>附录A说明</w:t>
      </w:r>
      <w:bookmarkEnd w:id="17"/>
    </w:p>
    <w:p>
      <w:pPr>
        <w:ind w:firstLine="560"/>
        <w:rPr>
          <w:lang w:val="zh-CN"/>
        </w:rPr>
      </w:pPr>
      <w:r>
        <w:rPr>
          <w:rFonts w:hint="eastAsia"/>
          <w:lang w:val="zh-CN"/>
        </w:rPr>
        <w:t>附录A为规范性附录《水利专项项目数据资产归集清单》，是归集准备、核对校验直接依据。清单分为</w:t>
      </w:r>
      <w:r>
        <w:rPr>
          <w:rFonts w:hint="eastAsia"/>
        </w:rPr>
        <w:t>项目前期及设计文件、建设管理文件、验收文件及其他</w:t>
      </w:r>
      <w:r>
        <w:t>数据</w:t>
      </w:r>
      <w:r>
        <w:rPr>
          <w:rFonts w:hint="eastAsia"/>
        </w:rPr>
        <w:t>文件</w:t>
      </w:r>
      <w:r>
        <w:rPr>
          <w:rFonts w:hint="eastAsia"/>
          <w:lang w:eastAsia="zh-CN"/>
        </w:rPr>
        <w:t>。</w:t>
      </w:r>
      <w:r>
        <w:rPr>
          <w:rFonts w:hint="eastAsia" w:ascii="Times New Roman" w:hAnsi="Times New Roman"/>
          <w:bCs/>
          <w:color w:val="000000" w:themeColor="text1"/>
          <w14:textFill>
            <w14:solidFill>
              <w14:schemeClr w14:val="tx1"/>
            </w14:solidFill>
          </w14:textFill>
        </w:rPr>
        <w:t>根据项目建设实际</w:t>
      </w:r>
      <w:r>
        <w:rPr>
          <w:rFonts w:hint="eastAsia"/>
        </w:rPr>
        <w:t>，</w:t>
      </w:r>
      <w:r>
        <w:rPr>
          <w:rFonts w:hint="eastAsia" w:ascii="Times New Roman" w:hAnsi="Times New Roman"/>
          <w:bCs/>
          <w:color w:val="000000" w:themeColor="text1"/>
          <w14:textFill>
            <w14:solidFill>
              <w14:schemeClr w14:val="tx1"/>
            </w14:solidFill>
          </w14:textFill>
        </w:rPr>
        <w:t>如没有相关文件可不归集。</w:t>
      </w:r>
      <w:r>
        <w:rPr>
          <w:rFonts w:hint="eastAsia"/>
          <w:lang w:val="zh-CN"/>
        </w:rPr>
        <w:t>。</w:t>
      </w:r>
    </w:p>
    <w:p>
      <w:pPr>
        <w:pStyle w:val="2"/>
        <w:spacing w:before="381" w:after="381"/>
        <w:rPr>
          <w:lang w:val="zh-CN"/>
        </w:rPr>
      </w:pPr>
      <w:bookmarkStart w:id="18" w:name="_Toc242450720"/>
      <w:r>
        <w:rPr>
          <w:rFonts w:hint="eastAsia"/>
          <w:lang w:val="zh-CN"/>
        </w:rPr>
        <w:t>与现行法律、法规、标准的协调性</w:t>
      </w:r>
      <w:bookmarkEnd w:id="18"/>
    </w:p>
    <w:p>
      <w:pPr>
        <w:ind w:firstLine="560"/>
        <w:rPr>
          <w:lang w:val="zh-CN"/>
        </w:rPr>
      </w:pPr>
      <w:r>
        <w:rPr>
          <w:rFonts w:hint="eastAsia"/>
          <w:lang w:val="zh-CN"/>
        </w:rPr>
        <w:t xml:space="preserve">1）本标准条文和上位法律、行政法规、国家行业标准保持一致，无冲突；规范性引用文件均为现行有效版本；导则术语“水利专项项目数据资产”基于财资〔2024〕1号定义做适应性修改，不脱离国家文件核心内涵。 </w:t>
      </w:r>
    </w:p>
    <w:p>
      <w:pPr>
        <w:ind w:firstLine="560"/>
        <w:rPr>
          <w:lang w:val="zh-CN"/>
        </w:rPr>
      </w:pPr>
      <w:r>
        <w:rPr>
          <w:rFonts w:hint="eastAsia"/>
          <w:lang w:val="zh-CN"/>
        </w:rPr>
        <w:t>2）本标准不替代工程档案归档工作，档案归档仍然执行SL/T 824 2024以及档案管理相关规范；本导则面向业务系统开展数据资产归集，侧重机器可读和业务复用，二者并行互补。对标湖北造价地方标准，区分“标准执行”和“档案归档”边界。</w:t>
      </w:r>
    </w:p>
    <w:p>
      <w:pPr>
        <w:ind w:firstLine="560"/>
        <w:rPr>
          <w:lang w:val="zh-CN"/>
        </w:rPr>
      </w:pPr>
      <w:r>
        <w:rPr>
          <w:rFonts w:hint="eastAsia"/>
          <w:lang w:val="zh-CN"/>
        </w:rPr>
        <w:t>3）与上海地方标准DB31/T1477《空间地理数据归集技术要求》协调统一，空间数据统一采用上海2000地方坐标系，适配上海现有水务信息化体系。</w:t>
      </w:r>
    </w:p>
    <w:p>
      <w:pPr>
        <w:pStyle w:val="2"/>
        <w:spacing w:before="381" w:after="381"/>
        <w:rPr>
          <w:lang w:val="zh-CN"/>
        </w:rPr>
      </w:pPr>
      <w:bookmarkStart w:id="19" w:name="_Toc242450721"/>
      <w:r>
        <w:rPr>
          <w:rFonts w:hint="eastAsia"/>
          <w:lang w:val="zh-CN"/>
        </w:rPr>
        <w:t>重大分歧意见处理</w:t>
      </w:r>
      <w:bookmarkEnd w:id="19"/>
    </w:p>
    <w:p>
      <w:pPr>
        <w:ind w:firstLine="560"/>
        <w:rPr>
          <w:lang w:val="zh-CN"/>
        </w:rPr>
      </w:pPr>
      <w:r>
        <w:rPr>
          <w:rFonts w:hint="eastAsia"/>
          <w:lang w:val="zh-CN"/>
        </w:rPr>
        <w:t>本标准编制全过程未产生重大分歧意见。</w:t>
      </w:r>
    </w:p>
    <w:p>
      <w:pPr>
        <w:pStyle w:val="2"/>
        <w:spacing w:before="381" w:after="381"/>
        <w:rPr>
          <w:lang w:val="zh-CN"/>
        </w:rPr>
      </w:pPr>
      <w:bookmarkStart w:id="20" w:name="_Toc242450722"/>
      <w:r>
        <w:rPr>
          <w:rFonts w:hint="eastAsia"/>
          <w:lang w:val="zh-CN"/>
        </w:rPr>
        <w:t>实施本标准的措施建议</w:t>
      </w:r>
      <w:bookmarkEnd w:id="20"/>
    </w:p>
    <w:p>
      <w:pPr>
        <w:ind w:firstLine="560"/>
        <w:rPr>
          <w:lang w:val="zh-CN"/>
        </w:rPr>
      </w:pPr>
      <w:r>
        <w:rPr>
          <w:rFonts w:hint="eastAsia"/>
          <w:lang w:val="zh-CN"/>
        </w:rPr>
        <w:t>一是及时开展宣贯工作。标准正式发布后，各相关部门应及时组织宣贯培训工作，培训内容包含标准条文、附录归集清单、数据格式、归集程序、归集周期、安全管理等内容。同时多渠道开展宣传工作，依托微信公众号等媒体推送标准要点，扩大标准知晓面、覆盖面。</w:t>
      </w:r>
    </w:p>
    <w:p>
      <w:pPr>
        <w:ind w:firstLine="560"/>
        <w:rPr>
          <w:rFonts w:hint="eastAsia"/>
          <w:lang w:val="zh-CN"/>
        </w:rPr>
      </w:pPr>
      <w:r>
        <w:rPr>
          <w:rFonts w:hint="eastAsia"/>
          <w:lang w:val="zh-CN"/>
        </w:rPr>
        <w:t>二是升级完善水利专项项目管理系统。按照导则要求完善在线填报、接口调用归集功能。</w:t>
      </w:r>
    </w:p>
    <w:p>
      <w:pPr>
        <w:pStyle w:val="2"/>
        <w:spacing w:before="381" w:after="381"/>
        <w:rPr>
          <w:lang w:val="zh-CN"/>
        </w:rPr>
      </w:pPr>
      <w:bookmarkStart w:id="21" w:name="_Toc242450726"/>
      <w:r>
        <w:rPr>
          <w:rFonts w:hint="eastAsia"/>
          <w:lang w:val="zh-CN"/>
        </w:rPr>
        <w:t>公平竞争审查说明</w:t>
      </w:r>
      <w:bookmarkEnd w:id="21"/>
    </w:p>
    <w:p>
      <w:pPr>
        <w:ind w:firstLine="560"/>
        <w:rPr>
          <w:lang w:val="zh-CN"/>
        </w:rPr>
      </w:pPr>
      <w:r>
        <w:rPr>
          <w:rFonts w:hint="eastAsia"/>
          <w:lang w:val="zh-CN"/>
        </w:rPr>
        <w:t>本标准编制严格落实《公平竞争审查条例》及实施办法，标准条文不存在限制市场准入退出、妨碍要素自由流动、不当干预生产经营成本与经营行为的内容。本标准报批前，将按照上海市市场监督管理局要求完成公平竞争审查，填报地方标准公平竞争审查表。</w:t>
      </w:r>
      <w:r>
        <w:rPr>
          <w:lang w:val="zh-CN"/>
        </w:rPr>
        <w:br w:type="page"/>
      </w:r>
    </w:p>
    <w:p>
      <w:pPr>
        <w:pStyle w:val="2"/>
        <w:spacing w:before="381" w:after="381"/>
        <w:rPr>
          <w:lang w:val="zh-CN"/>
        </w:rPr>
      </w:pPr>
      <w:bookmarkStart w:id="22" w:name="_Toc242450727"/>
      <w:r>
        <w:rPr>
          <w:rFonts w:hint="eastAsia"/>
          <w:lang w:val="zh-CN"/>
        </w:rPr>
        <w:t>其他应予说明的事项</w:t>
      </w:r>
      <w:bookmarkEnd w:id="22"/>
    </w:p>
    <w:p>
      <w:pPr>
        <w:ind w:firstLine="560"/>
        <w:rPr>
          <w:rFonts w:hint="eastAsia"/>
          <w:lang w:val="zh-CN"/>
        </w:rPr>
      </w:pPr>
      <w:r>
        <w:rPr>
          <w:rFonts w:hint="eastAsia"/>
          <w:lang w:val="zh-CN"/>
        </w:rPr>
        <w:t>无。</w:t>
      </w:r>
    </w:p>
    <w:sectPr>
      <w:footerReference r:id="rId14" w:type="default"/>
      <w:pgSz w:w="11907" w:h="16839"/>
      <w:pgMar w:top="1440" w:right="1440" w:bottom="1440" w:left="1797" w:header="851" w:footer="992" w:gutter="0"/>
      <w:pgNumType w:start="1"/>
      <w:cols w:space="720"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00"/>
      <w:jc w:val="center"/>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EndPr>
      <w:rPr>
        <w:sz w:val="20"/>
      </w:rPr>
    </w:sdtEndPr>
    <w:sdtContent>
      <w:p>
        <w:pPr>
          <w:ind w:firstLine="560"/>
          <w:jc w:val="center"/>
          <w:rPr>
            <w:sz w:val="20"/>
          </w:rPr>
        </w:pPr>
        <w:r>
          <w:rPr>
            <w:sz w:val="20"/>
          </w:rPr>
          <w:fldChar w:fldCharType="begin"/>
        </w:r>
        <w:r>
          <w:rPr>
            <w:sz w:val="20"/>
          </w:rPr>
          <w:instrText xml:space="preserve">PAGE   \* MERGEFORMAT</w:instrText>
        </w:r>
        <w:r>
          <w:rPr>
            <w:sz w:val="20"/>
          </w:rPr>
          <w:fldChar w:fldCharType="separate"/>
        </w:r>
        <w:r>
          <w:rPr>
            <w:sz w:val="20"/>
            <w:lang w:val="zh-CN"/>
          </w:rPr>
          <w:t>2</w:t>
        </w:r>
        <w:r>
          <w:rPr>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280" w:firstLine="5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decimal"/>
      <w:pStyle w:val="2"/>
      <w:lvlText w:val="%1  "/>
      <w:lvlJc w:val="left"/>
      <w:pPr>
        <w:ind w:left="420" w:hanging="420"/>
      </w:pPr>
      <w:rPr>
        <w:rFonts w:hint="eastAsia"/>
      </w:rPr>
    </w:lvl>
    <w:lvl w:ilvl="1" w:tentative="0">
      <w:start w:val="1"/>
      <w:numFmt w:val="decimal"/>
      <w:pStyle w:val="3"/>
      <w:suff w:val="nothing"/>
      <w:lvlText w:val="%1.%2"/>
      <w:lvlJc w:val="left"/>
      <w:pPr>
        <w:ind w:left="2836" w:firstLine="0"/>
      </w:pPr>
      <w:rPr>
        <w:rFonts w:hint="eastAsia" w:ascii="黑体" w:hAnsi="Times New Roman" w:eastAsia="黑体"/>
        <w:snapToGrid w:val="0"/>
        <w:kern w:val="32"/>
        <w:sz w:val="32"/>
      </w:rPr>
    </w:lvl>
    <w:lvl w:ilvl="2" w:tentative="0">
      <w:start w:val="1"/>
      <w:numFmt w:val="decimal"/>
      <w:pStyle w:val="4"/>
      <w:lvlText w:val="%1.%2.%3"/>
      <w:lvlJc w:val="left"/>
      <w:pPr>
        <w:tabs>
          <w:tab w:val="left" w:pos="720"/>
        </w:tabs>
        <w:ind w:left="720" w:hanging="720"/>
      </w:pPr>
      <w:rPr>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5"/>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trackRevisions w:val="1"/>
  <w:documentProtection w:enforcement="0"/>
  <w:defaultTabStop w:val="420"/>
  <w:drawingGridHorizontalSpacing w:val="255"/>
  <w:drawingGridVerticalSpacing w:val="381"/>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21F"/>
    <w:rsid w:val="00000ADF"/>
    <w:rsid w:val="00001A9E"/>
    <w:rsid w:val="000023F5"/>
    <w:rsid w:val="0000249C"/>
    <w:rsid w:val="00002583"/>
    <w:rsid w:val="00002839"/>
    <w:rsid w:val="00002A79"/>
    <w:rsid w:val="00002DE8"/>
    <w:rsid w:val="00002F02"/>
    <w:rsid w:val="00003351"/>
    <w:rsid w:val="00003490"/>
    <w:rsid w:val="000037C0"/>
    <w:rsid w:val="0000389F"/>
    <w:rsid w:val="000039AE"/>
    <w:rsid w:val="00004045"/>
    <w:rsid w:val="0000489F"/>
    <w:rsid w:val="00004F05"/>
    <w:rsid w:val="00004FE7"/>
    <w:rsid w:val="00005817"/>
    <w:rsid w:val="00005CF6"/>
    <w:rsid w:val="00005D3F"/>
    <w:rsid w:val="00006A7A"/>
    <w:rsid w:val="000071B9"/>
    <w:rsid w:val="00007346"/>
    <w:rsid w:val="0000759A"/>
    <w:rsid w:val="00010822"/>
    <w:rsid w:val="00011040"/>
    <w:rsid w:val="00011428"/>
    <w:rsid w:val="000116FD"/>
    <w:rsid w:val="00012447"/>
    <w:rsid w:val="000126E1"/>
    <w:rsid w:val="00013057"/>
    <w:rsid w:val="000131C8"/>
    <w:rsid w:val="000146A7"/>
    <w:rsid w:val="00014E13"/>
    <w:rsid w:val="000161FD"/>
    <w:rsid w:val="00016B37"/>
    <w:rsid w:val="00017106"/>
    <w:rsid w:val="000172D1"/>
    <w:rsid w:val="00017366"/>
    <w:rsid w:val="000173B1"/>
    <w:rsid w:val="00017405"/>
    <w:rsid w:val="000176A4"/>
    <w:rsid w:val="000202CF"/>
    <w:rsid w:val="00020ADC"/>
    <w:rsid w:val="00020CA9"/>
    <w:rsid w:val="00020DE6"/>
    <w:rsid w:val="000229BD"/>
    <w:rsid w:val="00022ADC"/>
    <w:rsid w:val="0002301C"/>
    <w:rsid w:val="000232DF"/>
    <w:rsid w:val="00023B64"/>
    <w:rsid w:val="000240F1"/>
    <w:rsid w:val="00024777"/>
    <w:rsid w:val="000248F4"/>
    <w:rsid w:val="00024F34"/>
    <w:rsid w:val="00025669"/>
    <w:rsid w:val="0002574F"/>
    <w:rsid w:val="000264AE"/>
    <w:rsid w:val="00026DA2"/>
    <w:rsid w:val="000271E3"/>
    <w:rsid w:val="00027648"/>
    <w:rsid w:val="0003033B"/>
    <w:rsid w:val="0003043A"/>
    <w:rsid w:val="000306CB"/>
    <w:rsid w:val="00030947"/>
    <w:rsid w:val="00030F2E"/>
    <w:rsid w:val="00031475"/>
    <w:rsid w:val="00031649"/>
    <w:rsid w:val="000318C9"/>
    <w:rsid w:val="00032347"/>
    <w:rsid w:val="00032A14"/>
    <w:rsid w:val="00032B93"/>
    <w:rsid w:val="00033FFA"/>
    <w:rsid w:val="0003462C"/>
    <w:rsid w:val="00034E46"/>
    <w:rsid w:val="00035ECC"/>
    <w:rsid w:val="000361F9"/>
    <w:rsid w:val="00036500"/>
    <w:rsid w:val="000365D5"/>
    <w:rsid w:val="000369D7"/>
    <w:rsid w:val="00040114"/>
    <w:rsid w:val="000404AA"/>
    <w:rsid w:val="00040A99"/>
    <w:rsid w:val="00041750"/>
    <w:rsid w:val="000421E9"/>
    <w:rsid w:val="0004287E"/>
    <w:rsid w:val="0004299B"/>
    <w:rsid w:val="00042A50"/>
    <w:rsid w:val="00042B2A"/>
    <w:rsid w:val="00042EA0"/>
    <w:rsid w:val="000436A6"/>
    <w:rsid w:val="0004374E"/>
    <w:rsid w:val="0004391F"/>
    <w:rsid w:val="00044F4A"/>
    <w:rsid w:val="00045026"/>
    <w:rsid w:val="000457BB"/>
    <w:rsid w:val="00045A0C"/>
    <w:rsid w:val="000465AE"/>
    <w:rsid w:val="00046A2A"/>
    <w:rsid w:val="00046BF4"/>
    <w:rsid w:val="00046DE4"/>
    <w:rsid w:val="00046EC2"/>
    <w:rsid w:val="0004792A"/>
    <w:rsid w:val="00047952"/>
    <w:rsid w:val="00047A5F"/>
    <w:rsid w:val="00050229"/>
    <w:rsid w:val="000504F7"/>
    <w:rsid w:val="0005064A"/>
    <w:rsid w:val="000517B8"/>
    <w:rsid w:val="00051D5D"/>
    <w:rsid w:val="000530CF"/>
    <w:rsid w:val="00053966"/>
    <w:rsid w:val="00053CE6"/>
    <w:rsid w:val="00053D19"/>
    <w:rsid w:val="00053D46"/>
    <w:rsid w:val="00053FB2"/>
    <w:rsid w:val="0005426D"/>
    <w:rsid w:val="000547E8"/>
    <w:rsid w:val="00055209"/>
    <w:rsid w:val="000552E3"/>
    <w:rsid w:val="0005553C"/>
    <w:rsid w:val="00055868"/>
    <w:rsid w:val="00055A9B"/>
    <w:rsid w:val="00055C7F"/>
    <w:rsid w:val="00055CE0"/>
    <w:rsid w:val="000563F2"/>
    <w:rsid w:val="0005697C"/>
    <w:rsid w:val="00056AC0"/>
    <w:rsid w:val="000574AE"/>
    <w:rsid w:val="0005776F"/>
    <w:rsid w:val="000578EE"/>
    <w:rsid w:val="00057EDF"/>
    <w:rsid w:val="00057F37"/>
    <w:rsid w:val="00060869"/>
    <w:rsid w:val="00060948"/>
    <w:rsid w:val="000612C7"/>
    <w:rsid w:val="000612DA"/>
    <w:rsid w:val="00061448"/>
    <w:rsid w:val="00061B0C"/>
    <w:rsid w:val="00062161"/>
    <w:rsid w:val="00062403"/>
    <w:rsid w:val="000624CA"/>
    <w:rsid w:val="00062B02"/>
    <w:rsid w:val="00062F28"/>
    <w:rsid w:val="00063325"/>
    <w:rsid w:val="0006335D"/>
    <w:rsid w:val="0006339B"/>
    <w:rsid w:val="000636C6"/>
    <w:rsid w:val="000637A5"/>
    <w:rsid w:val="00063D49"/>
    <w:rsid w:val="0006405A"/>
    <w:rsid w:val="000644B7"/>
    <w:rsid w:val="00064B65"/>
    <w:rsid w:val="00064F98"/>
    <w:rsid w:val="000657DA"/>
    <w:rsid w:val="0006581B"/>
    <w:rsid w:val="000658C2"/>
    <w:rsid w:val="000662DA"/>
    <w:rsid w:val="00066E4B"/>
    <w:rsid w:val="000676EC"/>
    <w:rsid w:val="0006781D"/>
    <w:rsid w:val="00067824"/>
    <w:rsid w:val="000679D2"/>
    <w:rsid w:val="00067F76"/>
    <w:rsid w:val="00070D4B"/>
    <w:rsid w:val="00070F30"/>
    <w:rsid w:val="0007114E"/>
    <w:rsid w:val="000711A4"/>
    <w:rsid w:val="00071A52"/>
    <w:rsid w:val="0007202D"/>
    <w:rsid w:val="000722CD"/>
    <w:rsid w:val="000724F3"/>
    <w:rsid w:val="00072671"/>
    <w:rsid w:val="00072B33"/>
    <w:rsid w:val="000733FE"/>
    <w:rsid w:val="00073887"/>
    <w:rsid w:val="000738E8"/>
    <w:rsid w:val="00073FBE"/>
    <w:rsid w:val="00074111"/>
    <w:rsid w:val="00075AB8"/>
    <w:rsid w:val="00075FC9"/>
    <w:rsid w:val="00076547"/>
    <w:rsid w:val="00076B33"/>
    <w:rsid w:val="00077110"/>
    <w:rsid w:val="000775B2"/>
    <w:rsid w:val="000776D3"/>
    <w:rsid w:val="00077779"/>
    <w:rsid w:val="00077D5A"/>
    <w:rsid w:val="00077E37"/>
    <w:rsid w:val="00080088"/>
    <w:rsid w:val="00080106"/>
    <w:rsid w:val="0008089D"/>
    <w:rsid w:val="00081077"/>
    <w:rsid w:val="00081495"/>
    <w:rsid w:val="00081577"/>
    <w:rsid w:val="00081C13"/>
    <w:rsid w:val="00081CE8"/>
    <w:rsid w:val="00081D15"/>
    <w:rsid w:val="00081E9D"/>
    <w:rsid w:val="000823A3"/>
    <w:rsid w:val="0008285D"/>
    <w:rsid w:val="00082F7E"/>
    <w:rsid w:val="000832FA"/>
    <w:rsid w:val="0008343A"/>
    <w:rsid w:val="00083FB9"/>
    <w:rsid w:val="000847CF"/>
    <w:rsid w:val="00084B0C"/>
    <w:rsid w:val="000850AE"/>
    <w:rsid w:val="00086326"/>
    <w:rsid w:val="00086483"/>
    <w:rsid w:val="000864C8"/>
    <w:rsid w:val="000864F0"/>
    <w:rsid w:val="00087596"/>
    <w:rsid w:val="000901B5"/>
    <w:rsid w:val="000901EF"/>
    <w:rsid w:val="00090A06"/>
    <w:rsid w:val="00090C17"/>
    <w:rsid w:val="00091E8E"/>
    <w:rsid w:val="00092024"/>
    <w:rsid w:val="000930EC"/>
    <w:rsid w:val="000933E0"/>
    <w:rsid w:val="00093CF9"/>
    <w:rsid w:val="00094150"/>
    <w:rsid w:val="000945B0"/>
    <w:rsid w:val="00094807"/>
    <w:rsid w:val="000951B0"/>
    <w:rsid w:val="0009571D"/>
    <w:rsid w:val="00095D54"/>
    <w:rsid w:val="00095E0B"/>
    <w:rsid w:val="00095E4F"/>
    <w:rsid w:val="0009649F"/>
    <w:rsid w:val="00096653"/>
    <w:rsid w:val="00097241"/>
    <w:rsid w:val="000973E1"/>
    <w:rsid w:val="000A038E"/>
    <w:rsid w:val="000A0464"/>
    <w:rsid w:val="000A0986"/>
    <w:rsid w:val="000A0BA7"/>
    <w:rsid w:val="000A0E97"/>
    <w:rsid w:val="000A0F3D"/>
    <w:rsid w:val="000A1761"/>
    <w:rsid w:val="000A1785"/>
    <w:rsid w:val="000A1AAA"/>
    <w:rsid w:val="000A1CAA"/>
    <w:rsid w:val="000A1EA5"/>
    <w:rsid w:val="000A20CE"/>
    <w:rsid w:val="000A2351"/>
    <w:rsid w:val="000A2860"/>
    <w:rsid w:val="000A2964"/>
    <w:rsid w:val="000A2D0B"/>
    <w:rsid w:val="000A30D6"/>
    <w:rsid w:val="000A34CF"/>
    <w:rsid w:val="000A3A44"/>
    <w:rsid w:val="000A3D23"/>
    <w:rsid w:val="000A3FBC"/>
    <w:rsid w:val="000A4870"/>
    <w:rsid w:val="000A5537"/>
    <w:rsid w:val="000A5D02"/>
    <w:rsid w:val="000A624E"/>
    <w:rsid w:val="000A63F6"/>
    <w:rsid w:val="000A6511"/>
    <w:rsid w:val="000A70C5"/>
    <w:rsid w:val="000A78A7"/>
    <w:rsid w:val="000B0F48"/>
    <w:rsid w:val="000B0F56"/>
    <w:rsid w:val="000B0F8B"/>
    <w:rsid w:val="000B1A58"/>
    <w:rsid w:val="000B2AF9"/>
    <w:rsid w:val="000B34BA"/>
    <w:rsid w:val="000B3D28"/>
    <w:rsid w:val="000B3D2F"/>
    <w:rsid w:val="000B5445"/>
    <w:rsid w:val="000B5AD8"/>
    <w:rsid w:val="000B5E33"/>
    <w:rsid w:val="000B677B"/>
    <w:rsid w:val="000B6857"/>
    <w:rsid w:val="000B72AD"/>
    <w:rsid w:val="000B7696"/>
    <w:rsid w:val="000B7944"/>
    <w:rsid w:val="000B7DF8"/>
    <w:rsid w:val="000C00C9"/>
    <w:rsid w:val="000C04B4"/>
    <w:rsid w:val="000C05B9"/>
    <w:rsid w:val="000C1770"/>
    <w:rsid w:val="000C1D1E"/>
    <w:rsid w:val="000C20C3"/>
    <w:rsid w:val="000C2D8D"/>
    <w:rsid w:val="000C2DF5"/>
    <w:rsid w:val="000C2EB5"/>
    <w:rsid w:val="000C3038"/>
    <w:rsid w:val="000C3093"/>
    <w:rsid w:val="000C377D"/>
    <w:rsid w:val="000C394B"/>
    <w:rsid w:val="000C4197"/>
    <w:rsid w:val="000C4216"/>
    <w:rsid w:val="000C4F8B"/>
    <w:rsid w:val="000C5239"/>
    <w:rsid w:val="000C5712"/>
    <w:rsid w:val="000C5C19"/>
    <w:rsid w:val="000C695F"/>
    <w:rsid w:val="000C6CC2"/>
    <w:rsid w:val="000C6D98"/>
    <w:rsid w:val="000C76FF"/>
    <w:rsid w:val="000C7D2A"/>
    <w:rsid w:val="000D041F"/>
    <w:rsid w:val="000D1021"/>
    <w:rsid w:val="000D187A"/>
    <w:rsid w:val="000D1BDD"/>
    <w:rsid w:val="000D3A65"/>
    <w:rsid w:val="000D3B12"/>
    <w:rsid w:val="000D3B5E"/>
    <w:rsid w:val="000D3BB7"/>
    <w:rsid w:val="000D452E"/>
    <w:rsid w:val="000D45D1"/>
    <w:rsid w:val="000D4680"/>
    <w:rsid w:val="000D48EE"/>
    <w:rsid w:val="000D52EE"/>
    <w:rsid w:val="000D5749"/>
    <w:rsid w:val="000D5B63"/>
    <w:rsid w:val="000D60A9"/>
    <w:rsid w:val="000D63F9"/>
    <w:rsid w:val="000D6599"/>
    <w:rsid w:val="000E0250"/>
    <w:rsid w:val="000E04D9"/>
    <w:rsid w:val="000E06CD"/>
    <w:rsid w:val="000E09F2"/>
    <w:rsid w:val="000E2471"/>
    <w:rsid w:val="000E24F2"/>
    <w:rsid w:val="000E2737"/>
    <w:rsid w:val="000E2AD0"/>
    <w:rsid w:val="000E2DD4"/>
    <w:rsid w:val="000E2E3D"/>
    <w:rsid w:val="000E3359"/>
    <w:rsid w:val="000E3554"/>
    <w:rsid w:val="000E469A"/>
    <w:rsid w:val="000E4CD6"/>
    <w:rsid w:val="000E50F8"/>
    <w:rsid w:val="000E5A5C"/>
    <w:rsid w:val="000E5D03"/>
    <w:rsid w:val="000E5DD9"/>
    <w:rsid w:val="000E5E06"/>
    <w:rsid w:val="000E6EFA"/>
    <w:rsid w:val="000E7959"/>
    <w:rsid w:val="000E7BE9"/>
    <w:rsid w:val="000F00B3"/>
    <w:rsid w:val="000F0379"/>
    <w:rsid w:val="000F04E6"/>
    <w:rsid w:val="000F0BF0"/>
    <w:rsid w:val="000F1082"/>
    <w:rsid w:val="000F137D"/>
    <w:rsid w:val="000F1C41"/>
    <w:rsid w:val="000F1C48"/>
    <w:rsid w:val="000F1FBF"/>
    <w:rsid w:val="000F20F1"/>
    <w:rsid w:val="000F24E5"/>
    <w:rsid w:val="000F2758"/>
    <w:rsid w:val="000F283D"/>
    <w:rsid w:val="000F29CD"/>
    <w:rsid w:val="000F2A93"/>
    <w:rsid w:val="000F2B07"/>
    <w:rsid w:val="000F3315"/>
    <w:rsid w:val="000F3E15"/>
    <w:rsid w:val="000F3E6F"/>
    <w:rsid w:val="000F4095"/>
    <w:rsid w:val="000F412D"/>
    <w:rsid w:val="000F42B2"/>
    <w:rsid w:val="000F48AD"/>
    <w:rsid w:val="000F55FA"/>
    <w:rsid w:val="000F56AC"/>
    <w:rsid w:val="000F592E"/>
    <w:rsid w:val="000F5B7F"/>
    <w:rsid w:val="000F5E11"/>
    <w:rsid w:val="000F6444"/>
    <w:rsid w:val="000F65D5"/>
    <w:rsid w:val="000F6A1A"/>
    <w:rsid w:val="000F710A"/>
    <w:rsid w:val="000F7920"/>
    <w:rsid w:val="00100197"/>
    <w:rsid w:val="001004C4"/>
    <w:rsid w:val="0010062F"/>
    <w:rsid w:val="0010069C"/>
    <w:rsid w:val="00100C02"/>
    <w:rsid w:val="00100EB7"/>
    <w:rsid w:val="00100F46"/>
    <w:rsid w:val="00100F74"/>
    <w:rsid w:val="0010122A"/>
    <w:rsid w:val="001012CF"/>
    <w:rsid w:val="001013BD"/>
    <w:rsid w:val="001014F5"/>
    <w:rsid w:val="00101BE3"/>
    <w:rsid w:val="00101C14"/>
    <w:rsid w:val="00101C9C"/>
    <w:rsid w:val="00102015"/>
    <w:rsid w:val="00102071"/>
    <w:rsid w:val="001027E7"/>
    <w:rsid w:val="00102CA3"/>
    <w:rsid w:val="001032DA"/>
    <w:rsid w:val="00103508"/>
    <w:rsid w:val="001036FE"/>
    <w:rsid w:val="0010386E"/>
    <w:rsid w:val="00103D79"/>
    <w:rsid w:val="00104116"/>
    <w:rsid w:val="001045FC"/>
    <w:rsid w:val="001048C7"/>
    <w:rsid w:val="001052E5"/>
    <w:rsid w:val="0010566D"/>
    <w:rsid w:val="00105F8A"/>
    <w:rsid w:val="001066BD"/>
    <w:rsid w:val="0010677E"/>
    <w:rsid w:val="00106F96"/>
    <w:rsid w:val="00107472"/>
    <w:rsid w:val="001105FD"/>
    <w:rsid w:val="00110ADF"/>
    <w:rsid w:val="00110E17"/>
    <w:rsid w:val="00111118"/>
    <w:rsid w:val="00111834"/>
    <w:rsid w:val="00111FA4"/>
    <w:rsid w:val="001120E2"/>
    <w:rsid w:val="001127F0"/>
    <w:rsid w:val="00113486"/>
    <w:rsid w:val="00113995"/>
    <w:rsid w:val="00113C23"/>
    <w:rsid w:val="00114342"/>
    <w:rsid w:val="00115AE0"/>
    <w:rsid w:val="00115E32"/>
    <w:rsid w:val="00115E7A"/>
    <w:rsid w:val="00115FFB"/>
    <w:rsid w:val="001163E2"/>
    <w:rsid w:val="00116592"/>
    <w:rsid w:val="00117F9E"/>
    <w:rsid w:val="00121548"/>
    <w:rsid w:val="00122039"/>
    <w:rsid w:val="001220FD"/>
    <w:rsid w:val="00122C95"/>
    <w:rsid w:val="00123607"/>
    <w:rsid w:val="00123621"/>
    <w:rsid w:val="0012385F"/>
    <w:rsid w:val="00123ED2"/>
    <w:rsid w:val="00124148"/>
    <w:rsid w:val="001245A4"/>
    <w:rsid w:val="00124DBF"/>
    <w:rsid w:val="001252CB"/>
    <w:rsid w:val="00125317"/>
    <w:rsid w:val="001253F6"/>
    <w:rsid w:val="001254E3"/>
    <w:rsid w:val="001255E7"/>
    <w:rsid w:val="0012599F"/>
    <w:rsid w:val="00125F8A"/>
    <w:rsid w:val="00125FA2"/>
    <w:rsid w:val="0012600D"/>
    <w:rsid w:val="00126D27"/>
    <w:rsid w:val="00126ED0"/>
    <w:rsid w:val="00127DEB"/>
    <w:rsid w:val="001306C2"/>
    <w:rsid w:val="00130E45"/>
    <w:rsid w:val="00130EFB"/>
    <w:rsid w:val="00131115"/>
    <w:rsid w:val="001311C1"/>
    <w:rsid w:val="0013125A"/>
    <w:rsid w:val="0013165A"/>
    <w:rsid w:val="00131680"/>
    <w:rsid w:val="00131BE9"/>
    <w:rsid w:val="00131CD2"/>
    <w:rsid w:val="001328E5"/>
    <w:rsid w:val="00132B32"/>
    <w:rsid w:val="00132D7C"/>
    <w:rsid w:val="00132F63"/>
    <w:rsid w:val="0013379F"/>
    <w:rsid w:val="00133C3A"/>
    <w:rsid w:val="00133DCC"/>
    <w:rsid w:val="00133E47"/>
    <w:rsid w:val="001344F8"/>
    <w:rsid w:val="0013478F"/>
    <w:rsid w:val="001349BE"/>
    <w:rsid w:val="0013701E"/>
    <w:rsid w:val="00137635"/>
    <w:rsid w:val="00137765"/>
    <w:rsid w:val="001377B0"/>
    <w:rsid w:val="00137A80"/>
    <w:rsid w:val="0014057C"/>
    <w:rsid w:val="00140E89"/>
    <w:rsid w:val="001415F2"/>
    <w:rsid w:val="00141923"/>
    <w:rsid w:val="001420ED"/>
    <w:rsid w:val="001422EA"/>
    <w:rsid w:val="00142447"/>
    <w:rsid w:val="00143305"/>
    <w:rsid w:val="0014472A"/>
    <w:rsid w:val="0014550F"/>
    <w:rsid w:val="001455A2"/>
    <w:rsid w:val="0014643F"/>
    <w:rsid w:val="0014648F"/>
    <w:rsid w:val="0014686F"/>
    <w:rsid w:val="00146D67"/>
    <w:rsid w:val="0014770B"/>
    <w:rsid w:val="001509CD"/>
    <w:rsid w:val="00150A34"/>
    <w:rsid w:val="0015118D"/>
    <w:rsid w:val="0015127E"/>
    <w:rsid w:val="00151502"/>
    <w:rsid w:val="00151701"/>
    <w:rsid w:val="001518C2"/>
    <w:rsid w:val="00151B02"/>
    <w:rsid w:val="001528EC"/>
    <w:rsid w:val="0015319E"/>
    <w:rsid w:val="00153885"/>
    <w:rsid w:val="00154933"/>
    <w:rsid w:val="00154DCB"/>
    <w:rsid w:val="001551BF"/>
    <w:rsid w:val="00155BD0"/>
    <w:rsid w:val="00156491"/>
    <w:rsid w:val="001572F9"/>
    <w:rsid w:val="00157618"/>
    <w:rsid w:val="00157A1A"/>
    <w:rsid w:val="001605A4"/>
    <w:rsid w:val="0016148A"/>
    <w:rsid w:val="001614FE"/>
    <w:rsid w:val="00161EC1"/>
    <w:rsid w:val="00161F5C"/>
    <w:rsid w:val="001624C5"/>
    <w:rsid w:val="00162986"/>
    <w:rsid w:val="00163143"/>
    <w:rsid w:val="001641B4"/>
    <w:rsid w:val="0016438E"/>
    <w:rsid w:val="0016478D"/>
    <w:rsid w:val="00164CF8"/>
    <w:rsid w:val="00164E28"/>
    <w:rsid w:val="00165347"/>
    <w:rsid w:val="00165B64"/>
    <w:rsid w:val="00165DE4"/>
    <w:rsid w:val="00165E42"/>
    <w:rsid w:val="00166422"/>
    <w:rsid w:val="00166DBC"/>
    <w:rsid w:val="001670D6"/>
    <w:rsid w:val="0016771C"/>
    <w:rsid w:val="0016791C"/>
    <w:rsid w:val="0016797B"/>
    <w:rsid w:val="001701ED"/>
    <w:rsid w:val="00170C57"/>
    <w:rsid w:val="00171A75"/>
    <w:rsid w:val="001721FD"/>
    <w:rsid w:val="00172288"/>
    <w:rsid w:val="0017242B"/>
    <w:rsid w:val="00172665"/>
    <w:rsid w:val="001728C6"/>
    <w:rsid w:val="00172DF0"/>
    <w:rsid w:val="00173ED3"/>
    <w:rsid w:val="001740BD"/>
    <w:rsid w:val="00174ECF"/>
    <w:rsid w:val="00174F4B"/>
    <w:rsid w:val="00174FDE"/>
    <w:rsid w:val="0017520A"/>
    <w:rsid w:val="00175DF2"/>
    <w:rsid w:val="00176330"/>
    <w:rsid w:val="0017681F"/>
    <w:rsid w:val="00176B62"/>
    <w:rsid w:val="00176C3C"/>
    <w:rsid w:val="00176C70"/>
    <w:rsid w:val="0017745A"/>
    <w:rsid w:val="00177722"/>
    <w:rsid w:val="00177954"/>
    <w:rsid w:val="00177D7A"/>
    <w:rsid w:val="00177E68"/>
    <w:rsid w:val="0018019C"/>
    <w:rsid w:val="00180947"/>
    <w:rsid w:val="00180AD8"/>
    <w:rsid w:val="00180E2F"/>
    <w:rsid w:val="0018144A"/>
    <w:rsid w:val="00181A32"/>
    <w:rsid w:val="00181AC4"/>
    <w:rsid w:val="00181E51"/>
    <w:rsid w:val="0018209B"/>
    <w:rsid w:val="00182B6B"/>
    <w:rsid w:val="00182C3D"/>
    <w:rsid w:val="00182E4F"/>
    <w:rsid w:val="00183E5B"/>
    <w:rsid w:val="00184C08"/>
    <w:rsid w:val="00184DE6"/>
    <w:rsid w:val="00185193"/>
    <w:rsid w:val="001855D8"/>
    <w:rsid w:val="001856C4"/>
    <w:rsid w:val="00186253"/>
    <w:rsid w:val="00186BEC"/>
    <w:rsid w:val="00187BE6"/>
    <w:rsid w:val="0019016F"/>
    <w:rsid w:val="0019045C"/>
    <w:rsid w:val="00190C1C"/>
    <w:rsid w:val="00191092"/>
    <w:rsid w:val="001913F9"/>
    <w:rsid w:val="001924C4"/>
    <w:rsid w:val="00192525"/>
    <w:rsid w:val="00192B83"/>
    <w:rsid w:val="00193133"/>
    <w:rsid w:val="0019376A"/>
    <w:rsid w:val="00193A48"/>
    <w:rsid w:val="00193ACD"/>
    <w:rsid w:val="00193E98"/>
    <w:rsid w:val="001941CE"/>
    <w:rsid w:val="0019461A"/>
    <w:rsid w:val="00194C78"/>
    <w:rsid w:val="00195183"/>
    <w:rsid w:val="00195413"/>
    <w:rsid w:val="001958A4"/>
    <w:rsid w:val="0019638D"/>
    <w:rsid w:val="001965BF"/>
    <w:rsid w:val="00196B86"/>
    <w:rsid w:val="00196B93"/>
    <w:rsid w:val="00196DC4"/>
    <w:rsid w:val="00196E37"/>
    <w:rsid w:val="001976C3"/>
    <w:rsid w:val="00197782"/>
    <w:rsid w:val="0019778F"/>
    <w:rsid w:val="001977C3"/>
    <w:rsid w:val="00197AD0"/>
    <w:rsid w:val="001A0C39"/>
    <w:rsid w:val="001A13E7"/>
    <w:rsid w:val="001A1544"/>
    <w:rsid w:val="001A1AEA"/>
    <w:rsid w:val="001A293B"/>
    <w:rsid w:val="001A2C96"/>
    <w:rsid w:val="001A2CCC"/>
    <w:rsid w:val="001A2F9F"/>
    <w:rsid w:val="001A34AE"/>
    <w:rsid w:val="001A36CB"/>
    <w:rsid w:val="001A37A6"/>
    <w:rsid w:val="001A3D75"/>
    <w:rsid w:val="001A4884"/>
    <w:rsid w:val="001A4AB7"/>
    <w:rsid w:val="001A56E9"/>
    <w:rsid w:val="001A58A6"/>
    <w:rsid w:val="001A6443"/>
    <w:rsid w:val="001A7179"/>
    <w:rsid w:val="001A7CD9"/>
    <w:rsid w:val="001A7EB6"/>
    <w:rsid w:val="001A7EFA"/>
    <w:rsid w:val="001B00FE"/>
    <w:rsid w:val="001B032E"/>
    <w:rsid w:val="001B0405"/>
    <w:rsid w:val="001B11F6"/>
    <w:rsid w:val="001B1788"/>
    <w:rsid w:val="001B1991"/>
    <w:rsid w:val="001B2424"/>
    <w:rsid w:val="001B28A3"/>
    <w:rsid w:val="001B3623"/>
    <w:rsid w:val="001B379F"/>
    <w:rsid w:val="001B39B9"/>
    <w:rsid w:val="001B3C25"/>
    <w:rsid w:val="001B3CF6"/>
    <w:rsid w:val="001B3EC6"/>
    <w:rsid w:val="001B43C9"/>
    <w:rsid w:val="001B4661"/>
    <w:rsid w:val="001B4696"/>
    <w:rsid w:val="001B4A0D"/>
    <w:rsid w:val="001B4FAE"/>
    <w:rsid w:val="001B4FCD"/>
    <w:rsid w:val="001B5833"/>
    <w:rsid w:val="001B5EDA"/>
    <w:rsid w:val="001B5FA2"/>
    <w:rsid w:val="001B606A"/>
    <w:rsid w:val="001B6292"/>
    <w:rsid w:val="001B66A6"/>
    <w:rsid w:val="001B6703"/>
    <w:rsid w:val="001B7815"/>
    <w:rsid w:val="001B793F"/>
    <w:rsid w:val="001B7F58"/>
    <w:rsid w:val="001C01A9"/>
    <w:rsid w:val="001C1163"/>
    <w:rsid w:val="001C164A"/>
    <w:rsid w:val="001C1BE1"/>
    <w:rsid w:val="001C2C0C"/>
    <w:rsid w:val="001C2E06"/>
    <w:rsid w:val="001C3B54"/>
    <w:rsid w:val="001C3BBC"/>
    <w:rsid w:val="001C42C6"/>
    <w:rsid w:val="001C45CB"/>
    <w:rsid w:val="001C50E0"/>
    <w:rsid w:val="001C52CE"/>
    <w:rsid w:val="001C56B9"/>
    <w:rsid w:val="001C5715"/>
    <w:rsid w:val="001C5725"/>
    <w:rsid w:val="001C59F3"/>
    <w:rsid w:val="001C5BE9"/>
    <w:rsid w:val="001C635F"/>
    <w:rsid w:val="001C65A4"/>
    <w:rsid w:val="001C673C"/>
    <w:rsid w:val="001C72A5"/>
    <w:rsid w:val="001C79E9"/>
    <w:rsid w:val="001C7B86"/>
    <w:rsid w:val="001C7BE6"/>
    <w:rsid w:val="001C7F6C"/>
    <w:rsid w:val="001D0E0C"/>
    <w:rsid w:val="001D0E96"/>
    <w:rsid w:val="001D14CF"/>
    <w:rsid w:val="001D1C33"/>
    <w:rsid w:val="001D1D88"/>
    <w:rsid w:val="001D1F2F"/>
    <w:rsid w:val="001D27C8"/>
    <w:rsid w:val="001D2E5C"/>
    <w:rsid w:val="001D2FE0"/>
    <w:rsid w:val="001D32E1"/>
    <w:rsid w:val="001D383B"/>
    <w:rsid w:val="001D3E53"/>
    <w:rsid w:val="001D4688"/>
    <w:rsid w:val="001D4E68"/>
    <w:rsid w:val="001D55D2"/>
    <w:rsid w:val="001D5AD2"/>
    <w:rsid w:val="001D5D3B"/>
    <w:rsid w:val="001D65D0"/>
    <w:rsid w:val="001D67A0"/>
    <w:rsid w:val="001D6934"/>
    <w:rsid w:val="001D69D6"/>
    <w:rsid w:val="001D7346"/>
    <w:rsid w:val="001D7ABD"/>
    <w:rsid w:val="001D7CC3"/>
    <w:rsid w:val="001D7E42"/>
    <w:rsid w:val="001D7F76"/>
    <w:rsid w:val="001E00CE"/>
    <w:rsid w:val="001E024F"/>
    <w:rsid w:val="001E0F0F"/>
    <w:rsid w:val="001E232E"/>
    <w:rsid w:val="001E291A"/>
    <w:rsid w:val="001E2E3F"/>
    <w:rsid w:val="001E2F03"/>
    <w:rsid w:val="001E3330"/>
    <w:rsid w:val="001E3703"/>
    <w:rsid w:val="001E3845"/>
    <w:rsid w:val="001E3DFA"/>
    <w:rsid w:val="001E3E0C"/>
    <w:rsid w:val="001E417D"/>
    <w:rsid w:val="001E46A3"/>
    <w:rsid w:val="001E477B"/>
    <w:rsid w:val="001E4C09"/>
    <w:rsid w:val="001E5EAC"/>
    <w:rsid w:val="001E5FAB"/>
    <w:rsid w:val="001E6648"/>
    <w:rsid w:val="001E6ADF"/>
    <w:rsid w:val="001E6C34"/>
    <w:rsid w:val="001E6D2F"/>
    <w:rsid w:val="001E6EB0"/>
    <w:rsid w:val="001E7506"/>
    <w:rsid w:val="001E793F"/>
    <w:rsid w:val="001E7A1C"/>
    <w:rsid w:val="001E7A97"/>
    <w:rsid w:val="001E7C23"/>
    <w:rsid w:val="001F0463"/>
    <w:rsid w:val="001F05FE"/>
    <w:rsid w:val="001F0CEC"/>
    <w:rsid w:val="001F143E"/>
    <w:rsid w:val="001F187C"/>
    <w:rsid w:val="001F1ABF"/>
    <w:rsid w:val="001F1CF6"/>
    <w:rsid w:val="001F2291"/>
    <w:rsid w:val="001F2B69"/>
    <w:rsid w:val="001F34DC"/>
    <w:rsid w:val="001F3D8C"/>
    <w:rsid w:val="001F4621"/>
    <w:rsid w:val="001F4CF5"/>
    <w:rsid w:val="001F4E03"/>
    <w:rsid w:val="001F5400"/>
    <w:rsid w:val="001F556F"/>
    <w:rsid w:val="001F58B2"/>
    <w:rsid w:val="001F5BB4"/>
    <w:rsid w:val="001F5E35"/>
    <w:rsid w:val="002001A1"/>
    <w:rsid w:val="0020174B"/>
    <w:rsid w:val="00201A62"/>
    <w:rsid w:val="00201E80"/>
    <w:rsid w:val="00201F4A"/>
    <w:rsid w:val="00202D7E"/>
    <w:rsid w:val="00202F18"/>
    <w:rsid w:val="00203374"/>
    <w:rsid w:val="00203865"/>
    <w:rsid w:val="00203B20"/>
    <w:rsid w:val="00204117"/>
    <w:rsid w:val="0020483F"/>
    <w:rsid w:val="00204852"/>
    <w:rsid w:val="00205647"/>
    <w:rsid w:val="00206414"/>
    <w:rsid w:val="00206B99"/>
    <w:rsid w:val="00206BBA"/>
    <w:rsid w:val="00206D84"/>
    <w:rsid w:val="002076E8"/>
    <w:rsid w:val="00210291"/>
    <w:rsid w:val="002105B3"/>
    <w:rsid w:val="00210759"/>
    <w:rsid w:val="00210A1A"/>
    <w:rsid w:val="00210D1E"/>
    <w:rsid w:val="002114EC"/>
    <w:rsid w:val="00211E5D"/>
    <w:rsid w:val="002121A7"/>
    <w:rsid w:val="00212910"/>
    <w:rsid w:val="002129F4"/>
    <w:rsid w:val="00212DE9"/>
    <w:rsid w:val="00212F7C"/>
    <w:rsid w:val="002133E0"/>
    <w:rsid w:val="002138CD"/>
    <w:rsid w:val="00213F49"/>
    <w:rsid w:val="0021402C"/>
    <w:rsid w:val="00214165"/>
    <w:rsid w:val="002141D1"/>
    <w:rsid w:val="002152E3"/>
    <w:rsid w:val="00215A5D"/>
    <w:rsid w:val="0021618F"/>
    <w:rsid w:val="0021673B"/>
    <w:rsid w:val="002170D6"/>
    <w:rsid w:val="00217328"/>
    <w:rsid w:val="00217503"/>
    <w:rsid w:val="00217566"/>
    <w:rsid w:val="002178A5"/>
    <w:rsid w:val="00217FE1"/>
    <w:rsid w:val="0022071D"/>
    <w:rsid w:val="00220BAC"/>
    <w:rsid w:val="00220D80"/>
    <w:rsid w:val="00220F42"/>
    <w:rsid w:val="00220FED"/>
    <w:rsid w:val="002210F8"/>
    <w:rsid w:val="00221191"/>
    <w:rsid w:val="00221C7B"/>
    <w:rsid w:val="00221F3B"/>
    <w:rsid w:val="00222117"/>
    <w:rsid w:val="00222359"/>
    <w:rsid w:val="0022280F"/>
    <w:rsid w:val="00222E46"/>
    <w:rsid w:val="00222F2C"/>
    <w:rsid w:val="00223628"/>
    <w:rsid w:val="00223C19"/>
    <w:rsid w:val="00223D2F"/>
    <w:rsid w:val="00223FC4"/>
    <w:rsid w:val="00224218"/>
    <w:rsid w:val="00224BDE"/>
    <w:rsid w:val="00224FCA"/>
    <w:rsid w:val="00225EC8"/>
    <w:rsid w:val="00226DAE"/>
    <w:rsid w:val="00227023"/>
    <w:rsid w:val="0022711B"/>
    <w:rsid w:val="002272AF"/>
    <w:rsid w:val="002272BD"/>
    <w:rsid w:val="00227472"/>
    <w:rsid w:val="00227F13"/>
    <w:rsid w:val="0023008B"/>
    <w:rsid w:val="00230265"/>
    <w:rsid w:val="002304BF"/>
    <w:rsid w:val="002309CC"/>
    <w:rsid w:val="00230A40"/>
    <w:rsid w:val="00230DE4"/>
    <w:rsid w:val="00232047"/>
    <w:rsid w:val="002322DC"/>
    <w:rsid w:val="002335F8"/>
    <w:rsid w:val="002345BD"/>
    <w:rsid w:val="0023478C"/>
    <w:rsid w:val="00234C25"/>
    <w:rsid w:val="00234F71"/>
    <w:rsid w:val="00235456"/>
    <w:rsid w:val="0023566B"/>
    <w:rsid w:val="00235908"/>
    <w:rsid w:val="00236251"/>
    <w:rsid w:val="0023656E"/>
    <w:rsid w:val="00236F28"/>
    <w:rsid w:val="002376AD"/>
    <w:rsid w:val="002378AA"/>
    <w:rsid w:val="0023794F"/>
    <w:rsid w:val="00237EDD"/>
    <w:rsid w:val="002403B0"/>
    <w:rsid w:val="00240489"/>
    <w:rsid w:val="00240B16"/>
    <w:rsid w:val="00240FD6"/>
    <w:rsid w:val="002410E4"/>
    <w:rsid w:val="00241400"/>
    <w:rsid w:val="00241771"/>
    <w:rsid w:val="0024228E"/>
    <w:rsid w:val="0024239F"/>
    <w:rsid w:val="00242ADD"/>
    <w:rsid w:val="00243396"/>
    <w:rsid w:val="0024423F"/>
    <w:rsid w:val="0024472A"/>
    <w:rsid w:val="00244973"/>
    <w:rsid w:val="0024557A"/>
    <w:rsid w:val="00245C42"/>
    <w:rsid w:val="00245F29"/>
    <w:rsid w:val="00246F4D"/>
    <w:rsid w:val="002476C2"/>
    <w:rsid w:val="00247BF2"/>
    <w:rsid w:val="00247DE5"/>
    <w:rsid w:val="00250290"/>
    <w:rsid w:val="002503FC"/>
    <w:rsid w:val="00250644"/>
    <w:rsid w:val="00250A53"/>
    <w:rsid w:val="00250FF2"/>
    <w:rsid w:val="00251663"/>
    <w:rsid w:val="002516C3"/>
    <w:rsid w:val="0025188B"/>
    <w:rsid w:val="00251EA0"/>
    <w:rsid w:val="002525AA"/>
    <w:rsid w:val="002525CD"/>
    <w:rsid w:val="0025271A"/>
    <w:rsid w:val="00252FD7"/>
    <w:rsid w:val="00253707"/>
    <w:rsid w:val="00253B29"/>
    <w:rsid w:val="002544AD"/>
    <w:rsid w:val="0025487A"/>
    <w:rsid w:val="002549DD"/>
    <w:rsid w:val="002549F7"/>
    <w:rsid w:val="00254C0F"/>
    <w:rsid w:val="00255483"/>
    <w:rsid w:val="00255C65"/>
    <w:rsid w:val="002571E1"/>
    <w:rsid w:val="002572B6"/>
    <w:rsid w:val="002579E5"/>
    <w:rsid w:val="002601D4"/>
    <w:rsid w:val="00260271"/>
    <w:rsid w:val="00260464"/>
    <w:rsid w:val="00260B56"/>
    <w:rsid w:val="00260E46"/>
    <w:rsid w:val="0026142E"/>
    <w:rsid w:val="002614BD"/>
    <w:rsid w:val="0026198B"/>
    <w:rsid w:val="00261A2A"/>
    <w:rsid w:val="0026234E"/>
    <w:rsid w:val="00262C90"/>
    <w:rsid w:val="00262D20"/>
    <w:rsid w:val="00262FF4"/>
    <w:rsid w:val="002630C3"/>
    <w:rsid w:val="002632DC"/>
    <w:rsid w:val="00263639"/>
    <w:rsid w:val="00263B00"/>
    <w:rsid w:val="00264F1E"/>
    <w:rsid w:val="00265037"/>
    <w:rsid w:val="00265279"/>
    <w:rsid w:val="00265399"/>
    <w:rsid w:val="00265C27"/>
    <w:rsid w:val="00265CDC"/>
    <w:rsid w:val="00266A02"/>
    <w:rsid w:val="002672BD"/>
    <w:rsid w:val="0026769C"/>
    <w:rsid w:val="002701F0"/>
    <w:rsid w:val="00271234"/>
    <w:rsid w:val="0027262D"/>
    <w:rsid w:val="002728D2"/>
    <w:rsid w:val="00272AAF"/>
    <w:rsid w:val="00273252"/>
    <w:rsid w:val="002734A6"/>
    <w:rsid w:val="00273DF2"/>
    <w:rsid w:val="0027449F"/>
    <w:rsid w:val="00274F82"/>
    <w:rsid w:val="00275194"/>
    <w:rsid w:val="00275808"/>
    <w:rsid w:val="00275960"/>
    <w:rsid w:val="00275C9B"/>
    <w:rsid w:val="0027603C"/>
    <w:rsid w:val="002766D1"/>
    <w:rsid w:val="002767E3"/>
    <w:rsid w:val="00276C7F"/>
    <w:rsid w:val="00277060"/>
    <w:rsid w:val="00277782"/>
    <w:rsid w:val="00277C39"/>
    <w:rsid w:val="00280022"/>
    <w:rsid w:val="0028027C"/>
    <w:rsid w:val="00281584"/>
    <w:rsid w:val="00281894"/>
    <w:rsid w:val="002823F5"/>
    <w:rsid w:val="002829C9"/>
    <w:rsid w:val="00282AA7"/>
    <w:rsid w:val="00282AB1"/>
    <w:rsid w:val="00283044"/>
    <w:rsid w:val="002830BA"/>
    <w:rsid w:val="002833EC"/>
    <w:rsid w:val="00283A0A"/>
    <w:rsid w:val="00283DB2"/>
    <w:rsid w:val="00285AD5"/>
    <w:rsid w:val="00286565"/>
    <w:rsid w:val="00286A10"/>
    <w:rsid w:val="00286ACF"/>
    <w:rsid w:val="002874F7"/>
    <w:rsid w:val="00287D00"/>
    <w:rsid w:val="00287FEB"/>
    <w:rsid w:val="002914D6"/>
    <w:rsid w:val="0029173E"/>
    <w:rsid w:val="00291756"/>
    <w:rsid w:val="00292272"/>
    <w:rsid w:val="00292C6A"/>
    <w:rsid w:val="00293014"/>
    <w:rsid w:val="00293B59"/>
    <w:rsid w:val="00293E52"/>
    <w:rsid w:val="00294D09"/>
    <w:rsid w:val="0029569F"/>
    <w:rsid w:val="0029576D"/>
    <w:rsid w:val="00295B5E"/>
    <w:rsid w:val="00295BA3"/>
    <w:rsid w:val="002963A6"/>
    <w:rsid w:val="002967B3"/>
    <w:rsid w:val="00296BCB"/>
    <w:rsid w:val="00296C40"/>
    <w:rsid w:val="00296C50"/>
    <w:rsid w:val="00296D8D"/>
    <w:rsid w:val="00297078"/>
    <w:rsid w:val="002976C7"/>
    <w:rsid w:val="002977BD"/>
    <w:rsid w:val="00297DFB"/>
    <w:rsid w:val="002A07F9"/>
    <w:rsid w:val="002A1035"/>
    <w:rsid w:val="002A1229"/>
    <w:rsid w:val="002A16E3"/>
    <w:rsid w:val="002A19EB"/>
    <w:rsid w:val="002A1C61"/>
    <w:rsid w:val="002A295E"/>
    <w:rsid w:val="002A2982"/>
    <w:rsid w:val="002A2B56"/>
    <w:rsid w:val="002A2F05"/>
    <w:rsid w:val="002A31D2"/>
    <w:rsid w:val="002A3802"/>
    <w:rsid w:val="002A3C8F"/>
    <w:rsid w:val="002A4A69"/>
    <w:rsid w:val="002A4CAF"/>
    <w:rsid w:val="002A4DD3"/>
    <w:rsid w:val="002A4FB8"/>
    <w:rsid w:val="002A5547"/>
    <w:rsid w:val="002A5680"/>
    <w:rsid w:val="002A5DB1"/>
    <w:rsid w:val="002A6166"/>
    <w:rsid w:val="002A6476"/>
    <w:rsid w:val="002A6E63"/>
    <w:rsid w:val="002A72DA"/>
    <w:rsid w:val="002A7327"/>
    <w:rsid w:val="002A7343"/>
    <w:rsid w:val="002A76B4"/>
    <w:rsid w:val="002A7A1D"/>
    <w:rsid w:val="002A7C44"/>
    <w:rsid w:val="002B058D"/>
    <w:rsid w:val="002B070D"/>
    <w:rsid w:val="002B09BD"/>
    <w:rsid w:val="002B0C70"/>
    <w:rsid w:val="002B0E12"/>
    <w:rsid w:val="002B1050"/>
    <w:rsid w:val="002B186A"/>
    <w:rsid w:val="002B1906"/>
    <w:rsid w:val="002B1952"/>
    <w:rsid w:val="002B1E1C"/>
    <w:rsid w:val="002B2321"/>
    <w:rsid w:val="002B2A84"/>
    <w:rsid w:val="002B3196"/>
    <w:rsid w:val="002B3631"/>
    <w:rsid w:val="002B36C4"/>
    <w:rsid w:val="002B37EE"/>
    <w:rsid w:val="002B4879"/>
    <w:rsid w:val="002B496D"/>
    <w:rsid w:val="002B4E9F"/>
    <w:rsid w:val="002B5EA0"/>
    <w:rsid w:val="002B6192"/>
    <w:rsid w:val="002B6559"/>
    <w:rsid w:val="002B6815"/>
    <w:rsid w:val="002B7555"/>
    <w:rsid w:val="002B7E62"/>
    <w:rsid w:val="002B7FE2"/>
    <w:rsid w:val="002C045E"/>
    <w:rsid w:val="002C0762"/>
    <w:rsid w:val="002C079B"/>
    <w:rsid w:val="002C12B4"/>
    <w:rsid w:val="002C1B76"/>
    <w:rsid w:val="002C2192"/>
    <w:rsid w:val="002C23B2"/>
    <w:rsid w:val="002C23B7"/>
    <w:rsid w:val="002C274E"/>
    <w:rsid w:val="002C29CB"/>
    <w:rsid w:val="002C3052"/>
    <w:rsid w:val="002C30FB"/>
    <w:rsid w:val="002C3110"/>
    <w:rsid w:val="002C3191"/>
    <w:rsid w:val="002C39EE"/>
    <w:rsid w:val="002C3E10"/>
    <w:rsid w:val="002C48CA"/>
    <w:rsid w:val="002C4EA2"/>
    <w:rsid w:val="002C517F"/>
    <w:rsid w:val="002C5507"/>
    <w:rsid w:val="002C55C0"/>
    <w:rsid w:val="002C581B"/>
    <w:rsid w:val="002C5909"/>
    <w:rsid w:val="002C5B5F"/>
    <w:rsid w:val="002C6302"/>
    <w:rsid w:val="002C6397"/>
    <w:rsid w:val="002C6B18"/>
    <w:rsid w:val="002C75C8"/>
    <w:rsid w:val="002D03F7"/>
    <w:rsid w:val="002D0631"/>
    <w:rsid w:val="002D0BEF"/>
    <w:rsid w:val="002D0F2E"/>
    <w:rsid w:val="002D10CF"/>
    <w:rsid w:val="002D1579"/>
    <w:rsid w:val="002D1BD3"/>
    <w:rsid w:val="002D1E8F"/>
    <w:rsid w:val="002D20C2"/>
    <w:rsid w:val="002D24E9"/>
    <w:rsid w:val="002D254E"/>
    <w:rsid w:val="002D26D1"/>
    <w:rsid w:val="002D29AD"/>
    <w:rsid w:val="002D2B35"/>
    <w:rsid w:val="002D3015"/>
    <w:rsid w:val="002D33CC"/>
    <w:rsid w:val="002D33F2"/>
    <w:rsid w:val="002D34AF"/>
    <w:rsid w:val="002D397D"/>
    <w:rsid w:val="002D39EE"/>
    <w:rsid w:val="002D4CCE"/>
    <w:rsid w:val="002D5904"/>
    <w:rsid w:val="002D5971"/>
    <w:rsid w:val="002D64A9"/>
    <w:rsid w:val="002D6AF1"/>
    <w:rsid w:val="002D7041"/>
    <w:rsid w:val="002D764B"/>
    <w:rsid w:val="002D782C"/>
    <w:rsid w:val="002D788D"/>
    <w:rsid w:val="002D7EC3"/>
    <w:rsid w:val="002E0D23"/>
    <w:rsid w:val="002E0FD1"/>
    <w:rsid w:val="002E1893"/>
    <w:rsid w:val="002E1C67"/>
    <w:rsid w:val="002E1CA3"/>
    <w:rsid w:val="002E1E67"/>
    <w:rsid w:val="002E21A9"/>
    <w:rsid w:val="002E21D2"/>
    <w:rsid w:val="002E3CD2"/>
    <w:rsid w:val="002E3D4B"/>
    <w:rsid w:val="002E3F2F"/>
    <w:rsid w:val="002E3FD3"/>
    <w:rsid w:val="002E4ED8"/>
    <w:rsid w:val="002E521D"/>
    <w:rsid w:val="002E547D"/>
    <w:rsid w:val="002E588D"/>
    <w:rsid w:val="002E58B3"/>
    <w:rsid w:val="002E591A"/>
    <w:rsid w:val="002E5BD3"/>
    <w:rsid w:val="002E5D5E"/>
    <w:rsid w:val="002E67FD"/>
    <w:rsid w:val="002E7258"/>
    <w:rsid w:val="002F0252"/>
    <w:rsid w:val="002F039D"/>
    <w:rsid w:val="002F0673"/>
    <w:rsid w:val="002F06BA"/>
    <w:rsid w:val="002F07CD"/>
    <w:rsid w:val="002F0FF4"/>
    <w:rsid w:val="002F14CD"/>
    <w:rsid w:val="002F169C"/>
    <w:rsid w:val="002F1A82"/>
    <w:rsid w:val="002F1CCA"/>
    <w:rsid w:val="002F2692"/>
    <w:rsid w:val="002F2C45"/>
    <w:rsid w:val="002F2C72"/>
    <w:rsid w:val="002F2EB9"/>
    <w:rsid w:val="002F3225"/>
    <w:rsid w:val="002F35D9"/>
    <w:rsid w:val="002F3A19"/>
    <w:rsid w:val="002F3A3F"/>
    <w:rsid w:val="002F418F"/>
    <w:rsid w:val="002F452A"/>
    <w:rsid w:val="002F4579"/>
    <w:rsid w:val="002F4C01"/>
    <w:rsid w:val="002F4C8D"/>
    <w:rsid w:val="002F4D49"/>
    <w:rsid w:val="002F5D26"/>
    <w:rsid w:val="002F6214"/>
    <w:rsid w:val="002F74B8"/>
    <w:rsid w:val="002F7D08"/>
    <w:rsid w:val="0030018E"/>
    <w:rsid w:val="00300C17"/>
    <w:rsid w:val="003013B0"/>
    <w:rsid w:val="0030184D"/>
    <w:rsid w:val="00301C30"/>
    <w:rsid w:val="00302046"/>
    <w:rsid w:val="003020E4"/>
    <w:rsid w:val="00302F8F"/>
    <w:rsid w:val="00303C5C"/>
    <w:rsid w:val="003041A2"/>
    <w:rsid w:val="00304441"/>
    <w:rsid w:val="00304BB0"/>
    <w:rsid w:val="00304CE1"/>
    <w:rsid w:val="00305317"/>
    <w:rsid w:val="003054A8"/>
    <w:rsid w:val="00305A1D"/>
    <w:rsid w:val="00305D2D"/>
    <w:rsid w:val="0030645A"/>
    <w:rsid w:val="00306649"/>
    <w:rsid w:val="00306CD3"/>
    <w:rsid w:val="00306EFC"/>
    <w:rsid w:val="00306F49"/>
    <w:rsid w:val="00307547"/>
    <w:rsid w:val="00310DCD"/>
    <w:rsid w:val="00312ACC"/>
    <w:rsid w:val="003130ED"/>
    <w:rsid w:val="00313328"/>
    <w:rsid w:val="003140E7"/>
    <w:rsid w:val="00314274"/>
    <w:rsid w:val="00314DDF"/>
    <w:rsid w:val="00314E37"/>
    <w:rsid w:val="00314EA2"/>
    <w:rsid w:val="003151A4"/>
    <w:rsid w:val="003153FF"/>
    <w:rsid w:val="0031557D"/>
    <w:rsid w:val="0031589A"/>
    <w:rsid w:val="00315919"/>
    <w:rsid w:val="003159B8"/>
    <w:rsid w:val="0031684F"/>
    <w:rsid w:val="00316909"/>
    <w:rsid w:val="00316E1C"/>
    <w:rsid w:val="00316F2F"/>
    <w:rsid w:val="0031738D"/>
    <w:rsid w:val="003174C8"/>
    <w:rsid w:val="00317685"/>
    <w:rsid w:val="00320075"/>
    <w:rsid w:val="00320503"/>
    <w:rsid w:val="00320882"/>
    <w:rsid w:val="00320B16"/>
    <w:rsid w:val="003210B1"/>
    <w:rsid w:val="00321583"/>
    <w:rsid w:val="00321619"/>
    <w:rsid w:val="00321B96"/>
    <w:rsid w:val="00321E2E"/>
    <w:rsid w:val="00322880"/>
    <w:rsid w:val="00322A83"/>
    <w:rsid w:val="00322D99"/>
    <w:rsid w:val="0032326A"/>
    <w:rsid w:val="0032364B"/>
    <w:rsid w:val="003246FE"/>
    <w:rsid w:val="00324A80"/>
    <w:rsid w:val="003250A8"/>
    <w:rsid w:val="00325151"/>
    <w:rsid w:val="003256CD"/>
    <w:rsid w:val="00325717"/>
    <w:rsid w:val="00325A11"/>
    <w:rsid w:val="00325A2B"/>
    <w:rsid w:val="00325A5A"/>
    <w:rsid w:val="003264BC"/>
    <w:rsid w:val="00326787"/>
    <w:rsid w:val="00326C52"/>
    <w:rsid w:val="0032772A"/>
    <w:rsid w:val="003306F4"/>
    <w:rsid w:val="00330972"/>
    <w:rsid w:val="0033106F"/>
    <w:rsid w:val="0033147B"/>
    <w:rsid w:val="00331B5D"/>
    <w:rsid w:val="0033230B"/>
    <w:rsid w:val="003325A9"/>
    <w:rsid w:val="0033270B"/>
    <w:rsid w:val="003329CE"/>
    <w:rsid w:val="00332AD1"/>
    <w:rsid w:val="00332BB3"/>
    <w:rsid w:val="00333902"/>
    <w:rsid w:val="00334C5A"/>
    <w:rsid w:val="0033502A"/>
    <w:rsid w:val="00335210"/>
    <w:rsid w:val="00335A28"/>
    <w:rsid w:val="0033641A"/>
    <w:rsid w:val="003368BA"/>
    <w:rsid w:val="003369BF"/>
    <w:rsid w:val="00336CF1"/>
    <w:rsid w:val="00337137"/>
    <w:rsid w:val="00337293"/>
    <w:rsid w:val="00337699"/>
    <w:rsid w:val="0033771E"/>
    <w:rsid w:val="0033777A"/>
    <w:rsid w:val="00341204"/>
    <w:rsid w:val="00341831"/>
    <w:rsid w:val="00341BA0"/>
    <w:rsid w:val="00341EF4"/>
    <w:rsid w:val="00342209"/>
    <w:rsid w:val="0034263A"/>
    <w:rsid w:val="003426C0"/>
    <w:rsid w:val="00342968"/>
    <w:rsid w:val="00342BB6"/>
    <w:rsid w:val="0034326A"/>
    <w:rsid w:val="003433B1"/>
    <w:rsid w:val="00343A77"/>
    <w:rsid w:val="00343B49"/>
    <w:rsid w:val="0034463A"/>
    <w:rsid w:val="00344BF9"/>
    <w:rsid w:val="00345630"/>
    <w:rsid w:val="003459D7"/>
    <w:rsid w:val="00345F52"/>
    <w:rsid w:val="003465CD"/>
    <w:rsid w:val="00346BA4"/>
    <w:rsid w:val="003472B3"/>
    <w:rsid w:val="00347499"/>
    <w:rsid w:val="00350894"/>
    <w:rsid w:val="00350EC5"/>
    <w:rsid w:val="00351164"/>
    <w:rsid w:val="003511C4"/>
    <w:rsid w:val="0035225C"/>
    <w:rsid w:val="00352899"/>
    <w:rsid w:val="003530F7"/>
    <w:rsid w:val="003537B4"/>
    <w:rsid w:val="00353870"/>
    <w:rsid w:val="00354305"/>
    <w:rsid w:val="00354A26"/>
    <w:rsid w:val="00354CA8"/>
    <w:rsid w:val="00355479"/>
    <w:rsid w:val="003555EF"/>
    <w:rsid w:val="00355B7C"/>
    <w:rsid w:val="00355FEF"/>
    <w:rsid w:val="00356130"/>
    <w:rsid w:val="00356939"/>
    <w:rsid w:val="003572E9"/>
    <w:rsid w:val="003573BF"/>
    <w:rsid w:val="00357621"/>
    <w:rsid w:val="00360AF4"/>
    <w:rsid w:val="00360F54"/>
    <w:rsid w:val="00361062"/>
    <w:rsid w:val="00361846"/>
    <w:rsid w:val="00361849"/>
    <w:rsid w:val="00361A6A"/>
    <w:rsid w:val="00361F71"/>
    <w:rsid w:val="00363077"/>
    <w:rsid w:val="00363127"/>
    <w:rsid w:val="00363178"/>
    <w:rsid w:val="00363525"/>
    <w:rsid w:val="003637DF"/>
    <w:rsid w:val="003642EE"/>
    <w:rsid w:val="00364362"/>
    <w:rsid w:val="003643BA"/>
    <w:rsid w:val="00364643"/>
    <w:rsid w:val="00364D60"/>
    <w:rsid w:val="003650C8"/>
    <w:rsid w:val="00365247"/>
    <w:rsid w:val="003655B4"/>
    <w:rsid w:val="00365B9B"/>
    <w:rsid w:val="00365BA8"/>
    <w:rsid w:val="00365D68"/>
    <w:rsid w:val="00365E88"/>
    <w:rsid w:val="003664FE"/>
    <w:rsid w:val="003678ED"/>
    <w:rsid w:val="00367EC7"/>
    <w:rsid w:val="00367EF8"/>
    <w:rsid w:val="00371D7D"/>
    <w:rsid w:val="00372135"/>
    <w:rsid w:val="0037255B"/>
    <w:rsid w:val="00372EB6"/>
    <w:rsid w:val="00373B40"/>
    <w:rsid w:val="00373B60"/>
    <w:rsid w:val="003741D6"/>
    <w:rsid w:val="00374542"/>
    <w:rsid w:val="00374B18"/>
    <w:rsid w:val="00374B4D"/>
    <w:rsid w:val="00374BE0"/>
    <w:rsid w:val="0037535D"/>
    <w:rsid w:val="00375DE8"/>
    <w:rsid w:val="00375E10"/>
    <w:rsid w:val="003763AE"/>
    <w:rsid w:val="00376582"/>
    <w:rsid w:val="00376631"/>
    <w:rsid w:val="00377772"/>
    <w:rsid w:val="00377DF4"/>
    <w:rsid w:val="00380130"/>
    <w:rsid w:val="003802EC"/>
    <w:rsid w:val="00381068"/>
    <w:rsid w:val="00381B14"/>
    <w:rsid w:val="00381F8A"/>
    <w:rsid w:val="00382260"/>
    <w:rsid w:val="00382488"/>
    <w:rsid w:val="00382535"/>
    <w:rsid w:val="003827B8"/>
    <w:rsid w:val="00383AE3"/>
    <w:rsid w:val="00383E4B"/>
    <w:rsid w:val="00384330"/>
    <w:rsid w:val="00384491"/>
    <w:rsid w:val="00384595"/>
    <w:rsid w:val="00384A0F"/>
    <w:rsid w:val="00384C88"/>
    <w:rsid w:val="00384F8A"/>
    <w:rsid w:val="0038557A"/>
    <w:rsid w:val="00385727"/>
    <w:rsid w:val="00385F81"/>
    <w:rsid w:val="003860E5"/>
    <w:rsid w:val="003865D4"/>
    <w:rsid w:val="00386A38"/>
    <w:rsid w:val="00386AB3"/>
    <w:rsid w:val="00386F81"/>
    <w:rsid w:val="003872D4"/>
    <w:rsid w:val="00390369"/>
    <w:rsid w:val="0039049F"/>
    <w:rsid w:val="003904EE"/>
    <w:rsid w:val="0039056F"/>
    <w:rsid w:val="003905B8"/>
    <w:rsid w:val="00390656"/>
    <w:rsid w:val="00390B1A"/>
    <w:rsid w:val="00390CC0"/>
    <w:rsid w:val="00391003"/>
    <w:rsid w:val="00391BB8"/>
    <w:rsid w:val="003924C0"/>
    <w:rsid w:val="00392D52"/>
    <w:rsid w:val="00392DDD"/>
    <w:rsid w:val="00392F06"/>
    <w:rsid w:val="0039322C"/>
    <w:rsid w:val="0039331E"/>
    <w:rsid w:val="00394464"/>
    <w:rsid w:val="003946C9"/>
    <w:rsid w:val="00394E5B"/>
    <w:rsid w:val="003953BA"/>
    <w:rsid w:val="003956BA"/>
    <w:rsid w:val="00395839"/>
    <w:rsid w:val="00396985"/>
    <w:rsid w:val="00396B52"/>
    <w:rsid w:val="00396CEB"/>
    <w:rsid w:val="00397055"/>
    <w:rsid w:val="0039706D"/>
    <w:rsid w:val="00397251"/>
    <w:rsid w:val="003975FB"/>
    <w:rsid w:val="0039773B"/>
    <w:rsid w:val="00397F2D"/>
    <w:rsid w:val="003A043C"/>
    <w:rsid w:val="003A0653"/>
    <w:rsid w:val="003A0849"/>
    <w:rsid w:val="003A0A00"/>
    <w:rsid w:val="003A14FA"/>
    <w:rsid w:val="003A1753"/>
    <w:rsid w:val="003A207F"/>
    <w:rsid w:val="003A2701"/>
    <w:rsid w:val="003A2BA3"/>
    <w:rsid w:val="003A3F42"/>
    <w:rsid w:val="003A4417"/>
    <w:rsid w:val="003A46E6"/>
    <w:rsid w:val="003A4CCA"/>
    <w:rsid w:val="003A4E29"/>
    <w:rsid w:val="003A5863"/>
    <w:rsid w:val="003A59DF"/>
    <w:rsid w:val="003A5A62"/>
    <w:rsid w:val="003A5B9E"/>
    <w:rsid w:val="003A625D"/>
    <w:rsid w:val="003A66FD"/>
    <w:rsid w:val="003A71A1"/>
    <w:rsid w:val="003A7E40"/>
    <w:rsid w:val="003B0010"/>
    <w:rsid w:val="003B0BE4"/>
    <w:rsid w:val="003B110C"/>
    <w:rsid w:val="003B1161"/>
    <w:rsid w:val="003B16B7"/>
    <w:rsid w:val="003B1748"/>
    <w:rsid w:val="003B1E02"/>
    <w:rsid w:val="003B2353"/>
    <w:rsid w:val="003B282D"/>
    <w:rsid w:val="003B35E6"/>
    <w:rsid w:val="003B3630"/>
    <w:rsid w:val="003B36DA"/>
    <w:rsid w:val="003B3BBD"/>
    <w:rsid w:val="003B3C08"/>
    <w:rsid w:val="003B435A"/>
    <w:rsid w:val="003B466C"/>
    <w:rsid w:val="003B46EE"/>
    <w:rsid w:val="003B4871"/>
    <w:rsid w:val="003B5082"/>
    <w:rsid w:val="003B50F9"/>
    <w:rsid w:val="003B5245"/>
    <w:rsid w:val="003B5CD8"/>
    <w:rsid w:val="003B617D"/>
    <w:rsid w:val="003B6433"/>
    <w:rsid w:val="003B6540"/>
    <w:rsid w:val="003B6E05"/>
    <w:rsid w:val="003B7279"/>
    <w:rsid w:val="003B7B1D"/>
    <w:rsid w:val="003B7CD6"/>
    <w:rsid w:val="003C00FD"/>
    <w:rsid w:val="003C015B"/>
    <w:rsid w:val="003C042B"/>
    <w:rsid w:val="003C0444"/>
    <w:rsid w:val="003C0878"/>
    <w:rsid w:val="003C0AD5"/>
    <w:rsid w:val="003C14F1"/>
    <w:rsid w:val="003C18A1"/>
    <w:rsid w:val="003C18CA"/>
    <w:rsid w:val="003C1D75"/>
    <w:rsid w:val="003C218A"/>
    <w:rsid w:val="003C27C4"/>
    <w:rsid w:val="003C2839"/>
    <w:rsid w:val="003C2F68"/>
    <w:rsid w:val="003C3405"/>
    <w:rsid w:val="003C35F8"/>
    <w:rsid w:val="003C36B7"/>
    <w:rsid w:val="003C3A93"/>
    <w:rsid w:val="003C42FF"/>
    <w:rsid w:val="003C476A"/>
    <w:rsid w:val="003C4D6C"/>
    <w:rsid w:val="003C4DB2"/>
    <w:rsid w:val="003C5419"/>
    <w:rsid w:val="003C5431"/>
    <w:rsid w:val="003C5454"/>
    <w:rsid w:val="003C59AB"/>
    <w:rsid w:val="003C60A6"/>
    <w:rsid w:val="003C696E"/>
    <w:rsid w:val="003C7486"/>
    <w:rsid w:val="003C7E42"/>
    <w:rsid w:val="003D0754"/>
    <w:rsid w:val="003D07E3"/>
    <w:rsid w:val="003D0DC8"/>
    <w:rsid w:val="003D1405"/>
    <w:rsid w:val="003D166E"/>
    <w:rsid w:val="003D180D"/>
    <w:rsid w:val="003D1CB2"/>
    <w:rsid w:val="003D1DAA"/>
    <w:rsid w:val="003D2038"/>
    <w:rsid w:val="003D3189"/>
    <w:rsid w:val="003D3396"/>
    <w:rsid w:val="003D33AD"/>
    <w:rsid w:val="003D3604"/>
    <w:rsid w:val="003D3734"/>
    <w:rsid w:val="003D396C"/>
    <w:rsid w:val="003D3F95"/>
    <w:rsid w:val="003D4276"/>
    <w:rsid w:val="003D4647"/>
    <w:rsid w:val="003D481E"/>
    <w:rsid w:val="003D4F14"/>
    <w:rsid w:val="003D53BA"/>
    <w:rsid w:val="003D5D5A"/>
    <w:rsid w:val="003D5E4D"/>
    <w:rsid w:val="003D6462"/>
    <w:rsid w:val="003D69E4"/>
    <w:rsid w:val="003D6A58"/>
    <w:rsid w:val="003D6EB6"/>
    <w:rsid w:val="003D70B4"/>
    <w:rsid w:val="003D71BE"/>
    <w:rsid w:val="003D7847"/>
    <w:rsid w:val="003D7C90"/>
    <w:rsid w:val="003E007C"/>
    <w:rsid w:val="003E0358"/>
    <w:rsid w:val="003E1B6C"/>
    <w:rsid w:val="003E1DEE"/>
    <w:rsid w:val="003E1EFF"/>
    <w:rsid w:val="003E301C"/>
    <w:rsid w:val="003E3466"/>
    <w:rsid w:val="003E3A52"/>
    <w:rsid w:val="003E3CB4"/>
    <w:rsid w:val="003E3CBC"/>
    <w:rsid w:val="003E3CE4"/>
    <w:rsid w:val="003E3D60"/>
    <w:rsid w:val="003E5245"/>
    <w:rsid w:val="003E5C58"/>
    <w:rsid w:val="003E663F"/>
    <w:rsid w:val="003E778F"/>
    <w:rsid w:val="003E7940"/>
    <w:rsid w:val="003E7C3B"/>
    <w:rsid w:val="003E7F21"/>
    <w:rsid w:val="003F0268"/>
    <w:rsid w:val="003F03B4"/>
    <w:rsid w:val="003F0700"/>
    <w:rsid w:val="003F08D0"/>
    <w:rsid w:val="003F0E3A"/>
    <w:rsid w:val="003F1239"/>
    <w:rsid w:val="003F18E1"/>
    <w:rsid w:val="003F20FB"/>
    <w:rsid w:val="003F2320"/>
    <w:rsid w:val="003F239D"/>
    <w:rsid w:val="003F278D"/>
    <w:rsid w:val="003F2B2C"/>
    <w:rsid w:val="003F2FEA"/>
    <w:rsid w:val="003F346D"/>
    <w:rsid w:val="003F543F"/>
    <w:rsid w:val="003F5503"/>
    <w:rsid w:val="003F6063"/>
    <w:rsid w:val="003F69F7"/>
    <w:rsid w:val="003F6DF7"/>
    <w:rsid w:val="003F6F40"/>
    <w:rsid w:val="003F725E"/>
    <w:rsid w:val="003F7566"/>
    <w:rsid w:val="003F77D3"/>
    <w:rsid w:val="003F7E11"/>
    <w:rsid w:val="00400110"/>
    <w:rsid w:val="00400D19"/>
    <w:rsid w:val="00400DBF"/>
    <w:rsid w:val="00401294"/>
    <w:rsid w:val="00401BE1"/>
    <w:rsid w:val="004021E5"/>
    <w:rsid w:val="00402508"/>
    <w:rsid w:val="00402752"/>
    <w:rsid w:val="00402796"/>
    <w:rsid w:val="00402F96"/>
    <w:rsid w:val="00402FC3"/>
    <w:rsid w:val="0040378E"/>
    <w:rsid w:val="004037DA"/>
    <w:rsid w:val="004037F3"/>
    <w:rsid w:val="00403A51"/>
    <w:rsid w:val="00403AAA"/>
    <w:rsid w:val="00403FB0"/>
    <w:rsid w:val="00404200"/>
    <w:rsid w:val="00404B29"/>
    <w:rsid w:val="00405C61"/>
    <w:rsid w:val="00405D1C"/>
    <w:rsid w:val="0040602B"/>
    <w:rsid w:val="004069F6"/>
    <w:rsid w:val="004073AB"/>
    <w:rsid w:val="004077D7"/>
    <w:rsid w:val="004079CA"/>
    <w:rsid w:val="00407D7C"/>
    <w:rsid w:val="00410B9E"/>
    <w:rsid w:val="004121A5"/>
    <w:rsid w:val="00412383"/>
    <w:rsid w:val="00412599"/>
    <w:rsid w:val="004129C2"/>
    <w:rsid w:val="00412FDC"/>
    <w:rsid w:val="00413AC2"/>
    <w:rsid w:val="00414222"/>
    <w:rsid w:val="00414E47"/>
    <w:rsid w:val="00414E77"/>
    <w:rsid w:val="00414EC6"/>
    <w:rsid w:val="004153B2"/>
    <w:rsid w:val="004156F6"/>
    <w:rsid w:val="00415C0B"/>
    <w:rsid w:val="00415E5B"/>
    <w:rsid w:val="0041608B"/>
    <w:rsid w:val="00416359"/>
    <w:rsid w:val="0041638A"/>
    <w:rsid w:val="0041669D"/>
    <w:rsid w:val="004166AC"/>
    <w:rsid w:val="00416D4B"/>
    <w:rsid w:val="00417460"/>
    <w:rsid w:val="00417F5A"/>
    <w:rsid w:val="0042081A"/>
    <w:rsid w:val="0042085C"/>
    <w:rsid w:val="00420D28"/>
    <w:rsid w:val="00420D2B"/>
    <w:rsid w:val="00421614"/>
    <w:rsid w:val="004218BE"/>
    <w:rsid w:val="00421955"/>
    <w:rsid w:val="00421C64"/>
    <w:rsid w:val="00421D4A"/>
    <w:rsid w:val="00422011"/>
    <w:rsid w:val="0042234E"/>
    <w:rsid w:val="00422471"/>
    <w:rsid w:val="00422A28"/>
    <w:rsid w:val="00422C9C"/>
    <w:rsid w:val="004241A6"/>
    <w:rsid w:val="004246BC"/>
    <w:rsid w:val="00424ACB"/>
    <w:rsid w:val="00424E6A"/>
    <w:rsid w:val="00424E82"/>
    <w:rsid w:val="00424EF6"/>
    <w:rsid w:val="00425843"/>
    <w:rsid w:val="00425C3E"/>
    <w:rsid w:val="00425D92"/>
    <w:rsid w:val="0042629D"/>
    <w:rsid w:val="00427639"/>
    <w:rsid w:val="004278E7"/>
    <w:rsid w:val="004301E4"/>
    <w:rsid w:val="00430F97"/>
    <w:rsid w:val="00431462"/>
    <w:rsid w:val="00432172"/>
    <w:rsid w:val="00432391"/>
    <w:rsid w:val="00432EC4"/>
    <w:rsid w:val="004338DB"/>
    <w:rsid w:val="00433BD0"/>
    <w:rsid w:val="00434AA7"/>
    <w:rsid w:val="00434B0B"/>
    <w:rsid w:val="0043509E"/>
    <w:rsid w:val="0043533A"/>
    <w:rsid w:val="004354FC"/>
    <w:rsid w:val="00436C4E"/>
    <w:rsid w:val="00436D26"/>
    <w:rsid w:val="00436ECE"/>
    <w:rsid w:val="0043755A"/>
    <w:rsid w:val="0044091A"/>
    <w:rsid w:val="0044095A"/>
    <w:rsid w:val="00440A32"/>
    <w:rsid w:val="00440E6C"/>
    <w:rsid w:val="00440F9E"/>
    <w:rsid w:val="00441BD4"/>
    <w:rsid w:val="00441F60"/>
    <w:rsid w:val="00441FD3"/>
    <w:rsid w:val="00442579"/>
    <w:rsid w:val="00442750"/>
    <w:rsid w:val="00442905"/>
    <w:rsid w:val="00442CA7"/>
    <w:rsid w:val="00443640"/>
    <w:rsid w:val="00443681"/>
    <w:rsid w:val="00444C1C"/>
    <w:rsid w:val="00445855"/>
    <w:rsid w:val="00445862"/>
    <w:rsid w:val="00445995"/>
    <w:rsid w:val="00445B24"/>
    <w:rsid w:val="00445C7C"/>
    <w:rsid w:val="00445F5A"/>
    <w:rsid w:val="004465B9"/>
    <w:rsid w:val="00446FCA"/>
    <w:rsid w:val="00447188"/>
    <w:rsid w:val="00447494"/>
    <w:rsid w:val="004477FB"/>
    <w:rsid w:val="00447BBE"/>
    <w:rsid w:val="00447C75"/>
    <w:rsid w:val="00450019"/>
    <w:rsid w:val="0045034F"/>
    <w:rsid w:val="0045042A"/>
    <w:rsid w:val="00450911"/>
    <w:rsid w:val="00450AD7"/>
    <w:rsid w:val="00450D39"/>
    <w:rsid w:val="00451C2A"/>
    <w:rsid w:val="004526A5"/>
    <w:rsid w:val="004529A1"/>
    <w:rsid w:val="00452C6B"/>
    <w:rsid w:val="00452E21"/>
    <w:rsid w:val="00452EFA"/>
    <w:rsid w:val="00453728"/>
    <w:rsid w:val="0045448B"/>
    <w:rsid w:val="004548E9"/>
    <w:rsid w:val="00454D1E"/>
    <w:rsid w:val="00455409"/>
    <w:rsid w:val="00455615"/>
    <w:rsid w:val="00455E85"/>
    <w:rsid w:val="0045619D"/>
    <w:rsid w:val="004562FC"/>
    <w:rsid w:val="00456985"/>
    <w:rsid w:val="00456CE5"/>
    <w:rsid w:val="00456D8A"/>
    <w:rsid w:val="004570AC"/>
    <w:rsid w:val="004573A3"/>
    <w:rsid w:val="0045791D"/>
    <w:rsid w:val="004602E6"/>
    <w:rsid w:val="0046094C"/>
    <w:rsid w:val="00460F30"/>
    <w:rsid w:val="00460FF9"/>
    <w:rsid w:val="00461979"/>
    <w:rsid w:val="00461D75"/>
    <w:rsid w:val="004621D1"/>
    <w:rsid w:val="0046222D"/>
    <w:rsid w:val="004623DC"/>
    <w:rsid w:val="0046265A"/>
    <w:rsid w:val="00462EBA"/>
    <w:rsid w:val="0046327C"/>
    <w:rsid w:val="004634E1"/>
    <w:rsid w:val="00463748"/>
    <w:rsid w:val="004641AB"/>
    <w:rsid w:val="00464602"/>
    <w:rsid w:val="00464C24"/>
    <w:rsid w:val="004650D8"/>
    <w:rsid w:val="004656BF"/>
    <w:rsid w:val="00465749"/>
    <w:rsid w:val="00465B20"/>
    <w:rsid w:val="004663FC"/>
    <w:rsid w:val="004668F9"/>
    <w:rsid w:val="00466A72"/>
    <w:rsid w:val="00466B2B"/>
    <w:rsid w:val="00466CCA"/>
    <w:rsid w:val="00466E42"/>
    <w:rsid w:val="004674B3"/>
    <w:rsid w:val="004679E0"/>
    <w:rsid w:val="00467C28"/>
    <w:rsid w:val="0047026C"/>
    <w:rsid w:val="0047062B"/>
    <w:rsid w:val="00470A5D"/>
    <w:rsid w:val="00470D21"/>
    <w:rsid w:val="004712B8"/>
    <w:rsid w:val="004714AB"/>
    <w:rsid w:val="00472421"/>
    <w:rsid w:val="004725D2"/>
    <w:rsid w:val="004727C1"/>
    <w:rsid w:val="00472873"/>
    <w:rsid w:val="00472BC7"/>
    <w:rsid w:val="00472BCB"/>
    <w:rsid w:val="00472BEB"/>
    <w:rsid w:val="0047326C"/>
    <w:rsid w:val="004735B6"/>
    <w:rsid w:val="004738C6"/>
    <w:rsid w:val="00474129"/>
    <w:rsid w:val="004745C2"/>
    <w:rsid w:val="004749C8"/>
    <w:rsid w:val="00474AD7"/>
    <w:rsid w:val="00474DD1"/>
    <w:rsid w:val="0047556B"/>
    <w:rsid w:val="00475E4C"/>
    <w:rsid w:val="00476070"/>
    <w:rsid w:val="004767DA"/>
    <w:rsid w:val="004768BB"/>
    <w:rsid w:val="00476927"/>
    <w:rsid w:val="00476FC7"/>
    <w:rsid w:val="00477006"/>
    <w:rsid w:val="004772AD"/>
    <w:rsid w:val="00477531"/>
    <w:rsid w:val="00477B6A"/>
    <w:rsid w:val="00477F75"/>
    <w:rsid w:val="0048009F"/>
    <w:rsid w:val="00480297"/>
    <w:rsid w:val="00480B14"/>
    <w:rsid w:val="00480F49"/>
    <w:rsid w:val="004819E6"/>
    <w:rsid w:val="00481C6A"/>
    <w:rsid w:val="00482428"/>
    <w:rsid w:val="00482487"/>
    <w:rsid w:val="0048304D"/>
    <w:rsid w:val="00483F2D"/>
    <w:rsid w:val="0048445A"/>
    <w:rsid w:val="0048464B"/>
    <w:rsid w:val="00484A33"/>
    <w:rsid w:val="00484E25"/>
    <w:rsid w:val="004855B6"/>
    <w:rsid w:val="004855EC"/>
    <w:rsid w:val="004859BB"/>
    <w:rsid w:val="00485A55"/>
    <w:rsid w:val="00485F60"/>
    <w:rsid w:val="00486578"/>
    <w:rsid w:val="00486C0F"/>
    <w:rsid w:val="00486D05"/>
    <w:rsid w:val="00486FCA"/>
    <w:rsid w:val="00487177"/>
    <w:rsid w:val="00487189"/>
    <w:rsid w:val="004872EF"/>
    <w:rsid w:val="004874D6"/>
    <w:rsid w:val="004875E2"/>
    <w:rsid w:val="00487F41"/>
    <w:rsid w:val="00490355"/>
    <w:rsid w:val="0049192B"/>
    <w:rsid w:val="00491B04"/>
    <w:rsid w:val="00491CD0"/>
    <w:rsid w:val="00491FED"/>
    <w:rsid w:val="0049236D"/>
    <w:rsid w:val="00492536"/>
    <w:rsid w:val="00492B0A"/>
    <w:rsid w:val="00492BBB"/>
    <w:rsid w:val="00493857"/>
    <w:rsid w:val="00493BBF"/>
    <w:rsid w:val="00493BC2"/>
    <w:rsid w:val="004944F4"/>
    <w:rsid w:val="0049480C"/>
    <w:rsid w:val="00494908"/>
    <w:rsid w:val="00494DA5"/>
    <w:rsid w:val="0049528F"/>
    <w:rsid w:val="00495AA5"/>
    <w:rsid w:val="00496A52"/>
    <w:rsid w:val="00496B81"/>
    <w:rsid w:val="0049767E"/>
    <w:rsid w:val="00497F38"/>
    <w:rsid w:val="004A0A36"/>
    <w:rsid w:val="004A0E53"/>
    <w:rsid w:val="004A0E59"/>
    <w:rsid w:val="004A14AE"/>
    <w:rsid w:val="004A1B2A"/>
    <w:rsid w:val="004A1B4B"/>
    <w:rsid w:val="004A3429"/>
    <w:rsid w:val="004A4527"/>
    <w:rsid w:val="004A48E7"/>
    <w:rsid w:val="004A4B30"/>
    <w:rsid w:val="004A4D3B"/>
    <w:rsid w:val="004A511A"/>
    <w:rsid w:val="004A5877"/>
    <w:rsid w:val="004A6525"/>
    <w:rsid w:val="004A6696"/>
    <w:rsid w:val="004A6768"/>
    <w:rsid w:val="004A6EBB"/>
    <w:rsid w:val="004A7189"/>
    <w:rsid w:val="004A76BF"/>
    <w:rsid w:val="004B0097"/>
    <w:rsid w:val="004B02B0"/>
    <w:rsid w:val="004B0772"/>
    <w:rsid w:val="004B0B15"/>
    <w:rsid w:val="004B1346"/>
    <w:rsid w:val="004B1A99"/>
    <w:rsid w:val="004B1C7D"/>
    <w:rsid w:val="004B272E"/>
    <w:rsid w:val="004B28E6"/>
    <w:rsid w:val="004B2AED"/>
    <w:rsid w:val="004B3519"/>
    <w:rsid w:val="004B375F"/>
    <w:rsid w:val="004B4401"/>
    <w:rsid w:val="004B4409"/>
    <w:rsid w:val="004B440E"/>
    <w:rsid w:val="004B4724"/>
    <w:rsid w:val="004B4B5A"/>
    <w:rsid w:val="004B4EA2"/>
    <w:rsid w:val="004B56D7"/>
    <w:rsid w:val="004B5EF0"/>
    <w:rsid w:val="004B68A1"/>
    <w:rsid w:val="004B691D"/>
    <w:rsid w:val="004B7054"/>
    <w:rsid w:val="004B7175"/>
    <w:rsid w:val="004B75C2"/>
    <w:rsid w:val="004C0166"/>
    <w:rsid w:val="004C0CBC"/>
    <w:rsid w:val="004C0F34"/>
    <w:rsid w:val="004C1284"/>
    <w:rsid w:val="004C1C9B"/>
    <w:rsid w:val="004C2326"/>
    <w:rsid w:val="004C25E1"/>
    <w:rsid w:val="004C2876"/>
    <w:rsid w:val="004C3377"/>
    <w:rsid w:val="004C3D40"/>
    <w:rsid w:val="004C3E88"/>
    <w:rsid w:val="004C41F5"/>
    <w:rsid w:val="004C47F7"/>
    <w:rsid w:val="004C5D4F"/>
    <w:rsid w:val="004C5D83"/>
    <w:rsid w:val="004C5FE4"/>
    <w:rsid w:val="004C64E6"/>
    <w:rsid w:val="004C68D9"/>
    <w:rsid w:val="004C6B6A"/>
    <w:rsid w:val="004C6FB1"/>
    <w:rsid w:val="004C78E7"/>
    <w:rsid w:val="004D002F"/>
    <w:rsid w:val="004D09D0"/>
    <w:rsid w:val="004D0E25"/>
    <w:rsid w:val="004D17BA"/>
    <w:rsid w:val="004D19A1"/>
    <w:rsid w:val="004D2296"/>
    <w:rsid w:val="004D229C"/>
    <w:rsid w:val="004D2AE6"/>
    <w:rsid w:val="004D2B59"/>
    <w:rsid w:val="004D2F36"/>
    <w:rsid w:val="004D3185"/>
    <w:rsid w:val="004D35D7"/>
    <w:rsid w:val="004D3D0F"/>
    <w:rsid w:val="004D3D3F"/>
    <w:rsid w:val="004D3DF7"/>
    <w:rsid w:val="004D4A8B"/>
    <w:rsid w:val="004D4AB7"/>
    <w:rsid w:val="004D4BC1"/>
    <w:rsid w:val="004D55D0"/>
    <w:rsid w:val="004D5A38"/>
    <w:rsid w:val="004D5CFB"/>
    <w:rsid w:val="004D5EBF"/>
    <w:rsid w:val="004D6289"/>
    <w:rsid w:val="004D70B5"/>
    <w:rsid w:val="004D71DC"/>
    <w:rsid w:val="004D7530"/>
    <w:rsid w:val="004D7B0F"/>
    <w:rsid w:val="004E0032"/>
    <w:rsid w:val="004E00A6"/>
    <w:rsid w:val="004E00AD"/>
    <w:rsid w:val="004E0336"/>
    <w:rsid w:val="004E0816"/>
    <w:rsid w:val="004E0C04"/>
    <w:rsid w:val="004E10B7"/>
    <w:rsid w:val="004E12BE"/>
    <w:rsid w:val="004E14EB"/>
    <w:rsid w:val="004E22B6"/>
    <w:rsid w:val="004E2A39"/>
    <w:rsid w:val="004E2EEC"/>
    <w:rsid w:val="004E376B"/>
    <w:rsid w:val="004E3883"/>
    <w:rsid w:val="004E422B"/>
    <w:rsid w:val="004E42D9"/>
    <w:rsid w:val="004E453F"/>
    <w:rsid w:val="004E456B"/>
    <w:rsid w:val="004E4633"/>
    <w:rsid w:val="004E4910"/>
    <w:rsid w:val="004E5424"/>
    <w:rsid w:val="004E5D13"/>
    <w:rsid w:val="004E5F07"/>
    <w:rsid w:val="004E6257"/>
    <w:rsid w:val="004E64BB"/>
    <w:rsid w:val="004E6B4D"/>
    <w:rsid w:val="004E6BBF"/>
    <w:rsid w:val="004E6D82"/>
    <w:rsid w:val="004E6FF1"/>
    <w:rsid w:val="004E707E"/>
    <w:rsid w:val="004E70F9"/>
    <w:rsid w:val="004E77D7"/>
    <w:rsid w:val="004E7FE1"/>
    <w:rsid w:val="004F00F4"/>
    <w:rsid w:val="004F0163"/>
    <w:rsid w:val="004F0AC7"/>
    <w:rsid w:val="004F1251"/>
    <w:rsid w:val="004F14B7"/>
    <w:rsid w:val="004F1834"/>
    <w:rsid w:val="004F19AC"/>
    <w:rsid w:val="004F1BFB"/>
    <w:rsid w:val="004F1EA3"/>
    <w:rsid w:val="004F2280"/>
    <w:rsid w:val="004F229A"/>
    <w:rsid w:val="004F25D3"/>
    <w:rsid w:val="004F2949"/>
    <w:rsid w:val="004F2C95"/>
    <w:rsid w:val="004F41B7"/>
    <w:rsid w:val="004F459E"/>
    <w:rsid w:val="004F470F"/>
    <w:rsid w:val="004F47C2"/>
    <w:rsid w:val="004F49B1"/>
    <w:rsid w:val="004F5037"/>
    <w:rsid w:val="004F50ED"/>
    <w:rsid w:val="004F688D"/>
    <w:rsid w:val="004F692C"/>
    <w:rsid w:val="004F6AA8"/>
    <w:rsid w:val="004F7E88"/>
    <w:rsid w:val="005009CC"/>
    <w:rsid w:val="00500F43"/>
    <w:rsid w:val="00501530"/>
    <w:rsid w:val="005016AB"/>
    <w:rsid w:val="00501F99"/>
    <w:rsid w:val="00502015"/>
    <w:rsid w:val="0050239B"/>
    <w:rsid w:val="005027DC"/>
    <w:rsid w:val="0050290B"/>
    <w:rsid w:val="00502B6E"/>
    <w:rsid w:val="00502BC0"/>
    <w:rsid w:val="005031CC"/>
    <w:rsid w:val="0050333D"/>
    <w:rsid w:val="005033AB"/>
    <w:rsid w:val="00503432"/>
    <w:rsid w:val="00503838"/>
    <w:rsid w:val="0050384D"/>
    <w:rsid w:val="005042F0"/>
    <w:rsid w:val="0050477A"/>
    <w:rsid w:val="00504F3E"/>
    <w:rsid w:val="00505441"/>
    <w:rsid w:val="0050563E"/>
    <w:rsid w:val="00505A60"/>
    <w:rsid w:val="0050663F"/>
    <w:rsid w:val="00506C70"/>
    <w:rsid w:val="00506E18"/>
    <w:rsid w:val="0050739F"/>
    <w:rsid w:val="00507BFF"/>
    <w:rsid w:val="00507D2E"/>
    <w:rsid w:val="00510489"/>
    <w:rsid w:val="00510B31"/>
    <w:rsid w:val="00510CC5"/>
    <w:rsid w:val="00510F59"/>
    <w:rsid w:val="00511384"/>
    <w:rsid w:val="005116DF"/>
    <w:rsid w:val="005117DE"/>
    <w:rsid w:val="00512F55"/>
    <w:rsid w:val="0051401E"/>
    <w:rsid w:val="00514627"/>
    <w:rsid w:val="00514799"/>
    <w:rsid w:val="00514A5E"/>
    <w:rsid w:val="00514B31"/>
    <w:rsid w:val="00514B6F"/>
    <w:rsid w:val="00514BDF"/>
    <w:rsid w:val="00514C0B"/>
    <w:rsid w:val="00514D46"/>
    <w:rsid w:val="0051541F"/>
    <w:rsid w:val="00515C65"/>
    <w:rsid w:val="0051608B"/>
    <w:rsid w:val="00516CBE"/>
    <w:rsid w:val="00517156"/>
    <w:rsid w:val="00517260"/>
    <w:rsid w:val="005172B8"/>
    <w:rsid w:val="0051754A"/>
    <w:rsid w:val="00517990"/>
    <w:rsid w:val="00517D59"/>
    <w:rsid w:val="00520D6E"/>
    <w:rsid w:val="0052106D"/>
    <w:rsid w:val="00522204"/>
    <w:rsid w:val="0052242D"/>
    <w:rsid w:val="00522A56"/>
    <w:rsid w:val="00522D32"/>
    <w:rsid w:val="00522DCA"/>
    <w:rsid w:val="00523182"/>
    <w:rsid w:val="0052325D"/>
    <w:rsid w:val="005236D5"/>
    <w:rsid w:val="005236DB"/>
    <w:rsid w:val="005239C2"/>
    <w:rsid w:val="00523DBC"/>
    <w:rsid w:val="00523DBE"/>
    <w:rsid w:val="00523FB0"/>
    <w:rsid w:val="005245CD"/>
    <w:rsid w:val="00524617"/>
    <w:rsid w:val="005253FF"/>
    <w:rsid w:val="00525450"/>
    <w:rsid w:val="005260FB"/>
    <w:rsid w:val="00526190"/>
    <w:rsid w:val="00526566"/>
    <w:rsid w:val="00526C34"/>
    <w:rsid w:val="00526E2A"/>
    <w:rsid w:val="00530044"/>
    <w:rsid w:val="00530DFB"/>
    <w:rsid w:val="00531173"/>
    <w:rsid w:val="005326A9"/>
    <w:rsid w:val="0053279E"/>
    <w:rsid w:val="00532CD2"/>
    <w:rsid w:val="005331A6"/>
    <w:rsid w:val="0053331E"/>
    <w:rsid w:val="00533D36"/>
    <w:rsid w:val="00535433"/>
    <w:rsid w:val="00535AD5"/>
    <w:rsid w:val="00535B5F"/>
    <w:rsid w:val="00535F8B"/>
    <w:rsid w:val="00535FAA"/>
    <w:rsid w:val="005363B0"/>
    <w:rsid w:val="0053680B"/>
    <w:rsid w:val="005368CA"/>
    <w:rsid w:val="005368F3"/>
    <w:rsid w:val="00536B93"/>
    <w:rsid w:val="005371D4"/>
    <w:rsid w:val="00537573"/>
    <w:rsid w:val="00537E8B"/>
    <w:rsid w:val="00540273"/>
    <w:rsid w:val="005405D3"/>
    <w:rsid w:val="0054083B"/>
    <w:rsid w:val="00540A8B"/>
    <w:rsid w:val="00542362"/>
    <w:rsid w:val="00542B39"/>
    <w:rsid w:val="00543221"/>
    <w:rsid w:val="005435EB"/>
    <w:rsid w:val="005442BC"/>
    <w:rsid w:val="00544C06"/>
    <w:rsid w:val="005450C6"/>
    <w:rsid w:val="0054511E"/>
    <w:rsid w:val="00545BB7"/>
    <w:rsid w:val="00546054"/>
    <w:rsid w:val="0054658B"/>
    <w:rsid w:val="00547259"/>
    <w:rsid w:val="00547929"/>
    <w:rsid w:val="00547B51"/>
    <w:rsid w:val="00547CB8"/>
    <w:rsid w:val="00547D58"/>
    <w:rsid w:val="0055003A"/>
    <w:rsid w:val="005505D6"/>
    <w:rsid w:val="00550E23"/>
    <w:rsid w:val="00551BC3"/>
    <w:rsid w:val="00552192"/>
    <w:rsid w:val="005524C1"/>
    <w:rsid w:val="0055367E"/>
    <w:rsid w:val="005541DB"/>
    <w:rsid w:val="00554D88"/>
    <w:rsid w:val="00555507"/>
    <w:rsid w:val="00555FC7"/>
    <w:rsid w:val="00555FD4"/>
    <w:rsid w:val="00556018"/>
    <w:rsid w:val="005566A9"/>
    <w:rsid w:val="00556C61"/>
    <w:rsid w:val="005603C1"/>
    <w:rsid w:val="005608B4"/>
    <w:rsid w:val="00560F83"/>
    <w:rsid w:val="00560FC3"/>
    <w:rsid w:val="00561055"/>
    <w:rsid w:val="00561070"/>
    <w:rsid w:val="00561228"/>
    <w:rsid w:val="005614C0"/>
    <w:rsid w:val="005617F5"/>
    <w:rsid w:val="00561F27"/>
    <w:rsid w:val="00562343"/>
    <w:rsid w:val="0056260B"/>
    <w:rsid w:val="00562DE9"/>
    <w:rsid w:val="00563106"/>
    <w:rsid w:val="005631E5"/>
    <w:rsid w:val="00563E1E"/>
    <w:rsid w:val="00564E9B"/>
    <w:rsid w:val="00566B67"/>
    <w:rsid w:val="005700C4"/>
    <w:rsid w:val="0057043B"/>
    <w:rsid w:val="005706A1"/>
    <w:rsid w:val="00571224"/>
    <w:rsid w:val="005712DE"/>
    <w:rsid w:val="00571CA0"/>
    <w:rsid w:val="00572247"/>
    <w:rsid w:val="00572D4A"/>
    <w:rsid w:val="00573609"/>
    <w:rsid w:val="00573D93"/>
    <w:rsid w:val="00573F8C"/>
    <w:rsid w:val="00574517"/>
    <w:rsid w:val="005745ED"/>
    <w:rsid w:val="00574675"/>
    <w:rsid w:val="0057468E"/>
    <w:rsid w:val="00574F82"/>
    <w:rsid w:val="00575F50"/>
    <w:rsid w:val="0057607C"/>
    <w:rsid w:val="00576516"/>
    <w:rsid w:val="00576D83"/>
    <w:rsid w:val="00577042"/>
    <w:rsid w:val="00577233"/>
    <w:rsid w:val="00577BDF"/>
    <w:rsid w:val="00577FD2"/>
    <w:rsid w:val="005802E1"/>
    <w:rsid w:val="0058046A"/>
    <w:rsid w:val="0058098D"/>
    <w:rsid w:val="005810C1"/>
    <w:rsid w:val="005814FC"/>
    <w:rsid w:val="00581EB6"/>
    <w:rsid w:val="005832A7"/>
    <w:rsid w:val="00583598"/>
    <w:rsid w:val="00583D4A"/>
    <w:rsid w:val="00583E71"/>
    <w:rsid w:val="00584068"/>
    <w:rsid w:val="00584708"/>
    <w:rsid w:val="00585B68"/>
    <w:rsid w:val="00585CE1"/>
    <w:rsid w:val="0058646F"/>
    <w:rsid w:val="00586E89"/>
    <w:rsid w:val="00586FDF"/>
    <w:rsid w:val="00587356"/>
    <w:rsid w:val="00590280"/>
    <w:rsid w:val="005905AC"/>
    <w:rsid w:val="0059086E"/>
    <w:rsid w:val="00591423"/>
    <w:rsid w:val="005917EC"/>
    <w:rsid w:val="00591C51"/>
    <w:rsid w:val="005928A4"/>
    <w:rsid w:val="00592E36"/>
    <w:rsid w:val="0059340A"/>
    <w:rsid w:val="0059377D"/>
    <w:rsid w:val="0059384A"/>
    <w:rsid w:val="00593915"/>
    <w:rsid w:val="00593A22"/>
    <w:rsid w:val="0059455B"/>
    <w:rsid w:val="005945A6"/>
    <w:rsid w:val="00594C32"/>
    <w:rsid w:val="0059552B"/>
    <w:rsid w:val="00595F8E"/>
    <w:rsid w:val="00596055"/>
    <w:rsid w:val="00596D08"/>
    <w:rsid w:val="00596D83"/>
    <w:rsid w:val="00596EBA"/>
    <w:rsid w:val="00597654"/>
    <w:rsid w:val="005977F1"/>
    <w:rsid w:val="005A0C35"/>
    <w:rsid w:val="005A190E"/>
    <w:rsid w:val="005A2727"/>
    <w:rsid w:val="005A2AC1"/>
    <w:rsid w:val="005A36A6"/>
    <w:rsid w:val="005A382F"/>
    <w:rsid w:val="005A3F2A"/>
    <w:rsid w:val="005A450F"/>
    <w:rsid w:val="005A479B"/>
    <w:rsid w:val="005A5474"/>
    <w:rsid w:val="005A5866"/>
    <w:rsid w:val="005A5A25"/>
    <w:rsid w:val="005A60F3"/>
    <w:rsid w:val="005A743C"/>
    <w:rsid w:val="005A7CD6"/>
    <w:rsid w:val="005A7E83"/>
    <w:rsid w:val="005B0022"/>
    <w:rsid w:val="005B05A6"/>
    <w:rsid w:val="005B08F0"/>
    <w:rsid w:val="005B1524"/>
    <w:rsid w:val="005B1546"/>
    <w:rsid w:val="005B1DBA"/>
    <w:rsid w:val="005B2011"/>
    <w:rsid w:val="005B2049"/>
    <w:rsid w:val="005B252B"/>
    <w:rsid w:val="005B263B"/>
    <w:rsid w:val="005B2E21"/>
    <w:rsid w:val="005B2EEE"/>
    <w:rsid w:val="005B3334"/>
    <w:rsid w:val="005B399F"/>
    <w:rsid w:val="005B3A74"/>
    <w:rsid w:val="005B3EE3"/>
    <w:rsid w:val="005B470A"/>
    <w:rsid w:val="005B48F8"/>
    <w:rsid w:val="005B5FA7"/>
    <w:rsid w:val="005B5FAD"/>
    <w:rsid w:val="005B6089"/>
    <w:rsid w:val="005B624F"/>
    <w:rsid w:val="005B6949"/>
    <w:rsid w:val="005B6B80"/>
    <w:rsid w:val="005B6C60"/>
    <w:rsid w:val="005B6D9C"/>
    <w:rsid w:val="005B7834"/>
    <w:rsid w:val="005B7868"/>
    <w:rsid w:val="005B7F91"/>
    <w:rsid w:val="005C0094"/>
    <w:rsid w:val="005C08D4"/>
    <w:rsid w:val="005C1390"/>
    <w:rsid w:val="005C23B9"/>
    <w:rsid w:val="005C24A3"/>
    <w:rsid w:val="005C256C"/>
    <w:rsid w:val="005C260D"/>
    <w:rsid w:val="005C2BE7"/>
    <w:rsid w:val="005C3006"/>
    <w:rsid w:val="005C3120"/>
    <w:rsid w:val="005C3589"/>
    <w:rsid w:val="005C4552"/>
    <w:rsid w:val="005C466D"/>
    <w:rsid w:val="005C4BAF"/>
    <w:rsid w:val="005C4DDE"/>
    <w:rsid w:val="005C52CF"/>
    <w:rsid w:val="005C60BC"/>
    <w:rsid w:val="005C6480"/>
    <w:rsid w:val="005C6F9E"/>
    <w:rsid w:val="005C6FB0"/>
    <w:rsid w:val="005C7470"/>
    <w:rsid w:val="005D003B"/>
    <w:rsid w:val="005D0CD9"/>
    <w:rsid w:val="005D0EF9"/>
    <w:rsid w:val="005D1E76"/>
    <w:rsid w:val="005D1EE5"/>
    <w:rsid w:val="005D3579"/>
    <w:rsid w:val="005D3685"/>
    <w:rsid w:val="005D4574"/>
    <w:rsid w:val="005D4ADA"/>
    <w:rsid w:val="005D5AB4"/>
    <w:rsid w:val="005D6226"/>
    <w:rsid w:val="005D63A1"/>
    <w:rsid w:val="005D6591"/>
    <w:rsid w:val="005D68F1"/>
    <w:rsid w:val="005D6F02"/>
    <w:rsid w:val="005D6F40"/>
    <w:rsid w:val="005D7022"/>
    <w:rsid w:val="005D7924"/>
    <w:rsid w:val="005D7C0E"/>
    <w:rsid w:val="005D7C72"/>
    <w:rsid w:val="005E0309"/>
    <w:rsid w:val="005E0EB9"/>
    <w:rsid w:val="005E129C"/>
    <w:rsid w:val="005E21CE"/>
    <w:rsid w:val="005E2732"/>
    <w:rsid w:val="005E2F74"/>
    <w:rsid w:val="005E37E8"/>
    <w:rsid w:val="005E3F7A"/>
    <w:rsid w:val="005E417E"/>
    <w:rsid w:val="005E434E"/>
    <w:rsid w:val="005E4BBA"/>
    <w:rsid w:val="005E50C3"/>
    <w:rsid w:val="005E544C"/>
    <w:rsid w:val="005E57B6"/>
    <w:rsid w:val="005E58CC"/>
    <w:rsid w:val="005E5904"/>
    <w:rsid w:val="005E5A5B"/>
    <w:rsid w:val="005E649D"/>
    <w:rsid w:val="005E6ACA"/>
    <w:rsid w:val="005E6B70"/>
    <w:rsid w:val="005E6C46"/>
    <w:rsid w:val="005E740F"/>
    <w:rsid w:val="005E79B3"/>
    <w:rsid w:val="005F06A6"/>
    <w:rsid w:val="005F071F"/>
    <w:rsid w:val="005F1297"/>
    <w:rsid w:val="005F129F"/>
    <w:rsid w:val="005F1FD5"/>
    <w:rsid w:val="005F3828"/>
    <w:rsid w:val="005F38BF"/>
    <w:rsid w:val="005F38E8"/>
    <w:rsid w:val="005F3E2F"/>
    <w:rsid w:val="005F592A"/>
    <w:rsid w:val="005F5A8F"/>
    <w:rsid w:val="005F5B47"/>
    <w:rsid w:val="005F5C2F"/>
    <w:rsid w:val="005F63A4"/>
    <w:rsid w:val="005F653C"/>
    <w:rsid w:val="005F65BF"/>
    <w:rsid w:val="005F706B"/>
    <w:rsid w:val="005F7596"/>
    <w:rsid w:val="005F76EC"/>
    <w:rsid w:val="005F7AAB"/>
    <w:rsid w:val="006000A0"/>
    <w:rsid w:val="006001C4"/>
    <w:rsid w:val="0060058B"/>
    <w:rsid w:val="006008FB"/>
    <w:rsid w:val="00600D34"/>
    <w:rsid w:val="00601014"/>
    <w:rsid w:val="006017DA"/>
    <w:rsid w:val="00601CBB"/>
    <w:rsid w:val="00601DE7"/>
    <w:rsid w:val="00601EDF"/>
    <w:rsid w:val="00602759"/>
    <w:rsid w:val="00602834"/>
    <w:rsid w:val="00602CB7"/>
    <w:rsid w:val="00602EF6"/>
    <w:rsid w:val="006034C8"/>
    <w:rsid w:val="006038EB"/>
    <w:rsid w:val="00603D64"/>
    <w:rsid w:val="00603F40"/>
    <w:rsid w:val="00604055"/>
    <w:rsid w:val="0060441C"/>
    <w:rsid w:val="00604493"/>
    <w:rsid w:val="00604504"/>
    <w:rsid w:val="006054DE"/>
    <w:rsid w:val="0060589A"/>
    <w:rsid w:val="00605939"/>
    <w:rsid w:val="00605EA8"/>
    <w:rsid w:val="00606138"/>
    <w:rsid w:val="006070B6"/>
    <w:rsid w:val="00607316"/>
    <w:rsid w:val="0061065A"/>
    <w:rsid w:val="00611457"/>
    <w:rsid w:val="006114F9"/>
    <w:rsid w:val="006116F5"/>
    <w:rsid w:val="00611C87"/>
    <w:rsid w:val="00611C9E"/>
    <w:rsid w:val="00612365"/>
    <w:rsid w:val="006134EF"/>
    <w:rsid w:val="00613E7C"/>
    <w:rsid w:val="00614313"/>
    <w:rsid w:val="00614AFE"/>
    <w:rsid w:val="00614C0E"/>
    <w:rsid w:val="00615393"/>
    <w:rsid w:val="00615C08"/>
    <w:rsid w:val="00615C94"/>
    <w:rsid w:val="00616069"/>
    <w:rsid w:val="006161A8"/>
    <w:rsid w:val="006165E7"/>
    <w:rsid w:val="00616FEB"/>
    <w:rsid w:val="0061799D"/>
    <w:rsid w:val="00617AAA"/>
    <w:rsid w:val="00617B2D"/>
    <w:rsid w:val="00620171"/>
    <w:rsid w:val="00620B50"/>
    <w:rsid w:val="00620D8D"/>
    <w:rsid w:val="0062105D"/>
    <w:rsid w:val="00621A1B"/>
    <w:rsid w:val="006226E3"/>
    <w:rsid w:val="00623023"/>
    <w:rsid w:val="00623BAF"/>
    <w:rsid w:val="00624F60"/>
    <w:rsid w:val="00625407"/>
    <w:rsid w:val="006255AB"/>
    <w:rsid w:val="006258A4"/>
    <w:rsid w:val="00625A0E"/>
    <w:rsid w:val="00625CA2"/>
    <w:rsid w:val="00625E13"/>
    <w:rsid w:val="00626147"/>
    <w:rsid w:val="00626370"/>
    <w:rsid w:val="0062685A"/>
    <w:rsid w:val="006274F7"/>
    <w:rsid w:val="00627BB0"/>
    <w:rsid w:val="006313AF"/>
    <w:rsid w:val="0063190A"/>
    <w:rsid w:val="00632920"/>
    <w:rsid w:val="00632B29"/>
    <w:rsid w:val="00632BEB"/>
    <w:rsid w:val="00632E6C"/>
    <w:rsid w:val="00633DB2"/>
    <w:rsid w:val="00633FC3"/>
    <w:rsid w:val="00634122"/>
    <w:rsid w:val="00634C90"/>
    <w:rsid w:val="00635803"/>
    <w:rsid w:val="00635E0B"/>
    <w:rsid w:val="00636033"/>
    <w:rsid w:val="00636A19"/>
    <w:rsid w:val="00636A7D"/>
    <w:rsid w:val="006374ED"/>
    <w:rsid w:val="006378EC"/>
    <w:rsid w:val="006379FC"/>
    <w:rsid w:val="00637D51"/>
    <w:rsid w:val="00637D96"/>
    <w:rsid w:val="00637FE1"/>
    <w:rsid w:val="006409CE"/>
    <w:rsid w:val="00641665"/>
    <w:rsid w:val="00641B95"/>
    <w:rsid w:val="00642858"/>
    <w:rsid w:val="0064290A"/>
    <w:rsid w:val="00642995"/>
    <w:rsid w:val="00642F2C"/>
    <w:rsid w:val="0064315E"/>
    <w:rsid w:val="0064367C"/>
    <w:rsid w:val="00643DDE"/>
    <w:rsid w:val="006449F8"/>
    <w:rsid w:val="006456E0"/>
    <w:rsid w:val="00645812"/>
    <w:rsid w:val="00645B45"/>
    <w:rsid w:val="00646ABF"/>
    <w:rsid w:val="0064794D"/>
    <w:rsid w:val="0065009B"/>
    <w:rsid w:val="0065034A"/>
    <w:rsid w:val="00650546"/>
    <w:rsid w:val="0065070F"/>
    <w:rsid w:val="006507E9"/>
    <w:rsid w:val="00650853"/>
    <w:rsid w:val="00650AAC"/>
    <w:rsid w:val="00650B1D"/>
    <w:rsid w:val="00650C49"/>
    <w:rsid w:val="00650D78"/>
    <w:rsid w:val="00650FD7"/>
    <w:rsid w:val="006517C1"/>
    <w:rsid w:val="00651DDC"/>
    <w:rsid w:val="0065206F"/>
    <w:rsid w:val="00652DCD"/>
    <w:rsid w:val="00652FAF"/>
    <w:rsid w:val="006530FC"/>
    <w:rsid w:val="006535E3"/>
    <w:rsid w:val="00653A37"/>
    <w:rsid w:val="00653C53"/>
    <w:rsid w:val="00653F8F"/>
    <w:rsid w:val="0065439F"/>
    <w:rsid w:val="006548D7"/>
    <w:rsid w:val="00654C6F"/>
    <w:rsid w:val="00655268"/>
    <w:rsid w:val="006565B0"/>
    <w:rsid w:val="006567F4"/>
    <w:rsid w:val="00656984"/>
    <w:rsid w:val="00656BD9"/>
    <w:rsid w:val="00656FDC"/>
    <w:rsid w:val="006601F9"/>
    <w:rsid w:val="0066072F"/>
    <w:rsid w:val="00660D29"/>
    <w:rsid w:val="00660D73"/>
    <w:rsid w:val="00661148"/>
    <w:rsid w:val="006611AE"/>
    <w:rsid w:val="006613A6"/>
    <w:rsid w:val="00661B2F"/>
    <w:rsid w:val="00661FF9"/>
    <w:rsid w:val="006620B0"/>
    <w:rsid w:val="00662473"/>
    <w:rsid w:val="00662DAD"/>
    <w:rsid w:val="006631A3"/>
    <w:rsid w:val="006636AC"/>
    <w:rsid w:val="00663827"/>
    <w:rsid w:val="00664035"/>
    <w:rsid w:val="006662D9"/>
    <w:rsid w:val="00666779"/>
    <w:rsid w:val="00666F90"/>
    <w:rsid w:val="00667462"/>
    <w:rsid w:val="0066768B"/>
    <w:rsid w:val="0066792A"/>
    <w:rsid w:val="00667BF4"/>
    <w:rsid w:val="00670839"/>
    <w:rsid w:val="00670AF8"/>
    <w:rsid w:val="00671211"/>
    <w:rsid w:val="006714EC"/>
    <w:rsid w:val="00672145"/>
    <w:rsid w:val="00672340"/>
    <w:rsid w:val="00672807"/>
    <w:rsid w:val="006729A8"/>
    <w:rsid w:val="006734DE"/>
    <w:rsid w:val="00673500"/>
    <w:rsid w:val="00673C3D"/>
    <w:rsid w:val="00674066"/>
    <w:rsid w:val="00674494"/>
    <w:rsid w:val="0067479B"/>
    <w:rsid w:val="006747F5"/>
    <w:rsid w:val="0067480F"/>
    <w:rsid w:val="00674A6D"/>
    <w:rsid w:val="00674D94"/>
    <w:rsid w:val="006757C3"/>
    <w:rsid w:val="00677DD7"/>
    <w:rsid w:val="00677EE4"/>
    <w:rsid w:val="0068028F"/>
    <w:rsid w:val="00680951"/>
    <w:rsid w:val="00680EC6"/>
    <w:rsid w:val="00680F77"/>
    <w:rsid w:val="006811E8"/>
    <w:rsid w:val="00681414"/>
    <w:rsid w:val="00681633"/>
    <w:rsid w:val="006817F3"/>
    <w:rsid w:val="00681B8C"/>
    <w:rsid w:val="006821C1"/>
    <w:rsid w:val="00683230"/>
    <w:rsid w:val="00683264"/>
    <w:rsid w:val="006838E8"/>
    <w:rsid w:val="00683A03"/>
    <w:rsid w:val="00683BA8"/>
    <w:rsid w:val="00684FE1"/>
    <w:rsid w:val="0068561D"/>
    <w:rsid w:val="00685F6F"/>
    <w:rsid w:val="00686177"/>
    <w:rsid w:val="0068635F"/>
    <w:rsid w:val="006877AD"/>
    <w:rsid w:val="00687A5A"/>
    <w:rsid w:val="006907F8"/>
    <w:rsid w:val="00690A7B"/>
    <w:rsid w:val="00690C15"/>
    <w:rsid w:val="00690D9E"/>
    <w:rsid w:val="00691164"/>
    <w:rsid w:val="006913D3"/>
    <w:rsid w:val="006918EB"/>
    <w:rsid w:val="00692450"/>
    <w:rsid w:val="006924A0"/>
    <w:rsid w:val="00692756"/>
    <w:rsid w:val="0069334E"/>
    <w:rsid w:val="00693565"/>
    <w:rsid w:val="00693A31"/>
    <w:rsid w:val="00693F5D"/>
    <w:rsid w:val="00693FBD"/>
    <w:rsid w:val="0069408A"/>
    <w:rsid w:val="0069421B"/>
    <w:rsid w:val="006943DE"/>
    <w:rsid w:val="00694ADB"/>
    <w:rsid w:val="00694C0E"/>
    <w:rsid w:val="00694D79"/>
    <w:rsid w:val="006965B0"/>
    <w:rsid w:val="00697362"/>
    <w:rsid w:val="006977FB"/>
    <w:rsid w:val="00697C3B"/>
    <w:rsid w:val="00697CAA"/>
    <w:rsid w:val="006A08D3"/>
    <w:rsid w:val="006A0B47"/>
    <w:rsid w:val="006A0FBB"/>
    <w:rsid w:val="006A16EE"/>
    <w:rsid w:val="006A1A6E"/>
    <w:rsid w:val="006A1D81"/>
    <w:rsid w:val="006A2045"/>
    <w:rsid w:val="006A24FF"/>
    <w:rsid w:val="006A2926"/>
    <w:rsid w:val="006A3075"/>
    <w:rsid w:val="006A317D"/>
    <w:rsid w:val="006A3EB4"/>
    <w:rsid w:val="006A3F51"/>
    <w:rsid w:val="006A45D3"/>
    <w:rsid w:val="006A4916"/>
    <w:rsid w:val="006A4A77"/>
    <w:rsid w:val="006A4DBE"/>
    <w:rsid w:val="006A51D7"/>
    <w:rsid w:val="006A5CA2"/>
    <w:rsid w:val="006A5F19"/>
    <w:rsid w:val="006A648B"/>
    <w:rsid w:val="006A7609"/>
    <w:rsid w:val="006A7800"/>
    <w:rsid w:val="006A7E5B"/>
    <w:rsid w:val="006B063A"/>
    <w:rsid w:val="006B0FAD"/>
    <w:rsid w:val="006B17CC"/>
    <w:rsid w:val="006B1A41"/>
    <w:rsid w:val="006B1CA3"/>
    <w:rsid w:val="006B1FF3"/>
    <w:rsid w:val="006B230B"/>
    <w:rsid w:val="006B2774"/>
    <w:rsid w:val="006B28A8"/>
    <w:rsid w:val="006B3192"/>
    <w:rsid w:val="006B320A"/>
    <w:rsid w:val="006B33A9"/>
    <w:rsid w:val="006B3566"/>
    <w:rsid w:val="006B3972"/>
    <w:rsid w:val="006B3E8C"/>
    <w:rsid w:val="006B46C8"/>
    <w:rsid w:val="006B46D8"/>
    <w:rsid w:val="006B4982"/>
    <w:rsid w:val="006B4C1D"/>
    <w:rsid w:val="006B5190"/>
    <w:rsid w:val="006B5466"/>
    <w:rsid w:val="006B5D31"/>
    <w:rsid w:val="006B606A"/>
    <w:rsid w:val="006B626B"/>
    <w:rsid w:val="006B6646"/>
    <w:rsid w:val="006B7342"/>
    <w:rsid w:val="006B7BF2"/>
    <w:rsid w:val="006B7C8B"/>
    <w:rsid w:val="006C046F"/>
    <w:rsid w:val="006C0E0B"/>
    <w:rsid w:val="006C1A11"/>
    <w:rsid w:val="006C1D1E"/>
    <w:rsid w:val="006C2BE8"/>
    <w:rsid w:val="006C2EA4"/>
    <w:rsid w:val="006C43F0"/>
    <w:rsid w:val="006C467C"/>
    <w:rsid w:val="006C4C34"/>
    <w:rsid w:val="006C5324"/>
    <w:rsid w:val="006C574B"/>
    <w:rsid w:val="006C58C4"/>
    <w:rsid w:val="006C5C1D"/>
    <w:rsid w:val="006C67F5"/>
    <w:rsid w:val="006C6987"/>
    <w:rsid w:val="006D0102"/>
    <w:rsid w:val="006D08EB"/>
    <w:rsid w:val="006D0D00"/>
    <w:rsid w:val="006D1853"/>
    <w:rsid w:val="006D2325"/>
    <w:rsid w:val="006D256B"/>
    <w:rsid w:val="006D274B"/>
    <w:rsid w:val="006D2E34"/>
    <w:rsid w:val="006D30C2"/>
    <w:rsid w:val="006D346C"/>
    <w:rsid w:val="006D3D80"/>
    <w:rsid w:val="006D3ED7"/>
    <w:rsid w:val="006D4359"/>
    <w:rsid w:val="006D4463"/>
    <w:rsid w:val="006D4BA7"/>
    <w:rsid w:val="006D54EF"/>
    <w:rsid w:val="006D56E5"/>
    <w:rsid w:val="006D59F9"/>
    <w:rsid w:val="006D6026"/>
    <w:rsid w:val="006D6948"/>
    <w:rsid w:val="006D6D2C"/>
    <w:rsid w:val="006D797D"/>
    <w:rsid w:val="006D7B35"/>
    <w:rsid w:val="006D7D79"/>
    <w:rsid w:val="006E186A"/>
    <w:rsid w:val="006E1FC4"/>
    <w:rsid w:val="006E207D"/>
    <w:rsid w:val="006E2665"/>
    <w:rsid w:val="006E296F"/>
    <w:rsid w:val="006E3847"/>
    <w:rsid w:val="006E3994"/>
    <w:rsid w:val="006E3E73"/>
    <w:rsid w:val="006E4A5D"/>
    <w:rsid w:val="006E4F2A"/>
    <w:rsid w:val="006E528A"/>
    <w:rsid w:val="006E5795"/>
    <w:rsid w:val="006E57C0"/>
    <w:rsid w:val="006E6258"/>
    <w:rsid w:val="006E628C"/>
    <w:rsid w:val="006E666E"/>
    <w:rsid w:val="006E66E0"/>
    <w:rsid w:val="006E672D"/>
    <w:rsid w:val="006E67F8"/>
    <w:rsid w:val="006E747C"/>
    <w:rsid w:val="006E7607"/>
    <w:rsid w:val="006E7FC1"/>
    <w:rsid w:val="006F01DC"/>
    <w:rsid w:val="006F03F5"/>
    <w:rsid w:val="006F0664"/>
    <w:rsid w:val="006F07F1"/>
    <w:rsid w:val="006F11AF"/>
    <w:rsid w:val="006F12B8"/>
    <w:rsid w:val="006F1E58"/>
    <w:rsid w:val="006F22B0"/>
    <w:rsid w:val="006F27EA"/>
    <w:rsid w:val="006F2B42"/>
    <w:rsid w:val="006F2BD7"/>
    <w:rsid w:val="006F2DC6"/>
    <w:rsid w:val="006F338A"/>
    <w:rsid w:val="006F33D9"/>
    <w:rsid w:val="006F38A2"/>
    <w:rsid w:val="006F3F3C"/>
    <w:rsid w:val="006F4521"/>
    <w:rsid w:val="006F4709"/>
    <w:rsid w:val="006F48AD"/>
    <w:rsid w:val="006F4BDA"/>
    <w:rsid w:val="006F4F7F"/>
    <w:rsid w:val="006F52AA"/>
    <w:rsid w:val="006F537A"/>
    <w:rsid w:val="006F6178"/>
    <w:rsid w:val="006F6494"/>
    <w:rsid w:val="006F7130"/>
    <w:rsid w:val="006F772B"/>
    <w:rsid w:val="006F7933"/>
    <w:rsid w:val="006F7AF5"/>
    <w:rsid w:val="006F7B66"/>
    <w:rsid w:val="0070047E"/>
    <w:rsid w:val="007008E0"/>
    <w:rsid w:val="0070118A"/>
    <w:rsid w:val="0070159A"/>
    <w:rsid w:val="00701662"/>
    <w:rsid w:val="007017E8"/>
    <w:rsid w:val="00702680"/>
    <w:rsid w:val="0070272A"/>
    <w:rsid w:val="007030E2"/>
    <w:rsid w:val="00703284"/>
    <w:rsid w:val="0070341E"/>
    <w:rsid w:val="00703757"/>
    <w:rsid w:val="007039D7"/>
    <w:rsid w:val="00703D57"/>
    <w:rsid w:val="00704AA5"/>
    <w:rsid w:val="00704B0A"/>
    <w:rsid w:val="00705177"/>
    <w:rsid w:val="00705221"/>
    <w:rsid w:val="00705C9E"/>
    <w:rsid w:val="007065D9"/>
    <w:rsid w:val="00706647"/>
    <w:rsid w:val="0070668A"/>
    <w:rsid w:val="00706BC5"/>
    <w:rsid w:val="00706CFF"/>
    <w:rsid w:val="00707192"/>
    <w:rsid w:val="00707318"/>
    <w:rsid w:val="00707510"/>
    <w:rsid w:val="007078FF"/>
    <w:rsid w:val="007103DA"/>
    <w:rsid w:val="00710646"/>
    <w:rsid w:val="00711577"/>
    <w:rsid w:val="00711B91"/>
    <w:rsid w:val="00712318"/>
    <w:rsid w:val="0071243F"/>
    <w:rsid w:val="00712576"/>
    <w:rsid w:val="00712C9B"/>
    <w:rsid w:val="0071479C"/>
    <w:rsid w:val="00714AAF"/>
    <w:rsid w:val="00714EE5"/>
    <w:rsid w:val="00715036"/>
    <w:rsid w:val="00715383"/>
    <w:rsid w:val="007154A1"/>
    <w:rsid w:val="00715500"/>
    <w:rsid w:val="00715549"/>
    <w:rsid w:val="007155FF"/>
    <w:rsid w:val="00715E41"/>
    <w:rsid w:val="00716206"/>
    <w:rsid w:val="00716522"/>
    <w:rsid w:val="00716D57"/>
    <w:rsid w:val="00717054"/>
    <w:rsid w:val="00717858"/>
    <w:rsid w:val="00717931"/>
    <w:rsid w:val="007200B5"/>
    <w:rsid w:val="007201C8"/>
    <w:rsid w:val="00720AEB"/>
    <w:rsid w:val="00720F60"/>
    <w:rsid w:val="0072130E"/>
    <w:rsid w:val="007214D4"/>
    <w:rsid w:val="00722383"/>
    <w:rsid w:val="0072249D"/>
    <w:rsid w:val="00722756"/>
    <w:rsid w:val="007228B4"/>
    <w:rsid w:val="00722948"/>
    <w:rsid w:val="0072298F"/>
    <w:rsid w:val="00723422"/>
    <w:rsid w:val="00723761"/>
    <w:rsid w:val="0072380B"/>
    <w:rsid w:val="00723A79"/>
    <w:rsid w:val="00724322"/>
    <w:rsid w:val="0072435B"/>
    <w:rsid w:val="00724B52"/>
    <w:rsid w:val="00724FD8"/>
    <w:rsid w:val="0072562C"/>
    <w:rsid w:val="00725917"/>
    <w:rsid w:val="00726424"/>
    <w:rsid w:val="007264D1"/>
    <w:rsid w:val="007265CE"/>
    <w:rsid w:val="00726959"/>
    <w:rsid w:val="00727589"/>
    <w:rsid w:val="00730477"/>
    <w:rsid w:val="00730631"/>
    <w:rsid w:val="007306EE"/>
    <w:rsid w:val="00730706"/>
    <w:rsid w:val="00730866"/>
    <w:rsid w:val="007312BF"/>
    <w:rsid w:val="00731AAF"/>
    <w:rsid w:val="00731B47"/>
    <w:rsid w:val="00731D70"/>
    <w:rsid w:val="00732275"/>
    <w:rsid w:val="00732579"/>
    <w:rsid w:val="00732AC7"/>
    <w:rsid w:val="00732CE9"/>
    <w:rsid w:val="00732D92"/>
    <w:rsid w:val="00732EB0"/>
    <w:rsid w:val="00733D00"/>
    <w:rsid w:val="007341EA"/>
    <w:rsid w:val="0073424E"/>
    <w:rsid w:val="00734360"/>
    <w:rsid w:val="0073457B"/>
    <w:rsid w:val="00734AD4"/>
    <w:rsid w:val="007355B6"/>
    <w:rsid w:val="007356AA"/>
    <w:rsid w:val="00735931"/>
    <w:rsid w:val="00736337"/>
    <w:rsid w:val="0073636D"/>
    <w:rsid w:val="00736EF9"/>
    <w:rsid w:val="00737037"/>
    <w:rsid w:val="007374C0"/>
    <w:rsid w:val="00737CEC"/>
    <w:rsid w:val="00740A7F"/>
    <w:rsid w:val="00740CA4"/>
    <w:rsid w:val="0074135A"/>
    <w:rsid w:val="00741484"/>
    <w:rsid w:val="007430AE"/>
    <w:rsid w:val="007437D9"/>
    <w:rsid w:val="00743D96"/>
    <w:rsid w:val="0074412F"/>
    <w:rsid w:val="00744848"/>
    <w:rsid w:val="00744F92"/>
    <w:rsid w:val="007453CC"/>
    <w:rsid w:val="0074572E"/>
    <w:rsid w:val="00745D98"/>
    <w:rsid w:val="00745E06"/>
    <w:rsid w:val="00745E75"/>
    <w:rsid w:val="00746224"/>
    <w:rsid w:val="00746B5B"/>
    <w:rsid w:val="00746DE7"/>
    <w:rsid w:val="00746F3A"/>
    <w:rsid w:val="007474AD"/>
    <w:rsid w:val="00747C9D"/>
    <w:rsid w:val="007509B4"/>
    <w:rsid w:val="00750DCB"/>
    <w:rsid w:val="00750E3F"/>
    <w:rsid w:val="00751048"/>
    <w:rsid w:val="0075130E"/>
    <w:rsid w:val="0075261D"/>
    <w:rsid w:val="0075265A"/>
    <w:rsid w:val="00752A83"/>
    <w:rsid w:val="0075344E"/>
    <w:rsid w:val="0075359B"/>
    <w:rsid w:val="0075377E"/>
    <w:rsid w:val="00753A4C"/>
    <w:rsid w:val="00753B42"/>
    <w:rsid w:val="00753DE5"/>
    <w:rsid w:val="00754954"/>
    <w:rsid w:val="00755B6D"/>
    <w:rsid w:val="00755D95"/>
    <w:rsid w:val="0075627D"/>
    <w:rsid w:val="00756E62"/>
    <w:rsid w:val="00757580"/>
    <w:rsid w:val="00757633"/>
    <w:rsid w:val="00757709"/>
    <w:rsid w:val="0075776E"/>
    <w:rsid w:val="007578C9"/>
    <w:rsid w:val="00757BEF"/>
    <w:rsid w:val="00757F05"/>
    <w:rsid w:val="007608D5"/>
    <w:rsid w:val="007613BF"/>
    <w:rsid w:val="007615CB"/>
    <w:rsid w:val="007615E4"/>
    <w:rsid w:val="00761632"/>
    <w:rsid w:val="00761635"/>
    <w:rsid w:val="007617FA"/>
    <w:rsid w:val="007617FD"/>
    <w:rsid w:val="0076197F"/>
    <w:rsid w:val="00761E08"/>
    <w:rsid w:val="0076246E"/>
    <w:rsid w:val="0076250D"/>
    <w:rsid w:val="00762EB6"/>
    <w:rsid w:val="00763765"/>
    <w:rsid w:val="00764379"/>
    <w:rsid w:val="007643A0"/>
    <w:rsid w:val="007645D6"/>
    <w:rsid w:val="0076497C"/>
    <w:rsid w:val="00765BFF"/>
    <w:rsid w:val="00765E40"/>
    <w:rsid w:val="007669EB"/>
    <w:rsid w:val="00766E79"/>
    <w:rsid w:val="007675BC"/>
    <w:rsid w:val="00767C3F"/>
    <w:rsid w:val="0077014E"/>
    <w:rsid w:val="0077023C"/>
    <w:rsid w:val="00770309"/>
    <w:rsid w:val="0077087A"/>
    <w:rsid w:val="00770A38"/>
    <w:rsid w:val="00770AD0"/>
    <w:rsid w:val="00770E0F"/>
    <w:rsid w:val="00770EB9"/>
    <w:rsid w:val="007713F2"/>
    <w:rsid w:val="007719B5"/>
    <w:rsid w:val="00771FBD"/>
    <w:rsid w:val="00772562"/>
    <w:rsid w:val="007727D9"/>
    <w:rsid w:val="0077280E"/>
    <w:rsid w:val="007730A3"/>
    <w:rsid w:val="0077331A"/>
    <w:rsid w:val="007738A0"/>
    <w:rsid w:val="0077474A"/>
    <w:rsid w:val="00774842"/>
    <w:rsid w:val="00774901"/>
    <w:rsid w:val="00774CB5"/>
    <w:rsid w:val="00775721"/>
    <w:rsid w:val="007761E3"/>
    <w:rsid w:val="00776544"/>
    <w:rsid w:val="00776BDC"/>
    <w:rsid w:val="007771AE"/>
    <w:rsid w:val="007774FD"/>
    <w:rsid w:val="007779FB"/>
    <w:rsid w:val="00780056"/>
    <w:rsid w:val="00780576"/>
    <w:rsid w:val="00780B51"/>
    <w:rsid w:val="00780E5C"/>
    <w:rsid w:val="00781195"/>
    <w:rsid w:val="007814C7"/>
    <w:rsid w:val="00781A4D"/>
    <w:rsid w:val="00781FA7"/>
    <w:rsid w:val="007825AD"/>
    <w:rsid w:val="007826C4"/>
    <w:rsid w:val="007829CB"/>
    <w:rsid w:val="00782A2B"/>
    <w:rsid w:val="00782D26"/>
    <w:rsid w:val="00782DDE"/>
    <w:rsid w:val="00784119"/>
    <w:rsid w:val="007847BE"/>
    <w:rsid w:val="00784933"/>
    <w:rsid w:val="00784D7E"/>
    <w:rsid w:val="0078553D"/>
    <w:rsid w:val="0078588F"/>
    <w:rsid w:val="00786366"/>
    <w:rsid w:val="0078711E"/>
    <w:rsid w:val="00790890"/>
    <w:rsid w:val="0079120B"/>
    <w:rsid w:val="00791BA6"/>
    <w:rsid w:val="00791EDB"/>
    <w:rsid w:val="00791F03"/>
    <w:rsid w:val="007920B8"/>
    <w:rsid w:val="00792322"/>
    <w:rsid w:val="00792B6B"/>
    <w:rsid w:val="00793157"/>
    <w:rsid w:val="0079330C"/>
    <w:rsid w:val="00793460"/>
    <w:rsid w:val="00793DD2"/>
    <w:rsid w:val="007945CD"/>
    <w:rsid w:val="0079493E"/>
    <w:rsid w:val="00794C9C"/>
    <w:rsid w:val="00794D94"/>
    <w:rsid w:val="007951F6"/>
    <w:rsid w:val="00796058"/>
    <w:rsid w:val="0079608E"/>
    <w:rsid w:val="007969CA"/>
    <w:rsid w:val="00796CF2"/>
    <w:rsid w:val="00797437"/>
    <w:rsid w:val="00797BA1"/>
    <w:rsid w:val="007A0059"/>
    <w:rsid w:val="007A0608"/>
    <w:rsid w:val="007A087E"/>
    <w:rsid w:val="007A1346"/>
    <w:rsid w:val="007A1E92"/>
    <w:rsid w:val="007A204C"/>
    <w:rsid w:val="007A2422"/>
    <w:rsid w:val="007A2448"/>
    <w:rsid w:val="007A26AC"/>
    <w:rsid w:val="007A27EB"/>
    <w:rsid w:val="007A28EC"/>
    <w:rsid w:val="007A2C90"/>
    <w:rsid w:val="007A34E2"/>
    <w:rsid w:val="007A3F35"/>
    <w:rsid w:val="007A47F8"/>
    <w:rsid w:val="007A4A50"/>
    <w:rsid w:val="007A540E"/>
    <w:rsid w:val="007A6058"/>
    <w:rsid w:val="007A60AE"/>
    <w:rsid w:val="007A6BBA"/>
    <w:rsid w:val="007A709C"/>
    <w:rsid w:val="007A7E36"/>
    <w:rsid w:val="007B0205"/>
    <w:rsid w:val="007B0238"/>
    <w:rsid w:val="007B0EA8"/>
    <w:rsid w:val="007B11C2"/>
    <w:rsid w:val="007B123C"/>
    <w:rsid w:val="007B1B67"/>
    <w:rsid w:val="007B2295"/>
    <w:rsid w:val="007B3040"/>
    <w:rsid w:val="007B3A01"/>
    <w:rsid w:val="007B47CC"/>
    <w:rsid w:val="007B4D5A"/>
    <w:rsid w:val="007B5217"/>
    <w:rsid w:val="007B53D0"/>
    <w:rsid w:val="007B5A78"/>
    <w:rsid w:val="007B61C9"/>
    <w:rsid w:val="007B6B95"/>
    <w:rsid w:val="007B6BF7"/>
    <w:rsid w:val="007B6CF4"/>
    <w:rsid w:val="007B7145"/>
    <w:rsid w:val="007B7C65"/>
    <w:rsid w:val="007C00CE"/>
    <w:rsid w:val="007C016E"/>
    <w:rsid w:val="007C0510"/>
    <w:rsid w:val="007C071A"/>
    <w:rsid w:val="007C083C"/>
    <w:rsid w:val="007C0E44"/>
    <w:rsid w:val="007C0EF3"/>
    <w:rsid w:val="007C127F"/>
    <w:rsid w:val="007C19E8"/>
    <w:rsid w:val="007C1AFC"/>
    <w:rsid w:val="007C2286"/>
    <w:rsid w:val="007C3170"/>
    <w:rsid w:val="007C3376"/>
    <w:rsid w:val="007C3526"/>
    <w:rsid w:val="007C3F8A"/>
    <w:rsid w:val="007C42ED"/>
    <w:rsid w:val="007C44EC"/>
    <w:rsid w:val="007C4607"/>
    <w:rsid w:val="007C55DA"/>
    <w:rsid w:val="007C5687"/>
    <w:rsid w:val="007C5768"/>
    <w:rsid w:val="007C5DFF"/>
    <w:rsid w:val="007C5EFB"/>
    <w:rsid w:val="007C5F92"/>
    <w:rsid w:val="007C60AB"/>
    <w:rsid w:val="007C66C0"/>
    <w:rsid w:val="007C760C"/>
    <w:rsid w:val="007C7901"/>
    <w:rsid w:val="007C79FB"/>
    <w:rsid w:val="007C7AFF"/>
    <w:rsid w:val="007C7BBC"/>
    <w:rsid w:val="007C7CA1"/>
    <w:rsid w:val="007D0037"/>
    <w:rsid w:val="007D0119"/>
    <w:rsid w:val="007D0D75"/>
    <w:rsid w:val="007D1086"/>
    <w:rsid w:val="007D141F"/>
    <w:rsid w:val="007D18CE"/>
    <w:rsid w:val="007D1B8E"/>
    <w:rsid w:val="007D26DC"/>
    <w:rsid w:val="007D2A03"/>
    <w:rsid w:val="007D355F"/>
    <w:rsid w:val="007D35E6"/>
    <w:rsid w:val="007D3833"/>
    <w:rsid w:val="007D396A"/>
    <w:rsid w:val="007D3991"/>
    <w:rsid w:val="007D3E9C"/>
    <w:rsid w:val="007D4434"/>
    <w:rsid w:val="007D4AEB"/>
    <w:rsid w:val="007D4CA8"/>
    <w:rsid w:val="007D4E6E"/>
    <w:rsid w:val="007D4F0D"/>
    <w:rsid w:val="007D5440"/>
    <w:rsid w:val="007D620E"/>
    <w:rsid w:val="007D63BC"/>
    <w:rsid w:val="007D6448"/>
    <w:rsid w:val="007D667F"/>
    <w:rsid w:val="007D7A26"/>
    <w:rsid w:val="007E0C0F"/>
    <w:rsid w:val="007E1404"/>
    <w:rsid w:val="007E188C"/>
    <w:rsid w:val="007E1F17"/>
    <w:rsid w:val="007E211F"/>
    <w:rsid w:val="007E220F"/>
    <w:rsid w:val="007E26C3"/>
    <w:rsid w:val="007E2974"/>
    <w:rsid w:val="007E3735"/>
    <w:rsid w:val="007E37D9"/>
    <w:rsid w:val="007E3996"/>
    <w:rsid w:val="007E423F"/>
    <w:rsid w:val="007E4AFC"/>
    <w:rsid w:val="007E4EEC"/>
    <w:rsid w:val="007E50C6"/>
    <w:rsid w:val="007E568D"/>
    <w:rsid w:val="007E56E4"/>
    <w:rsid w:val="007E571F"/>
    <w:rsid w:val="007E5A0A"/>
    <w:rsid w:val="007E5BA1"/>
    <w:rsid w:val="007E5C87"/>
    <w:rsid w:val="007E60C9"/>
    <w:rsid w:val="007E657A"/>
    <w:rsid w:val="007E6B32"/>
    <w:rsid w:val="007E6C40"/>
    <w:rsid w:val="007E6E7F"/>
    <w:rsid w:val="007E7667"/>
    <w:rsid w:val="007E7B7F"/>
    <w:rsid w:val="007E7C57"/>
    <w:rsid w:val="007F028F"/>
    <w:rsid w:val="007F064F"/>
    <w:rsid w:val="007F08BA"/>
    <w:rsid w:val="007F094B"/>
    <w:rsid w:val="007F0FBE"/>
    <w:rsid w:val="007F1F09"/>
    <w:rsid w:val="007F30CC"/>
    <w:rsid w:val="007F30D2"/>
    <w:rsid w:val="007F44AC"/>
    <w:rsid w:val="007F480C"/>
    <w:rsid w:val="007F49AF"/>
    <w:rsid w:val="007F4D88"/>
    <w:rsid w:val="007F5A5D"/>
    <w:rsid w:val="007F5AD9"/>
    <w:rsid w:val="007F636B"/>
    <w:rsid w:val="007F702F"/>
    <w:rsid w:val="007F7170"/>
    <w:rsid w:val="007F717D"/>
    <w:rsid w:val="007F71E3"/>
    <w:rsid w:val="007F72CD"/>
    <w:rsid w:val="007F7721"/>
    <w:rsid w:val="007F7C26"/>
    <w:rsid w:val="007F7C76"/>
    <w:rsid w:val="008004DF"/>
    <w:rsid w:val="0080095A"/>
    <w:rsid w:val="0080095C"/>
    <w:rsid w:val="00800EF2"/>
    <w:rsid w:val="00801F82"/>
    <w:rsid w:val="00803242"/>
    <w:rsid w:val="0080349B"/>
    <w:rsid w:val="00803B91"/>
    <w:rsid w:val="00803CBB"/>
    <w:rsid w:val="00803E0E"/>
    <w:rsid w:val="00804118"/>
    <w:rsid w:val="008041C9"/>
    <w:rsid w:val="008047E8"/>
    <w:rsid w:val="00805127"/>
    <w:rsid w:val="0080557D"/>
    <w:rsid w:val="0080582C"/>
    <w:rsid w:val="008061A1"/>
    <w:rsid w:val="0080664B"/>
    <w:rsid w:val="0080679B"/>
    <w:rsid w:val="00806813"/>
    <w:rsid w:val="00807072"/>
    <w:rsid w:val="00807222"/>
    <w:rsid w:val="00807982"/>
    <w:rsid w:val="00807B4F"/>
    <w:rsid w:val="0081024F"/>
    <w:rsid w:val="008105B0"/>
    <w:rsid w:val="0081071D"/>
    <w:rsid w:val="008113CC"/>
    <w:rsid w:val="00811439"/>
    <w:rsid w:val="008115B9"/>
    <w:rsid w:val="00811817"/>
    <w:rsid w:val="0081283C"/>
    <w:rsid w:val="00813255"/>
    <w:rsid w:val="008132F4"/>
    <w:rsid w:val="0081365C"/>
    <w:rsid w:val="008139FE"/>
    <w:rsid w:val="00813DED"/>
    <w:rsid w:val="008142A9"/>
    <w:rsid w:val="0081466B"/>
    <w:rsid w:val="00814A7A"/>
    <w:rsid w:val="00814B0F"/>
    <w:rsid w:val="00815463"/>
    <w:rsid w:val="00815695"/>
    <w:rsid w:val="00815986"/>
    <w:rsid w:val="00815BFC"/>
    <w:rsid w:val="00815D8A"/>
    <w:rsid w:val="00816EA3"/>
    <w:rsid w:val="008170B9"/>
    <w:rsid w:val="0081730A"/>
    <w:rsid w:val="00817BC0"/>
    <w:rsid w:val="00817EB4"/>
    <w:rsid w:val="00820044"/>
    <w:rsid w:val="008209A9"/>
    <w:rsid w:val="00820F07"/>
    <w:rsid w:val="00821E14"/>
    <w:rsid w:val="00822618"/>
    <w:rsid w:val="008227CD"/>
    <w:rsid w:val="00822C13"/>
    <w:rsid w:val="00823081"/>
    <w:rsid w:val="008238D2"/>
    <w:rsid w:val="00823B4E"/>
    <w:rsid w:val="00824F97"/>
    <w:rsid w:val="008250CF"/>
    <w:rsid w:val="00825169"/>
    <w:rsid w:val="008260EF"/>
    <w:rsid w:val="00826B4F"/>
    <w:rsid w:val="0082706B"/>
    <w:rsid w:val="00827370"/>
    <w:rsid w:val="008278DF"/>
    <w:rsid w:val="00827CA8"/>
    <w:rsid w:val="00830018"/>
    <w:rsid w:val="008309A3"/>
    <w:rsid w:val="008319CC"/>
    <w:rsid w:val="008321BE"/>
    <w:rsid w:val="00832510"/>
    <w:rsid w:val="008326B1"/>
    <w:rsid w:val="0083288E"/>
    <w:rsid w:val="008329E1"/>
    <w:rsid w:val="00832AC3"/>
    <w:rsid w:val="00832FB0"/>
    <w:rsid w:val="00833136"/>
    <w:rsid w:val="008332FF"/>
    <w:rsid w:val="008336AA"/>
    <w:rsid w:val="00833F72"/>
    <w:rsid w:val="00834947"/>
    <w:rsid w:val="008352B0"/>
    <w:rsid w:val="0083532C"/>
    <w:rsid w:val="00835535"/>
    <w:rsid w:val="008358C8"/>
    <w:rsid w:val="00836286"/>
    <w:rsid w:val="00836DFC"/>
    <w:rsid w:val="00837629"/>
    <w:rsid w:val="0083796F"/>
    <w:rsid w:val="00837ECF"/>
    <w:rsid w:val="008401CE"/>
    <w:rsid w:val="00840AB0"/>
    <w:rsid w:val="00840CC0"/>
    <w:rsid w:val="00841468"/>
    <w:rsid w:val="0084147D"/>
    <w:rsid w:val="00841D3D"/>
    <w:rsid w:val="00841F5F"/>
    <w:rsid w:val="0084294B"/>
    <w:rsid w:val="008440C6"/>
    <w:rsid w:val="0084434C"/>
    <w:rsid w:val="00844CF7"/>
    <w:rsid w:val="00844F3A"/>
    <w:rsid w:val="00845950"/>
    <w:rsid w:val="00845BC5"/>
    <w:rsid w:val="00846371"/>
    <w:rsid w:val="00846386"/>
    <w:rsid w:val="00846885"/>
    <w:rsid w:val="00846D46"/>
    <w:rsid w:val="00847536"/>
    <w:rsid w:val="00847DB2"/>
    <w:rsid w:val="00847F70"/>
    <w:rsid w:val="0085061C"/>
    <w:rsid w:val="00850937"/>
    <w:rsid w:val="00850AE4"/>
    <w:rsid w:val="00850F4D"/>
    <w:rsid w:val="008519F4"/>
    <w:rsid w:val="00851A6E"/>
    <w:rsid w:val="008524B7"/>
    <w:rsid w:val="00852B09"/>
    <w:rsid w:val="00852D59"/>
    <w:rsid w:val="00852D6B"/>
    <w:rsid w:val="00852FF3"/>
    <w:rsid w:val="00853459"/>
    <w:rsid w:val="00853974"/>
    <w:rsid w:val="00853A39"/>
    <w:rsid w:val="00853C86"/>
    <w:rsid w:val="00854648"/>
    <w:rsid w:val="00854B69"/>
    <w:rsid w:val="00854EB3"/>
    <w:rsid w:val="0085590A"/>
    <w:rsid w:val="00855B90"/>
    <w:rsid w:val="00855BC3"/>
    <w:rsid w:val="008572F1"/>
    <w:rsid w:val="008603ED"/>
    <w:rsid w:val="00860478"/>
    <w:rsid w:val="008604F2"/>
    <w:rsid w:val="00860A9D"/>
    <w:rsid w:val="00860D27"/>
    <w:rsid w:val="00860EEE"/>
    <w:rsid w:val="00861092"/>
    <w:rsid w:val="00861480"/>
    <w:rsid w:val="00861ADC"/>
    <w:rsid w:val="00861B25"/>
    <w:rsid w:val="00862167"/>
    <w:rsid w:val="00862B54"/>
    <w:rsid w:val="008633D7"/>
    <w:rsid w:val="008641A3"/>
    <w:rsid w:val="00864338"/>
    <w:rsid w:val="00864366"/>
    <w:rsid w:val="00864403"/>
    <w:rsid w:val="0086446D"/>
    <w:rsid w:val="00864545"/>
    <w:rsid w:val="00864606"/>
    <w:rsid w:val="0086472B"/>
    <w:rsid w:val="00865522"/>
    <w:rsid w:val="00865972"/>
    <w:rsid w:val="00865B0C"/>
    <w:rsid w:val="00865FFD"/>
    <w:rsid w:val="00866D82"/>
    <w:rsid w:val="00866F0C"/>
    <w:rsid w:val="0086718F"/>
    <w:rsid w:val="008678CC"/>
    <w:rsid w:val="00867E71"/>
    <w:rsid w:val="0087075F"/>
    <w:rsid w:val="008719AB"/>
    <w:rsid w:val="00872C6B"/>
    <w:rsid w:val="00872F75"/>
    <w:rsid w:val="00873523"/>
    <w:rsid w:val="008735A8"/>
    <w:rsid w:val="00873BEE"/>
    <w:rsid w:val="00874504"/>
    <w:rsid w:val="00874861"/>
    <w:rsid w:val="00874C4E"/>
    <w:rsid w:val="00875A16"/>
    <w:rsid w:val="00875E8D"/>
    <w:rsid w:val="00876301"/>
    <w:rsid w:val="00876353"/>
    <w:rsid w:val="00877114"/>
    <w:rsid w:val="00877451"/>
    <w:rsid w:val="0087778E"/>
    <w:rsid w:val="008777CA"/>
    <w:rsid w:val="00877D37"/>
    <w:rsid w:val="00880158"/>
    <w:rsid w:val="00880160"/>
    <w:rsid w:val="0088076C"/>
    <w:rsid w:val="008814C1"/>
    <w:rsid w:val="0088175A"/>
    <w:rsid w:val="00881D4A"/>
    <w:rsid w:val="0088374F"/>
    <w:rsid w:val="00883A14"/>
    <w:rsid w:val="0088428B"/>
    <w:rsid w:val="00884CA1"/>
    <w:rsid w:val="00885254"/>
    <w:rsid w:val="008856C8"/>
    <w:rsid w:val="00885919"/>
    <w:rsid w:val="00885CE5"/>
    <w:rsid w:val="00885E16"/>
    <w:rsid w:val="00885F77"/>
    <w:rsid w:val="00886096"/>
    <w:rsid w:val="008864E1"/>
    <w:rsid w:val="00886590"/>
    <w:rsid w:val="008870F3"/>
    <w:rsid w:val="00887A24"/>
    <w:rsid w:val="00890196"/>
    <w:rsid w:val="00890308"/>
    <w:rsid w:val="00890347"/>
    <w:rsid w:val="00890380"/>
    <w:rsid w:val="0089060E"/>
    <w:rsid w:val="008906EE"/>
    <w:rsid w:val="00890ACB"/>
    <w:rsid w:val="00890BCA"/>
    <w:rsid w:val="00890F49"/>
    <w:rsid w:val="008916D7"/>
    <w:rsid w:val="00891C5F"/>
    <w:rsid w:val="00891F11"/>
    <w:rsid w:val="00892780"/>
    <w:rsid w:val="00892A9B"/>
    <w:rsid w:val="00892FD3"/>
    <w:rsid w:val="008936F3"/>
    <w:rsid w:val="00893B26"/>
    <w:rsid w:val="00893C7E"/>
    <w:rsid w:val="008940E8"/>
    <w:rsid w:val="0089422C"/>
    <w:rsid w:val="00894B1A"/>
    <w:rsid w:val="008954B7"/>
    <w:rsid w:val="0089575E"/>
    <w:rsid w:val="008957AB"/>
    <w:rsid w:val="00895897"/>
    <w:rsid w:val="00895D08"/>
    <w:rsid w:val="00895DC5"/>
    <w:rsid w:val="00896B7B"/>
    <w:rsid w:val="00896C44"/>
    <w:rsid w:val="008973A4"/>
    <w:rsid w:val="008976F5"/>
    <w:rsid w:val="00897E1F"/>
    <w:rsid w:val="008A0138"/>
    <w:rsid w:val="008A0282"/>
    <w:rsid w:val="008A19A8"/>
    <w:rsid w:val="008A1A63"/>
    <w:rsid w:val="008A1DA3"/>
    <w:rsid w:val="008A1FFE"/>
    <w:rsid w:val="008A2120"/>
    <w:rsid w:val="008A2D95"/>
    <w:rsid w:val="008A3348"/>
    <w:rsid w:val="008A352F"/>
    <w:rsid w:val="008A3A88"/>
    <w:rsid w:val="008A3F71"/>
    <w:rsid w:val="008A3FE8"/>
    <w:rsid w:val="008A5850"/>
    <w:rsid w:val="008A6257"/>
    <w:rsid w:val="008A6824"/>
    <w:rsid w:val="008A6FC1"/>
    <w:rsid w:val="008A718A"/>
    <w:rsid w:val="008B0402"/>
    <w:rsid w:val="008B135F"/>
    <w:rsid w:val="008B1BA7"/>
    <w:rsid w:val="008B1BB0"/>
    <w:rsid w:val="008B22F7"/>
    <w:rsid w:val="008B27E3"/>
    <w:rsid w:val="008B325B"/>
    <w:rsid w:val="008B3B86"/>
    <w:rsid w:val="008B4DC7"/>
    <w:rsid w:val="008B5263"/>
    <w:rsid w:val="008B5417"/>
    <w:rsid w:val="008B563B"/>
    <w:rsid w:val="008B583F"/>
    <w:rsid w:val="008B5D59"/>
    <w:rsid w:val="008B661A"/>
    <w:rsid w:val="008B67AE"/>
    <w:rsid w:val="008B6940"/>
    <w:rsid w:val="008B6C79"/>
    <w:rsid w:val="008B6CAA"/>
    <w:rsid w:val="008B7076"/>
    <w:rsid w:val="008B7149"/>
    <w:rsid w:val="008B7431"/>
    <w:rsid w:val="008B7868"/>
    <w:rsid w:val="008B7DC5"/>
    <w:rsid w:val="008C0327"/>
    <w:rsid w:val="008C1B58"/>
    <w:rsid w:val="008C2052"/>
    <w:rsid w:val="008C289D"/>
    <w:rsid w:val="008C2B0A"/>
    <w:rsid w:val="008C2CAD"/>
    <w:rsid w:val="008C4C50"/>
    <w:rsid w:val="008C51F6"/>
    <w:rsid w:val="008C56FE"/>
    <w:rsid w:val="008C594B"/>
    <w:rsid w:val="008C5BF1"/>
    <w:rsid w:val="008C6AFD"/>
    <w:rsid w:val="008C6DCA"/>
    <w:rsid w:val="008C70C4"/>
    <w:rsid w:val="008C73DA"/>
    <w:rsid w:val="008C74F9"/>
    <w:rsid w:val="008C7C8E"/>
    <w:rsid w:val="008D0925"/>
    <w:rsid w:val="008D0964"/>
    <w:rsid w:val="008D09EA"/>
    <w:rsid w:val="008D0E43"/>
    <w:rsid w:val="008D1129"/>
    <w:rsid w:val="008D2251"/>
    <w:rsid w:val="008D256A"/>
    <w:rsid w:val="008D2584"/>
    <w:rsid w:val="008D2838"/>
    <w:rsid w:val="008D2F4E"/>
    <w:rsid w:val="008D343A"/>
    <w:rsid w:val="008D3907"/>
    <w:rsid w:val="008D3A57"/>
    <w:rsid w:val="008D3F53"/>
    <w:rsid w:val="008D4450"/>
    <w:rsid w:val="008D4BD1"/>
    <w:rsid w:val="008D4F5E"/>
    <w:rsid w:val="008D50CA"/>
    <w:rsid w:val="008D53DF"/>
    <w:rsid w:val="008D5B20"/>
    <w:rsid w:val="008D5F0D"/>
    <w:rsid w:val="008D635D"/>
    <w:rsid w:val="008D6AAC"/>
    <w:rsid w:val="008D6C6F"/>
    <w:rsid w:val="008D6D18"/>
    <w:rsid w:val="008D771E"/>
    <w:rsid w:val="008D7E57"/>
    <w:rsid w:val="008D7F3A"/>
    <w:rsid w:val="008E0B9B"/>
    <w:rsid w:val="008E0D58"/>
    <w:rsid w:val="008E0F17"/>
    <w:rsid w:val="008E1180"/>
    <w:rsid w:val="008E12B0"/>
    <w:rsid w:val="008E14CA"/>
    <w:rsid w:val="008E2482"/>
    <w:rsid w:val="008E369D"/>
    <w:rsid w:val="008E399A"/>
    <w:rsid w:val="008E3E00"/>
    <w:rsid w:val="008E3E21"/>
    <w:rsid w:val="008E5338"/>
    <w:rsid w:val="008E5369"/>
    <w:rsid w:val="008E645A"/>
    <w:rsid w:val="008E650C"/>
    <w:rsid w:val="008E6881"/>
    <w:rsid w:val="008E6CFB"/>
    <w:rsid w:val="008E71F2"/>
    <w:rsid w:val="008E76ED"/>
    <w:rsid w:val="008E7807"/>
    <w:rsid w:val="008E790A"/>
    <w:rsid w:val="008F047C"/>
    <w:rsid w:val="008F0CF1"/>
    <w:rsid w:val="008F1F18"/>
    <w:rsid w:val="008F2821"/>
    <w:rsid w:val="008F2EEA"/>
    <w:rsid w:val="008F30AC"/>
    <w:rsid w:val="008F37BF"/>
    <w:rsid w:val="008F3E7D"/>
    <w:rsid w:val="008F46EE"/>
    <w:rsid w:val="008F4899"/>
    <w:rsid w:val="008F4967"/>
    <w:rsid w:val="008F4A54"/>
    <w:rsid w:val="008F4D55"/>
    <w:rsid w:val="008F5DD5"/>
    <w:rsid w:val="008F60A8"/>
    <w:rsid w:val="008F69A4"/>
    <w:rsid w:val="008F6D83"/>
    <w:rsid w:val="008F6DAB"/>
    <w:rsid w:val="008F78BF"/>
    <w:rsid w:val="008F7CAB"/>
    <w:rsid w:val="008F7DBC"/>
    <w:rsid w:val="008F7DC4"/>
    <w:rsid w:val="009010D3"/>
    <w:rsid w:val="00901366"/>
    <w:rsid w:val="009013D9"/>
    <w:rsid w:val="009013F7"/>
    <w:rsid w:val="0090148A"/>
    <w:rsid w:val="00901503"/>
    <w:rsid w:val="0090163C"/>
    <w:rsid w:val="00901764"/>
    <w:rsid w:val="00901BA6"/>
    <w:rsid w:val="00901E14"/>
    <w:rsid w:val="00901E84"/>
    <w:rsid w:val="00902739"/>
    <w:rsid w:val="00902829"/>
    <w:rsid w:val="00904695"/>
    <w:rsid w:val="009046B2"/>
    <w:rsid w:val="0090483E"/>
    <w:rsid w:val="00904B66"/>
    <w:rsid w:val="00904C20"/>
    <w:rsid w:val="00905095"/>
    <w:rsid w:val="00905251"/>
    <w:rsid w:val="00905660"/>
    <w:rsid w:val="00906261"/>
    <w:rsid w:val="009064AA"/>
    <w:rsid w:val="009074EE"/>
    <w:rsid w:val="009078A4"/>
    <w:rsid w:val="00907D33"/>
    <w:rsid w:val="00907DA7"/>
    <w:rsid w:val="00907F82"/>
    <w:rsid w:val="009101F5"/>
    <w:rsid w:val="0091085B"/>
    <w:rsid w:val="00910DD2"/>
    <w:rsid w:val="00911758"/>
    <w:rsid w:val="0091198D"/>
    <w:rsid w:val="00911EB3"/>
    <w:rsid w:val="009128AA"/>
    <w:rsid w:val="00912B61"/>
    <w:rsid w:val="00912E8E"/>
    <w:rsid w:val="0091307C"/>
    <w:rsid w:val="00913868"/>
    <w:rsid w:val="00913ADB"/>
    <w:rsid w:val="009141EB"/>
    <w:rsid w:val="00914661"/>
    <w:rsid w:val="0091466A"/>
    <w:rsid w:val="009153DF"/>
    <w:rsid w:val="0091552A"/>
    <w:rsid w:val="0091590A"/>
    <w:rsid w:val="00915B06"/>
    <w:rsid w:val="00915B92"/>
    <w:rsid w:val="00915D25"/>
    <w:rsid w:val="00915F11"/>
    <w:rsid w:val="009166CD"/>
    <w:rsid w:val="00916B81"/>
    <w:rsid w:val="00916E0F"/>
    <w:rsid w:val="00916E5D"/>
    <w:rsid w:val="00917102"/>
    <w:rsid w:val="009179EB"/>
    <w:rsid w:val="00917C4E"/>
    <w:rsid w:val="00917E0F"/>
    <w:rsid w:val="009205B1"/>
    <w:rsid w:val="0092089D"/>
    <w:rsid w:val="00920D14"/>
    <w:rsid w:val="00921380"/>
    <w:rsid w:val="00921887"/>
    <w:rsid w:val="00921C8D"/>
    <w:rsid w:val="00921ECC"/>
    <w:rsid w:val="00922485"/>
    <w:rsid w:val="0092260C"/>
    <w:rsid w:val="00922791"/>
    <w:rsid w:val="009229EA"/>
    <w:rsid w:val="00922A2A"/>
    <w:rsid w:val="00922B85"/>
    <w:rsid w:val="0092323E"/>
    <w:rsid w:val="00923B17"/>
    <w:rsid w:val="009247E5"/>
    <w:rsid w:val="00925C33"/>
    <w:rsid w:val="00925F19"/>
    <w:rsid w:val="0092678C"/>
    <w:rsid w:val="0092685D"/>
    <w:rsid w:val="00926CF1"/>
    <w:rsid w:val="00926D91"/>
    <w:rsid w:val="00926DC9"/>
    <w:rsid w:val="00927030"/>
    <w:rsid w:val="00927E8E"/>
    <w:rsid w:val="0093108D"/>
    <w:rsid w:val="0093136A"/>
    <w:rsid w:val="009314A6"/>
    <w:rsid w:val="009317AA"/>
    <w:rsid w:val="00932E01"/>
    <w:rsid w:val="00932F37"/>
    <w:rsid w:val="00934274"/>
    <w:rsid w:val="0093450C"/>
    <w:rsid w:val="00935EDC"/>
    <w:rsid w:val="009360BD"/>
    <w:rsid w:val="00936A43"/>
    <w:rsid w:val="00936D79"/>
    <w:rsid w:val="00936F98"/>
    <w:rsid w:val="00937083"/>
    <w:rsid w:val="00937138"/>
    <w:rsid w:val="00937379"/>
    <w:rsid w:val="00937C38"/>
    <w:rsid w:val="00937D75"/>
    <w:rsid w:val="00937EDA"/>
    <w:rsid w:val="00937EDF"/>
    <w:rsid w:val="00940207"/>
    <w:rsid w:val="00940DC5"/>
    <w:rsid w:val="009415D0"/>
    <w:rsid w:val="0094183B"/>
    <w:rsid w:val="00941992"/>
    <w:rsid w:val="00941A2F"/>
    <w:rsid w:val="00941A5A"/>
    <w:rsid w:val="00941FE1"/>
    <w:rsid w:val="009434BB"/>
    <w:rsid w:val="00943784"/>
    <w:rsid w:val="00943A20"/>
    <w:rsid w:val="00943A53"/>
    <w:rsid w:val="0094432A"/>
    <w:rsid w:val="00944810"/>
    <w:rsid w:val="00944833"/>
    <w:rsid w:val="00944F1D"/>
    <w:rsid w:val="00945DE2"/>
    <w:rsid w:val="0094639C"/>
    <w:rsid w:val="009466CF"/>
    <w:rsid w:val="00947871"/>
    <w:rsid w:val="00947A9F"/>
    <w:rsid w:val="00950607"/>
    <w:rsid w:val="00950C4C"/>
    <w:rsid w:val="009516D8"/>
    <w:rsid w:val="0095222F"/>
    <w:rsid w:val="0095243C"/>
    <w:rsid w:val="00952B9B"/>
    <w:rsid w:val="00952F74"/>
    <w:rsid w:val="009530A6"/>
    <w:rsid w:val="009539D8"/>
    <w:rsid w:val="00953C12"/>
    <w:rsid w:val="00954005"/>
    <w:rsid w:val="00954090"/>
    <w:rsid w:val="00954572"/>
    <w:rsid w:val="009553F6"/>
    <w:rsid w:val="0095559A"/>
    <w:rsid w:val="00956069"/>
    <w:rsid w:val="009563DF"/>
    <w:rsid w:val="00956700"/>
    <w:rsid w:val="00956924"/>
    <w:rsid w:val="00956FA5"/>
    <w:rsid w:val="00957436"/>
    <w:rsid w:val="00957550"/>
    <w:rsid w:val="009575AC"/>
    <w:rsid w:val="009579A5"/>
    <w:rsid w:val="00957EF2"/>
    <w:rsid w:val="00960C0A"/>
    <w:rsid w:val="00960F37"/>
    <w:rsid w:val="009625AD"/>
    <w:rsid w:val="0096265E"/>
    <w:rsid w:val="009627AA"/>
    <w:rsid w:val="0096306A"/>
    <w:rsid w:val="009636B0"/>
    <w:rsid w:val="00964345"/>
    <w:rsid w:val="009645C4"/>
    <w:rsid w:val="009647CB"/>
    <w:rsid w:val="009647F2"/>
    <w:rsid w:val="00965160"/>
    <w:rsid w:val="009651EB"/>
    <w:rsid w:val="009655A1"/>
    <w:rsid w:val="0096595F"/>
    <w:rsid w:val="00966624"/>
    <w:rsid w:val="00966C5A"/>
    <w:rsid w:val="00966FA2"/>
    <w:rsid w:val="0096737D"/>
    <w:rsid w:val="009673F8"/>
    <w:rsid w:val="00967A27"/>
    <w:rsid w:val="00970560"/>
    <w:rsid w:val="009706B7"/>
    <w:rsid w:val="00970823"/>
    <w:rsid w:val="00970A18"/>
    <w:rsid w:val="00970E92"/>
    <w:rsid w:val="00970F23"/>
    <w:rsid w:val="00971372"/>
    <w:rsid w:val="00971498"/>
    <w:rsid w:val="00971687"/>
    <w:rsid w:val="009721BC"/>
    <w:rsid w:val="00972998"/>
    <w:rsid w:val="009729B9"/>
    <w:rsid w:val="009730C8"/>
    <w:rsid w:val="009734AD"/>
    <w:rsid w:val="00973662"/>
    <w:rsid w:val="00973CB9"/>
    <w:rsid w:val="00973D64"/>
    <w:rsid w:val="00973F7B"/>
    <w:rsid w:val="00973F8F"/>
    <w:rsid w:val="009740DC"/>
    <w:rsid w:val="00974118"/>
    <w:rsid w:val="009742BA"/>
    <w:rsid w:val="009746EC"/>
    <w:rsid w:val="00974B3F"/>
    <w:rsid w:val="00974BA2"/>
    <w:rsid w:val="00974BC6"/>
    <w:rsid w:val="00974D23"/>
    <w:rsid w:val="0097536E"/>
    <w:rsid w:val="00975B67"/>
    <w:rsid w:val="00976251"/>
    <w:rsid w:val="009764A9"/>
    <w:rsid w:val="00976549"/>
    <w:rsid w:val="0097698D"/>
    <w:rsid w:val="00976ABD"/>
    <w:rsid w:val="00977050"/>
    <w:rsid w:val="009776A1"/>
    <w:rsid w:val="009779DC"/>
    <w:rsid w:val="00977A68"/>
    <w:rsid w:val="00977B5C"/>
    <w:rsid w:val="00980376"/>
    <w:rsid w:val="009807C4"/>
    <w:rsid w:val="00980BE2"/>
    <w:rsid w:val="00980E74"/>
    <w:rsid w:val="0098113A"/>
    <w:rsid w:val="00981236"/>
    <w:rsid w:val="009812E9"/>
    <w:rsid w:val="0098177C"/>
    <w:rsid w:val="00981B52"/>
    <w:rsid w:val="00981D79"/>
    <w:rsid w:val="009823DD"/>
    <w:rsid w:val="009823DE"/>
    <w:rsid w:val="009829C2"/>
    <w:rsid w:val="009839F8"/>
    <w:rsid w:val="009839FF"/>
    <w:rsid w:val="00983B05"/>
    <w:rsid w:val="00983B54"/>
    <w:rsid w:val="00983C53"/>
    <w:rsid w:val="00983E19"/>
    <w:rsid w:val="0098430C"/>
    <w:rsid w:val="00984820"/>
    <w:rsid w:val="00984A63"/>
    <w:rsid w:val="00984C58"/>
    <w:rsid w:val="009857F7"/>
    <w:rsid w:val="0098671B"/>
    <w:rsid w:val="00987089"/>
    <w:rsid w:val="0098723F"/>
    <w:rsid w:val="0098725A"/>
    <w:rsid w:val="00987535"/>
    <w:rsid w:val="009877D4"/>
    <w:rsid w:val="00987DA6"/>
    <w:rsid w:val="009903D3"/>
    <w:rsid w:val="00990F05"/>
    <w:rsid w:val="009917BF"/>
    <w:rsid w:val="00992038"/>
    <w:rsid w:val="009926CF"/>
    <w:rsid w:val="00992931"/>
    <w:rsid w:val="00992AF4"/>
    <w:rsid w:val="009937F1"/>
    <w:rsid w:val="00994667"/>
    <w:rsid w:val="00994B62"/>
    <w:rsid w:val="00994F8F"/>
    <w:rsid w:val="00995FFF"/>
    <w:rsid w:val="00996213"/>
    <w:rsid w:val="009978DA"/>
    <w:rsid w:val="00997E9A"/>
    <w:rsid w:val="00997ECA"/>
    <w:rsid w:val="009A0373"/>
    <w:rsid w:val="009A0517"/>
    <w:rsid w:val="009A0C4A"/>
    <w:rsid w:val="009A1095"/>
    <w:rsid w:val="009A14FE"/>
    <w:rsid w:val="009A1CE9"/>
    <w:rsid w:val="009A4095"/>
    <w:rsid w:val="009A452B"/>
    <w:rsid w:val="009A45D3"/>
    <w:rsid w:val="009A45E2"/>
    <w:rsid w:val="009A477E"/>
    <w:rsid w:val="009A4D0E"/>
    <w:rsid w:val="009A4D56"/>
    <w:rsid w:val="009A4F52"/>
    <w:rsid w:val="009A51E2"/>
    <w:rsid w:val="009A55B1"/>
    <w:rsid w:val="009A5747"/>
    <w:rsid w:val="009A5F9A"/>
    <w:rsid w:val="009A625C"/>
    <w:rsid w:val="009A6D1F"/>
    <w:rsid w:val="009A6D78"/>
    <w:rsid w:val="009A7026"/>
    <w:rsid w:val="009A722D"/>
    <w:rsid w:val="009A7383"/>
    <w:rsid w:val="009A7C3F"/>
    <w:rsid w:val="009B047F"/>
    <w:rsid w:val="009B071A"/>
    <w:rsid w:val="009B08A0"/>
    <w:rsid w:val="009B0BA0"/>
    <w:rsid w:val="009B0C52"/>
    <w:rsid w:val="009B0CAE"/>
    <w:rsid w:val="009B10C5"/>
    <w:rsid w:val="009B1446"/>
    <w:rsid w:val="009B1854"/>
    <w:rsid w:val="009B1859"/>
    <w:rsid w:val="009B1B00"/>
    <w:rsid w:val="009B1BD1"/>
    <w:rsid w:val="009B1CDD"/>
    <w:rsid w:val="009B1DEA"/>
    <w:rsid w:val="009B22D7"/>
    <w:rsid w:val="009B264A"/>
    <w:rsid w:val="009B2E04"/>
    <w:rsid w:val="009B3181"/>
    <w:rsid w:val="009B334C"/>
    <w:rsid w:val="009B3DB3"/>
    <w:rsid w:val="009B4076"/>
    <w:rsid w:val="009B4546"/>
    <w:rsid w:val="009B509A"/>
    <w:rsid w:val="009B5200"/>
    <w:rsid w:val="009B549D"/>
    <w:rsid w:val="009B5D72"/>
    <w:rsid w:val="009B628F"/>
    <w:rsid w:val="009B62B5"/>
    <w:rsid w:val="009B69D2"/>
    <w:rsid w:val="009B724D"/>
    <w:rsid w:val="009B7439"/>
    <w:rsid w:val="009B7A0C"/>
    <w:rsid w:val="009B7C49"/>
    <w:rsid w:val="009C0AF4"/>
    <w:rsid w:val="009C0BCA"/>
    <w:rsid w:val="009C0EB5"/>
    <w:rsid w:val="009C0FDA"/>
    <w:rsid w:val="009C1155"/>
    <w:rsid w:val="009C180D"/>
    <w:rsid w:val="009C1EDA"/>
    <w:rsid w:val="009C20D1"/>
    <w:rsid w:val="009C246B"/>
    <w:rsid w:val="009C2A55"/>
    <w:rsid w:val="009C2E4C"/>
    <w:rsid w:val="009C2E77"/>
    <w:rsid w:val="009C2EE7"/>
    <w:rsid w:val="009C3034"/>
    <w:rsid w:val="009C333F"/>
    <w:rsid w:val="009C33D2"/>
    <w:rsid w:val="009C35A2"/>
    <w:rsid w:val="009C40B5"/>
    <w:rsid w:val="009C4603"/>
    <w:rsid w:val="009C4656"/>
    <w:rsid w:val="009C4902"/>
    <w:rsid w:val="009C4F2D"/>
    <w:rsid w:val="009C51C3"/>
    <w:rsid w:val="009C5383"/>
    <w:rsid w:val="009C555D"/>
    <w:rsid w:val="009C5C90"/>
    <w:rsid w:val="009C686F"/>
    <w:rsid w:val="009C6B6C"/>
    <w:rsid w:val="009C6CD3"/>
    <w:rsid w:val="009C74C5"/>
    <w:rsid w:val="009C7D91"/>
    <w:rsid w:val="009C7E7D"/>
    <w:rsid w:val="009C7E85"/>
    <w:rsid w:val="009C7F7C"/>
    <w:rsid w:val="009D0370"/>
    <w:rsid w:val="009D0DED"/>
    <w:rsid w:val="009D198C"/>
    <w:rsid w:val="009D19FF"/>
    <w:rsid w:val="009D25F6"/>
    <w:rsid w:val="009D32FA"/>
    <w:rsid w:val="009D3579"/>
    <w:rsid w:val="009D3C09"/>
    <w:rsid w:val="009D3D0E"/>
    <w:rsid w:val="009D3F8F"/>
    <w:rsid w:val="009D457C"/>
    <w:rsid w:val="009D4908"/>
    <w:rsid w:val="009D4E80"/>
    <w:rsid w:val="009D5630"/>
    <w:rsid w:val="009D5784"/>
    <w:rsid w:val="009D5BA0"/>
    <w:rsid w:val="009D5D52"/>
    <w:rsid w:val="009D6035"/>
    <w:rsid w:val="009D62F9"/>
    <w:rsid w:val="009D64FA"/>
    <w:rsid w:val="009D6BFC"/>
    <w:rsid w:val="009D7ABE"/>
    <w:rsid w:val="009D7CE8"/>
    <w:rsid w:val="009E086C"/>
    <w:rsid w:val="009E09D7"/>
    <w:rsid w:val="009E0DD1"/>
    <w:rsid w:val="009E1292"/>
    <w:rsid w:val="009E15D1"/>
    <w:rsid w:val="009E274C"/>
    <w:rsid w:val="009E295B"/>
    <w:rsid w:val="009E3107"/>
    <w:rsid w:val="009E35E9"/>
    <w:rsid w:val="009E3AF5"/>
    <w:rsid w:val="009E44FC"/>
    <w:rsid w:val="009E5502"/>
    <w:rsid w:val="009E5AEB"/>
    <w:rsid w:val="009E5C72"/>
    <w:rsid w:val="009E61AE"/>
    <w:rsid w:val="009E7071"/>
    <w:rsid w:val="009E7595"/>
    <w:rsid w:val="009E787B"/>
    <w:rsid w:val="009E7928"/>
    <w:rsid w:val="009F1987"/>
    <w:rsid w:val="009F2507"/>
    <w:rsid w:val="009F25C9"/>
    <w:rsid w:val="009F2A15"/>
    <w:rsid w:val="009F2C94"/>
    <w:rsid w:val="009F3C01"/>
    <w:rsid w:val="009F4189"/>
    <w:rsid w:val="009F41FA"/>
    <w:rsid w:val="009F4E18"/>
    <w:rsid w:val="009F5118"/>
    <w:rsid w:val="009F5254"/>
    <w:rsid w:val="009F5492"/>
    <w:rsid w:val="009F56EA"/>
    <w:rsid w:val="009F57AB"/>
    <w:rsid w:val="009F5B75"/>
    <w:rsid w:val="009F5BBD"/>
    <w:rsid w:val="009F6845"/>
    <w:rsid w:val="009F6A45"/>
    <w:rsid w:val="009F6A50"/>
    <w:rsid w:val="009F6AE8"/>
    <w:rsid w:val="009F7227"/>
    <w:rsid w:val="009F72A1"/>
    <w:rsid w:val="009F762D"/>
    <w:rsid w:val="009F785A"/>
    <w:rsid w:val="009F7C78"/>
    <w:rsid w:val="00A008BB"/>
    <w:rsid w:val="00A00ABB"/>
    <w:rsid w:val="00A01169"/>
    <w:rsid w:val="00A01CBA"/>
    <w:rsid w:val="00A01DCA"/>
    <w:rsid w:val="00A026E8"/>
    <w:rsid w:val="00A030B1"/>
    <w:rsid w:val="00A03110"/>
    <w:rsid w:val="00A03257"/>
    <w:rsid w:val="00A032D0"/>
    <w:rsid w:val="00A03B8D"/>
    <w:rsid w:val="00A0419F"/>
    <w:rsid w:val="00A04416"/>
    <w:rsid w:val="00A04BD9"/>
    <w:rsid w:val="00A05309"/>
    <w:rsid w:val="00A057E3"/>
    <w:rsid w:val="00A0628A"/>
    <w:rsid w:val="00A06D1D"/>
    <w:rsid w:val="00A06F41"/>
    <w:rsid w:val="00A06FD3"/>
    <w:rsid w:val="00A0728D"/>
    <w:rsid w:val="00A07E05"/>
    <w:rsid w:val="00A101AB"/>
    <w:rsid w:val="00A109A2"/>
    <w:rsid w:val="00A1112C"/>
    <w:rsid w:val="00A11C50"/>
    <w:rsid w:val="00A12030"/>
    <w:rsid w:val="00A125A1"/>
    <w:rsid w:val="00A13212"/>
    <w:rsid w:val="00A13A17"/>
    <w:rsid w:val="00A13C95"/>
    <w:rsid w:val="00A141AB"/>
    <w:rsid w:val="00A1494E"/>
    <w:rsid w:val="00A149AC"/>
    <w:rsid w:val="00A1517C"/>
    <w:rsid w:val="00A15223"/>
    <w:rsid w:val="00A152EE"/>
    <w:rsid w:val="00A15515"/>
    <w:rsid w:val="00A1574E"/>
    <w:rsid w:val="00A15842"/>
    <w:rsid w:val="00A15946"/>
    <w:rsid w:val="00A15948"/>
    <w:rsid w:val="00A164F3"/>
    <w:rsid w:val="00A16622"/>
    <w:rsid w:val="00A168D1"/>
    <w:rsid w:val="00A17C41"/>
    <w:rsid w:val="00A20089"/>
    <w:rsid w:val="00A2043A"/>
    <w:rsid w:val="00A20E2A"/>
    <w:rsid w:val="00A20F33"/>
    <w:rsid w:val="00A2141E"/>
    <w:rsid w:val="00A2159B"/>
    <w:rsid w:val="00A219F8"/>
    <w:rsid w:val="00A221F8"/>
    <w:rsid w:val="00A2240F"/>
    <w:rsid w:val="00A22BEF"/>
    <w:rsid w:val="00A23448"/>
    <w:rsid w:val="00A2348D"/>
    <w:rsid w:val="00A23CAA"/>
    <w:rsid w:val="00A24F8D"/>
    <w:rsid w:val="00A2571A"/>
    <w:rsid w:val="00A2619C"/>
    <w:rsid w:val="00A261B4"/>
    <w:rsid w:val="00A26D55"/>
    <w:rsid w:val="00A26DBD"/>
    <w:rsid w:val="00A27572"/>
    <w:rsid w:val="00A27B83"/>
    <w:rsid w:val="00A27DCB"/>
    <w:rsid w:val="00A3061D"/>
    <w:rsid w:val="00A306EA"/>
    <w:rsid w:val="00A30714"/>
    <w:rsid w:val="00A30AFB"/>
    <w:rsid w:val="00A30B10"/>
    <w:rsid w:val="00A3124B"/>
    <w:rsid w:val="00A31487"/>
    <w:rsid w:val="00A31935"/>
    <w:rsid w:val="00A31DA4"/>
    <w:rsid w:val="00A31DD8"/>
    <w:rsid w:val="00A32341"/>
    <w:rsid w:val="00A323F9"/>
    <w:rsid w:val="00A33260"/>
    <w:rsid w:val="00A337AE"/>
    <w:rsid w:val="00A3423F"/>
    <w:rsid w:val="00A345E6"/>
    <w:rsid w:val="00A3461D"/>
    <w:rsid w:val="00A34693"/>
    <w:rsid w:val="00A34E3C"/>
    <w:rsid w:val="00A35C09"/>
    <w:rsid w:val="00A36110"/>
    <w:rsid w:val="00A362F1"/>
    <w:rsid w:val="00A36D70"/>
    <w:rsid w:val="00A404FE"/>
    <w:rsid w:val="00A40DE9"/>
    <w:rsid w:val="00A417E5"/>
    <w:rsid w:val="00A41EF0"/>
    <w:rsid w:val="00A4214C"/>
    <w:rsid w:val="00A4288F"/>
    <w:rsid w:val="00A428CE"/>
    <w:rsid w:val="00A4312C"/>
    <w:rsid w:val="00A43BBB"/>
    <w:rsid w:val="00A4418C"/>
    <w:rsid w:val="00A447D2"/>
    <w:rsid w:val="00A44BD8"/>
    <w:rsid w:val="00A45CA3"/>
    <w:rsid w:val="00A45DC2"/>
    <w:rsid w:val="00A461C1"/>
    <w:rsid w:val="00A463A4"/>
    <w:rsid w:val="00A477E9"/>
    <w:rsid w:val="00A47968"/>
    <w:rsid w:val="00A47D71"/>
    <w:rsid w:val="00A50AE9"/>
    <w:rsid w:val="00A51E0E"/>
    <w:rsid w:val="00A520A3"/>
    <w:rsid w:val="00A523B2"/>
    <w:rsid w:val="00A5253A"/>
    <w:rsid w:val="00A526BE"/>
    <w:rsid w:val="00A52AE5"/>
    <w:rsid w:val="00A52D03"/>
    <w:rsid w:val="00A53380"/>
    <w:rsid w:val="00A538DA"/>
    <w:rsid w:val="00A5403F"/>
    <w:rsid w:val="00A540E3"/>
    <w:rsid w:val="00A54848"/>
    <w:rsid w:val="00A54904"/>
    <w:rsid w:val="00A54A11"/>
    <w:rsid w:val="00A551F0"/>
    <w:rsid w:val="00A553BA"/>
    <w:rsid w:val="00A559B6"/>
    <w:rsid w:val="00A55BED"/>
    <w:rsid w:val="00A55E54"/>
    <w:rsid w:val="00A56E28"/>
    <w:rsid w:val="00A5701D"/>
    <w:rsid w:val="00A57515"/>
    <w:rsid w:val="00A57A69"/>
    <w:rsid w:val="00A57B9A"/>
    <w:rsid w:val="00A602D9"/>
    <w:rsid w:val="00A603E3"/>
    <w:rsid w:val="00A60510"/>
    <w:rsid w:val="00A607AF"/>
    <w:rsid w:val="00A60AA9"/>
    <w:rsid w:val="00A60FFA"/>
    <w:rsid w:val="00A61FE4"/>
    <w:rsid w:val="00A62A61"/>
    <w:rsid w:val="00A62B87"/>
    <w:rsid w:val="00A63356"/>
    <w:rsid w:val="00A63461"/>
    <w:rsid w:val="00A6478F"/>
    <w:rsid w:val="00A64E80"/>
    <w:rsid w:val="00A65023"/>
    <w:rsid w:val="00A651C2"/>
    <w:rsid w:val="00A653E8"/>
    <w:rsid w:val="00A65726"/>
    <w:rsid w:val="00A6604B"/>
    <w:rsid w:val="00A66D98"/>
    <w:rsid w:val="00A66EA9"/>
    <w:rsid w:val="00A66F78"/>
    <w:rsid w:val="00A6710C"/>
    <w:rsid w:val="00A67A4F"/>
    <w:rsid w:val="00A67F05"/>
    <w:rsid w:val="00A709D2"/>
    <w:rsid w:val="00A70A44"/>
    <w:rsid w:val="00A70B99"/>
    <w:rsid w:val="00A712F8"/>
    <w:rsid w:val="00A716E1"/>
    <w:rsid w:val="00A716F0"/>
    <w:rsid w:val="00A71C83"/>
    <w:rsid w:val="00A71E8E"/>
    <w:rsid w:val="00A71F05"/>
    <w:rsid w:val="00A72B51"/>
    <w:rsid w:val="00A72C33"/>
    <w:rsid w:val="00A73220"/>
    <w:rsid w:val="00A7380C"/>
    <w:rsid w:val="00A742E8"/>
    <w:rsid w:val="00A7452F"/>
    <w:rsid w:val="00A74659"/>
    <w:rsid w:val="00A74A86"/>
    <w:rsid w:val="00A74BD7"/>
    <w:rsid w:val="00A74E16"/>
    <w:rsid w:val="00A7619D"/>
    <w:rsid w:val="00A764AA"/>
    <w:rsid w:val="00A76A94"/>
    <w:rsid w:val="00A770DF"/>
    <w:rsid w:val="00A77AA2"/>
    <w:rsid w:val="00A77BA0"/>
    <w:rsid w:val="00A77C22"/>
    <w:rsid w:val="00A77DD1"/>
    <w:rsid w:val="00A803B3"/>
    <w:rsid w:val="00A80F5D"/>
    <w:rsid w:val="00A80F88"/>
    <w:rsid w:val="00A81043"/>
    <w:rsid w:val="00A81140"/>
    <w:rsid w:val="00A811EE"/>
    <w:rsid w:val="00A814DE"/>
    <w:rsid w:val="00A82D1A"/>
    <w:rsid w:val="00A831D6"/>
    <w:rsid w:val="00A832F3"/>
    <w:rsid w:val="00A834B1"/>
    <w:rsid w:val="00A838BE"/>
    <w:rsid w:val="00A83939"/>
    <w:rsid w:val="00A83BD0"/>
    <w:rsid w:val="00A84823"/>
    <w:rsid w:val="00A85956"/>
    <w:rsid w:val="00A85FD9"/>
    <w:rsid w:val="00A86D9F"/>
    <w:rsid w:val="00A874A6"/>
    <w:rsid w:val="00A87557"/>
    <w:rsid w:val="00A87A20"/>
    <w:rsid w:val="00A905EB"/>
    <w:rsid w:val="00A90DFB"/>
    <w:rsid w:val="00A91438"/>
    <w:rsid w:val="00A91534"/>
    <w:rsid w:val="00A91A41"/>
    <w:rsid w:val="00A91F59"/>
    <w:rsid w:val="00A923B0"/>
    <w:rsid w:val="00A93726"/>
    <w:rsid w:val="00A93BB3"/>
    <w:rsid w:val="00A94184"/>
    <w:rsid w:val="00A947A9"/>
    <w:rsid w:val="00A94D26"/>
    <w:rsid w:val="00A954AF"/>
    <w:rsid w:val="00A95BE3"/>
    <w:rsid w:val="00A95D08"/>
    <w:rsid w:val="00A95F90"/>
    <w:rsid w:val="00A962C6"/>
    <w:rsid w:val="00A97011"/>
    <w:rsid w:val="00A9759C"/>
    <w:rsid w:val="00A97B5D"/>
    <w:rsid w:val="00AA0188"/>
    <w:rsid w:val="00AA05D9"/>
    <w:rsid w:val="00AA06E2"/>
    <w:rsid w:val="00AA105B"/>
    <w:rsid w:val="00AA181D"/>
    <w:rsid w:val="00AA1E88"/>
    <w:rsid w:val="00AA21C3"/>
    <w:rsid w:val="00AA26F0"/>
    <w:rsid w:val="00AA28B0"/>
    <w:rsid w:val="00AA2F10"/>
    <w:rsid w:val="00AA2FD1"/>
    <w:rsid w:val="00AA30BB"/>
    <w:rsid w:val="00AA31EC"/>
    <w:rsid w:val="00AA351C"/>
    <w:rsid w:val="00AA3635"/>
    <w:rsid w:val="00AA3FC2"/>
    <w:rsid w:val="00AA406F"/>
    <w:rsid w:val="00AA4B1E"/>
    <w:rsid w:val="00AA4DB6"/>
    <w:rsid w:val="00AA4F64"/>
    <w:rsid w:val="00AA50FE"/>
    <w:rsid w:val="00AA5D0E"/>
    <w:rsid w:val="00AA6202"/>
    <w:rsid w:val="00AA6676"/>
    <w:rsid w:val="00AA683A"/>
    <w:rsid w:val="00AA69FC"/>
    <w:rsid w:val="00AA7700"/>
    <w:rsid w:val="00AA77C7"/>
    <w:rsid w:val="00AA7AF5"/>
    <w:rsid w:val="00AB01BA"/>
    <w:rsid w:val="00AB14EB"/>
    <w:rsid w:val="00AB1580"/>
    <w:rsid w:val="00AB1873"/>
    <w:rsid w:val="00AB1A55"/>
    <w:rsid w:val="00AB2E7F"/>
    <w:rsid w:val="00AB2EAE"/>
    <w:rsid w:val="00AB3442"/>
    <w:rsid w:val="00AB3684"/>
    <w:rsid w:val="00AB395B"/>
    <w:rsid w:val="00AB3CE0"/>
    <w:rsid w:val="00AB46C7"/>
    <w:rsid w:val="00AB4892"/>
    <w:rsid w:val="00AB504E"/>
    <w:rsid w:val="00AB51B9"/>
    <w:rsid w:val="00AB5BB6"/>
    <w:rsid w:val="00AB6E7C"/>
    <w:rsid w:val="00AB6EB7"/>
    <w:rsid w:val="00AB72F5"/>
    <w:rsid w:val="00AC0884"/>
    <w:rsid w:val="00AC09D6"/>
    <w:rsid w:val="00AC0ACD"/>
    <w:rsid w:val="00AC1377"/>
    <w:rsid w:val="00AC14B3"/>
    <w:rsid w:val="00AC1690"/>
    <w:rsid w:val="00AC17F3"/>
    <w:rsid w:val="00AC182F"/>
    <w:rsid w:val="00AC1858"/>
    <w:rsid w:val="00AC2B75"/>
    <w:rsid w:val="00AC2B78"/>
    <w:rsid w:val="00AC2CEE"/>
    <w:rsid w:val="00AC2EA3"/>
    <w:rsid w:val="00AC31E4"/>
    <w:rsid w:val="00AC37F4"/>
    <w:rsid w:val="00AC380E"/>
    <w:rsid w:val="00AC3D39"/>
    <w:rsid w:val="00AC4051"/>
    <w:rsid w:val="00AC4453"/>
    <w:rsid w:val="00AC458F"/>
    <w:rsid w:val="00AC49E2"/>
    <w:rsid w:val="00AC5649"/>
    <w:rsid w:val="00AC5785"/>
    <w:rsid w:val="00AC5932"/>
    <w:rsid w:val="00AC5D7C"/>
    <w:rsid w:val="00AC5E29"/>
    <w:rsid w:val="00AC6BC0"/>
    <w:rsid w:val="00AC6DC1"/>
    <w:rsid w:val="00AC7078"/>
    <w:rsid w:val="00AC776A"/>
    <w:rsid w:val="00AC7E12"/>
    <w:rsid w:val="00AD015A"/>
    <w:rsid w:val="00AD04AE"/>
    <w:rsid w:val="00AD05FF"/>
    <w:rsid w:val="00AD0BAE"/>
    <w:rsid w:val="00AD1114"/>
    <w:rsid w:val="00AD16CE"/>
    <w:rsid w:val="00AD1DE6"/>
    <w:rsid w:val="00AD1E23"/>
    <w:rsid w:val="00AD2478"/>
    <w:rsid w:val="00AD25D2"/>
    <w:rsid w:val="00AD26FF"/>
    <w:rsid w:val="00AD35B0"/>
    <w:rsid w:val="00AD373A"/>
    <w:rsid w:val="00AD3BF2"/>
    <w:rsid w:val="00AD47FC"/>
    <w:rsid w:val="00AD4F4C"/>
    <w:rsid w:val="00AD4F70"/>
    <w:rsid w:val="00AD5808"/>
    <w:rsid w:val="00AD5CF1"/>
    <w:rsid w:val="00AD61FD"/>
    <w:rsid w:val="00AE0093"/>
    <w:rsid w:val="00AE032D"/>
    <w:rsid w:val="00AE099A"/>
    <w:rsid w:val="00AE1174"/>
    <w:rsid w:val="00AE186E"/>
    <w:rsid w:val="00AE2CF2"/>
    <w:rsid w:val="00AE35A2"/>
    <w:rsid w:val="00AE3B5C"/>
    <w:rsid w:val="00AE3E6D"/>
    <w:rsid w:val="00AE4158"/>
    <w:rsid w:val="00AE4694"/>
    <w:rsid w:val="00AE4711"/>
    <w:rsid w:val="00AE4A49"/>
    <w:rsid w:val="00AE50E0"/>
    <w:rsid w:val="00AE53F9"/>
    <w:rsid w:val="00AE60C4"/>
    <w:rsid w:val="00AE674D"/>
    <w:rsid w:val="00AE6BF3"/>
    <w:rsid w:val="00AE6E3F"/>
    <w:rsid w:val="00AE6F18"/>
    <w:rsid w:val="00AE78BB"/>
    <w:rsid w:val="00AF0041"/>
    <w:rsid w:val="00AF05D4"/>
    <w:rsid w:val="00AF0D1E"/>
    <w:rsid w:val="00AF170C"/>
    <w:rsid w:val="00AF2164"/>
    <w:rsid w:val="00AF23DF"/>
    <w:rsid w:val="00AF2C2F"/>
    <w:rsid w:val="00AF33A3"/>
    <w:rsid w:val="00AF451F"/>
    <w:rsid w:val="00AF4A38"/>
    <w:rsid w:val="00AF53E5"/>
    <w:rsid w:val="00AF54D3"/>
    <w:rsid w:val="00AF5F70"/>
    <w:rsid w:val="00AF66E7"/>
    <w:rsid w:val="00AF6B7E"/>
    <w:rsid w:val="00AF703B"/>
    <w:rsid w:val="00AF713C"/>
    <w:rsid w:val="00AF732A"/>
    <w:rsid w:val="00AF750C"/>
    <w:rsid w:val="00AF7681"/>
    <w:rsid w:val="00AF76F4"/>
    <w:rsid w:val="00AF7AC6"/>
    <w:rsid w:val="00AF7EA4"/>
    <w:rsid w:val="00B0010A"/>
    <w:rsid w:val="00B00882"/>
    <w:rsid w:val="00B00986"/>
    <w:rsid w:val="00B014E7"/>
    <w:rsid w:val="00B01F6A"/>
    <w:rsid w:val="00B020E8"/>
    <w:rsid w:val="00B025A0"/>
    <w:rsid w:val="00B027F5"/>
    <w:rsid w:val="00B02E53"/>
    <w:rsid w:val="00B043EE"/>
    <w:rsid w:val="00B04C8C"/>
    <w:rsid w:val="00B0637F"/>
    <w:rsid w:val="00B0693F"/>
    <w:rsid w:val="00B07670"/>
    <w:rsid w:val="00B079C2"/>
    <w:rsid w:val="00B07B87"/>
    <w:rsid w:val="00B1055A"/>
    <w:rsid w:val="00B10876"/>
    <w:rsid w:val="00B10F78"/>
    <w:rsid w:val="00B1103F"/>
    <w:rsid w:val="00B1141E"/>
    <w:rsid w:val="00B11CE7"/>
    <w:rsid w:val="00B11D70"/>
    <w:rsid w:val="00B11F9F"/>
    <w:rsid w:val="00B1201B"/>
    <w:rsid w:val="00B12B33"/>
    <w:rsid w:val="00B12F32"/>
    <w:rsid w:val="00B130EE"/>
    <w:rsid w:val="00B13B78"/>
    <w:rsid w:val="00B13D7C"/>
    <w:rsid w:val="00B141B0"/>
    <w:rsid w:val="00B15722"/>
    <w:rsid w:val="00B159A1"/>
    <w:rsid w:val="00B15A05"/>
    <w:rsid w:val="00B15B1A"/>
    <w:rsid w:val="00B1637C"/>
    <w:rsid w:val="00B16542"/>
    <w:rsid w:val="00B16847"/>
    <w:rsid w:val="00B169DF"/>
    <w:rsid w:val="00B176B3"/>
    <w:rsid w:val="00B205C4"/>
    <w:rsid w:val="00B2132C"/>
    <w:rsid w:val="00B213A8"/>
    <w:rsid w:val="00B21740"/>
    <w:rsid w:val="00B219FA"/>
    <w:rsid w:val="00B21A01"/>
    <w:rsid w:val="00B2228F"/>
    <w:rsid w:val="00B228A0"/>
    <w:rsid w:val="00B23236"/>
    <w:rsid w:val="00B236B3"/>
    <w:rsid w:val="00B236B5"/>
    <w:rsid w:val="00B23E20"/>
    <w:rsid w:val="00B24718"/>
    <w:rsid w:val="00B2506A"/>
    <w:rsid w:val="00B253BE"/>
    <w:rsid w:val="00B25CB1"/>
    <w:rsid w:val="00B25D3B"/>
    <w:rsid w:val="00B25DC3"/>
    <w:rsid w:val="00B25EAA"/>
    <w:rsid w:val="00B262BF"/>
    <w:rsid w:val="00B26FC8"/>
    <w:rsid w:val="00B27563"/>
    <w:rsid w:val="00B27809"/>
    <w:rsid w:val="00B30591"/>
    <w:rsid w:val="00B306A6"/>
    <w:rsid w:val="00B30953"/>
    <w:rsid w:val="00B30B9F"/>
    <w:rsid w:val="00B3131D"/>
    <w:rsid w:val="00B31DA8"/>
    <w:rsid w:val="00B32144"/>
    <w:rsid w:val="00B32E09"/>
    <w:rsid w:val="00B3305B"/>
    <w:rsid w:val="00B348B9"/>
    <w:rsid w:val="00B34D90"/>
    <w:rsid w:val="00B35CA5"/>
    <w:rsid w:val="00B35DEE"/>
    <w:rsid w:val="00B36789"/>
    <w:rsid w:val="00B36DEC"/>
    <w:rsid w:val="00B36F90"/>
    <w:rsid w:val="00B37173"/>
    <w:rsid w:val="00B37824"/>
    <w:rsid w:val="00B37EBE"/>
    <w:rsid w:val="00B40AAE"/>
    <w:rsid w:val="00B414FF"/>
    <w:rsid w:val="00B41544"/>
    <w:rsid w:val="00B41A42"/>
    <w:rsid w:val="00B41C30"/>
    <w:rsid w:val="00B41D6B"/>
    <w:rsid w:val="00B41DE7"/>
    <w:rsid w:val="00B41E76"/>
    <w:rsid w:val="00B41FCF"/>
    <w:rsid w:val="00B4216E"/>
    <w:rsid w:val="00B435D2"/>
    <w:rsid w:val="00B442DF"/>
    <w:rsid w:val="00B448DD"/>
    <w:rsid w:val="00B44BF3"/>
    <w:rsid w:val="00B4538B"/>
    <w:rsid w:val="00B456B4"/>
    <w:rsid w:val="00B45E6D"/>
    <w:rsid w:val="00B4654A"/>
    <w:rsid w:val="00B46A4B"/>
    <w:rsid w:val="00B46AA1"/>
    <w:rsid w:val="00B47491"/>
    <w:rsid w:val="00B474B0"/>
    <w:rsid w:val="00B500FC"/>
    <w:rsid w:val="00B500FF"/>
    <w:rsid w:val="00B504D7"/>
    <w:rsid w:val="00B51909"/>
    <w:rsid w:val="00B51A39"/>
    <w:rsid w:val="00B5222F"/>
    <w:rsid w:val="00B52C5E"/>
    <w:rsid w:val="00B536B3"/>
    <w:rsid w:val="00B546A8"/>
    <w:rsid w:val="00B55377"/>
    <w:rsid w:val="00B56D60"/>
    <w:rsid w:val="00B5716B"/>
    <w:rsid w:val="00B573CB"/>
    <w:rsid w:val="00B575EA"/>
    <w:rsid w:val="00B576C1"/>
    <w:rsid w:val="00B57947"/>
    <w:rsid w:val="00B57B4C"/>
    <w:rsid w:val="00B57D0F"/>
    <w:rsid w:val="00B605F8"/>
    <w:rsid w:val="00B609D7"/>
    <w:rsid w:val="00B60AFC"/>
    <w:rsid w:val="00B615BE"/>
    <w:rsid w:val="00B6177E"/>
    <w:rsid w:val="00B62008"/>
    <w:rsid w:val="00B621EA"/>
    <w:rsid w:val="00B626BE"/>
    <w:rsid w:val="00B627BC"/>
    <w:rsid w:val="00B63422"/>
    <w:rsid w:val="00B63599"/>
    <w:rsid w:val="00B63C1E"/>
    <w:rsid w:val="00B63DA0"/>
    <w:rsid w:val="00B64D17"/>
    <w:rsid w:val="00B64D61"/>
    <w:rsid w:val="00B64F0E"/>
    <w:rsid w:val="00B65654"/>
    <w:rsid w:val="00B6595F"/>
    <w:rsid w:val="00B65F9A"/>
    <w:rsid w:val="00B66763"/>
    <w:rsid w:val="00B67498"/>
    <w:rsid w:val="00B70122"/>
    <w:rsid w:val="00B703A0"/>
    <w:rsid w:val="00B7047A"/>
    <w:rsid w:val="00B70BF8"/>
    <w:rsid w:val="00B711A9"/>
    <w:rsid w:val="00B71D78"/>
    <w:rsid w:val="00B71E26"/>
    <w:rsid w:val="00B720F4"/>
    <w:rsid w:val="00B725EA"/>
    <w:rsid w:val="00B72CC3"/>
    <w:rsid w:val="00B73A08"/>
    <w:rsid w:val="00B73A53"/>
    <w:rsid w:val="00B73B21"/>
    <w:rsid w:val="00B751E6"/>
    <w:rsid w:val="00B75C71"/>
    <w:rsid w:val="00B771C4"/>
    <w:rsid w:val="00B77726"/>
    <w:rsid w:val="00B7785A"/>
    <w:rsid w:val="00B80397"/>
    <w:rsid w:val="00B80B50"/>
    <w:rsid w:val="00B80B58"/>
    <w:rsid w:val="00B80D39"/>
    <w:rsid w:val="00B817C9"/>
    <w:rsid w:val="00B81ADE"/>
    <w:rsid w:val="00B8215D"/>
    <w:rsid w:val="00B822A1"/>
    <w:rsid w:val="00B82607"/>
    <w:rsid w:val="00B82A03"/>
    <w:rsid w:val="00B836EE"/>
    <w:rsid w:val="00B83835"/>
    <w:rsid w:val="00B8476C"/>
    <w:rsid w:val="00B84869"/>
    <w:rsid w:val="00B849A7"/>
    <w:rsid w:val="00B85560"/>
    <w:rsid w:val="00B856C1"/>
    <w:rsid w:val="00B859D8"/>
    <w:rsid w:val="00B85E6E"/>
    <w:rsid w:val="00B8663B"/>
    <w:rsid w:val="00B86C46"/>
    <w:rsid w:val="00B870E0"/>
    <w:rsid w:val="00B87AC2"/>
    <w:rsid w:val="00B87E13"/>
    <w:rsid w:val="00B91ACF"/>
    <w:rsid w:val="00B92240"/>
    <w:rsid w:val="00B9237B"/>
    <w:rsid w:val="00B9328C"/>
    <w:rsid w:val="00B934AE"/>
    <w:rsid w:val="00B93B42"/>
    <w:rsid w:val="00B93B56"/>
    <w:rsid w:val="00B93DB2"/>
    <w:rsid w:val="00B942BD"/>
    <w:rsid w:val="00B94BCB"/>
    <w:rsid w:val="00B95099"/>
    <w:rsid w:val="00B95324"/>
    <w:rsid w:val="00B9545D"/>
    <w:rsid w:val="00B95637"/>
    <w:rsid w:val="00B956D0"/>
    <w:rsid w:val="00B9578D"/>
    <w:rsid w:val="00B95B90"/>
    <w:rsid w:val="00B95BFA"/>
    <w:rsid w:val="00B9643C"/>
    <w:rsid w:val="00B965F0"/>
    <w:rsid w:val="00B96F01"/>
    <w:rsid w:val="00B9761C"/>
    <w:rsid w:val="00B97F28"/>
    <w:rsid w:val="00BA0221"/>
    <w:rsid w:val="00BA057F"/>
    <w:rsid w:val="00BA1D2A"/>
    <w:rsid w:val="00BA21C3"/>
    <w:rsid w:val="00BA239B"/>
    <w:rsid w:val="00BA257C"/>
    <w:rsid w:val="00BA2BA0"/>
    <w:rsid w:val="00BA2DA2"/>
    <w:rsid w:val="00BA3590"/>
    <w:rsid w:val="00BA3BEB"/>
    <w:rsid w:val="00BA4BA9"/>
    <w:rsid w:val="00BA53E0"/>
    <w:rsid w:val="00BA5856"/>
    <w:rsid w:val="00BA5D0A"/>
    <w:rsid w:val="00BB040E"/>
    <w:rsid w:val="00BB09E8"/>
    <w:rsid w:val="00BB0C5D"/>
    <w:rsid w:val="00BB154B"/>
    <w:rsid w:val="00BB1757"/>
    <w:rsid w:val="00BB1942"/>
    <w:rsid w:val="00BB26E5"/>
    <w:rsid w:val="00BB29A1"/>
    <w:rsid w:val="00BB2A28"/>
    <w:rsid w:val="00BB2A8D"/>
    <w:rsid w:val="00BB3156"/>
    <w:rsid w:val="00BB3712"/>
    <w:rsid w:val="00BB489C"/>
    <w:rsid w:val="00BB4B74"/>
    <w:rsid w:val="00BB5526"/>
    <w:rsid w:val="00BB5A9F"/>
    <w:rsid w:val="00BB5EDF"/>
    <w:rsid w:val="00BB7493"/>
    <w:rsid w:val="00BB7908"/>
    <w:rsid w:val="00BC0E92"/>
    <w:rsid w:val="00BC1109"/>
    <w:rsid w:val="00BC13C4"/>
    <w:rsid w:val="00BC1A16"/>
    <w:rsid w:val="00BC1E7D"/>
    <w:rsid w:val="00BC200C"/>
    <w:rsid w:val="00BC23D5"/>
    <w:rsid w:val="00BC245C"/>
    <w:rsid w:val="00BC2E55"/>
    <w:rsid w:val="00BC44F8"/>
    <w:rsid w:val="00BC4AB0"/>
    <w:rsid w:val="00BC53C0"/>
    <w:rsid w:val="00BC5657"/>
    <w:rsid w:val="00BC56B5"/>
    <w:rsid w:val="00BC5FE7"/>
    <w:rsid w:val="00BC7089"/>
    <w:rsid w:val="00BC7639"/>
    <w:rsid w:val="00BC7AF9"/>
    <w:rsid w:val="00BD047C"/>
    <w:rsid w:val="00BD04AF"/>
    <w:rsid w:val="00BD083B"/>
    <w:rsid w:val="00BD094B"/>
    <w:rsid w:val="00BD131E"/>
    <w:rsid w:val="00BD1680"/>
    <w:rsid w:val="00BD1A75"/>
    <w:rsid w:val="00BD211B"/>
    <w:rsid w:val="00BD238C"/>
    <w:rsid w:val="00BD2465"/>
    <w:rsid w:val="00BD24E5"/>
    <w:rsid w:val="00BD3155"/>
    <w:rsid w:val="00BD3C49"/>
    <w:rsid w:val="00BD3E79"/>
    <w:rsid w:val="00BD4300"/>
    <w:rsid w:val="00BD5302"/>
    <w:rsid w:val="00BD626C"/>
    <w:rsid w:val="00BD62C5"/>
    <w:rsid w:val="00BD62FF"/>
    <w:rsid w:val="00BD64A4"/>
    <w:rsid w:val="00BD6517"/>
    <w:rsid w:val="00BD77D7"/>
    <w:rsid w:val="00BD790F"/>
    <w:rsid w:val="00BE02D7"/>
    <w:rsid w:val="00BE0FD9"/>
    <w:rsid w:val="00BE109F"/>
    <w:rsid w:val="00BE13D3"/>
    <w:rsid w:val="00BE14F2"/>
    <w:rsid w:val="00BE1945"/>
    <w:rsid w:val="00BE1BF4"/>
    <w:rsid w:val="00BE21BD"/>
    <w:rsid w:val="00BE2AC0"/>
    <w:rsid w:val="00BE31AD"/>
    <w:rsid w:val="00BE35B5"/>
    <w:rsid w:val="00BE38D7"/>
    <w:rsid w:val="00BE3905"/>
    <w:rsid w:val="00BE4033"/>
    <w:rsid w:val="00BE45B4"/>
    <w:rsid w:val="00BE46DC"/>
    <w:rsid w:val="00BE4EAB"/>
    <w:rsid w:val="00BE5097"/>
    <w:rsid w:val="00BE51C8"/>
    <w:rsid w:val="00BE5D63"/>
    <w:rsid w:val="00BE6114"/>
    <w:rsid w:val="00BE6370"/>
    <w:rsid w:val="00BE697B"/>
    <w:rsid w:val="00BE6A62"/>
    <w:rsid w:val="00BE6D11"/>
    <w:rsid w:val="00BE6DB9"/>
    <w:rsid w:val="00BE6DF3"/>
    <w:rsid w:val="00BE6FE2"/>
    <w:rsid w:val="00BE7866"/>
    <w:rsid w:val="00BE79B8"/>
    <w:rsid w:val="00BF0B94"/>
    <w:rsid w:val="00BF0DF6"/>
    <w:rsid w:val="00BF0FAB"/>
    <w:rsid w:val="00BF1091"/>
    <w:rsid w:val="00BF149A"/>
    <w:rsid w:val="00BF1EB5"/>
    <w:rsid w:val="00BF2413"/>
    <w:rsid w:val="00BF2540"/>
    <w:rsid w:val="00BF2700"/>
    <w:rsid w:val="00BF322A"/>
    <w:rsid w:val="00BF3353"/>
    <w:rsid w:val="00BF345C"/>
    <w:rsid w:val="00BF470E"/>
    <w:rsid w:val="00BF4726"/>
    <w:rsid w:val="00BF4EA3"/>
    <w:rsid w:val="00BF531C"/>
    <w:rsid w:val="00BF5F83"/>
    <w:rsid w:val="00BF7124"/>
    <w:rsid w:val="00BF79C3"/>
    <w:rsid w:val="00BF7C4E"/>
    <w:rsid w:val="00C00039"/>
    <w:rsid w:val="00C01595"/>
    <w:rsid w:val="00C01998"/>
    <w:rsid w:val="00C01A92"/>
    <w:rsid w:val="00C01B7A"/>
    <w:rsid w:val="00C02754"/>
    <w:rsid w:val="00C02E0C"/>
    <w:rsid w:val="00C032A7"/>
    <w:rsid w:val="00C0337C"/>
    <w:rsid w:val="00C04C70"/>
    <w:rsid w:val="00C04D85"/>
    <w:rsid w:val="00C054EA"/>
    <w:rsid w:val="00C0563B"/>
    <w:rsid w:val="00C05D3A"/>
    <w:rsid w:val="00C067F5"/>
    <w:rsid w:val="00C06A45"/>
    <w:rsid w:val="00C06D85"/>
    <w:rsid w:val="00C06FE8"/>
    <w:rsid w:val="00C07730"/>
    <w:rsid w:val="00C0773C"/>
    <w:rsid w:val="00C07A4B"/>
    <w:rsid w:val="00C1004F"/>
    <w:rsid w:val="00C10B30"/>
    <w:rsid w:val="00C110E4"/>
    <w:rsid w:val="00C115EE"/>
    <w:rsid w:val="00C119CB"/>
    <w:rsid w:val="00C1218D"/>
    <w:rsid w:val="00C12679"/>
    <w:rsid w:val="00C12683"/>
    <w:rsid w:val="00C12D83"/>
    <w:rsid w:val="00C12F8F"/>
    <w:rsid w:val="00C13859"/>
    <w:rsid w:val="00C13A06"/>
    <w:rsid w:val="00C1446E"/>
    <w:rsid w:val="00C1462D"/>
    <w:rsid w:val="00C1469C"/>
    <w:rsid w:val="00C14B1A"/>
    <w:rsid w:val="00C14C48"/>
    <w:rsid w:val="00C157F9"/>
    <w:rsid w:val="00C160DF"/>
    <w:rsid w:val="00C16AE7"/>
    <w:rsid w:val="00C16CF9"/>
    <w:rsid w:val="00C202D8"/>
    <w:rsid w:val="00C20F52"/>
    <w:rsid w:val="00C21205"/>
    <w:rsid w:val="00C212E9"/>
    <w:rsid w:val="00C2137A"/>
    <w:rsid w:val="00C21E6A"/>
    <w:rsid w:val="00C21E7E"/>
    <w:rsid w:val="00C21F05"/>
    <w:rsid w:val="00C22298"/>
    <w:rsid w:val="00C224ED"/>
    <w:rsid w:val="00C232FE"/>
    <w:rsid w:val="00C2354F"/>
    <w:rsid w:val="00C2380A"/>
    <w:rsid w:val="00C23D35"/>
    <w:rsid w:val="00C23F56"/>
    <w:rsid w:val="00C24948"/>
    <w:rsid w:val="00C24AB2"/>
    <w:rsid w:val="00C24C07"/>
    <w:rsid w:val="00C24CB0"/>
    <w:rsid w:val="00C24D4B"/>
    <w:rsid w:val="00C24EBC"/>
    <w:rsid w:val="00C24F65"/>
    <w:rsid w:val="00C25579"/>
    <w:rsid w:val="00C260CE"/>
    <w:rsid w:val="00C2651C"/>
    <w:rsid w:val="00C265F5"/>
    <w:rsid w:val="00C26966"/>
    <w:rsid w:val="00C26AFB"/>
    <w:rsid w:val="00C26C49"/>
    <w:rsid w:val="00C2786C"/>
    <w:rsid w:val="00C27E65"/>
    <w:rsid w:val="00C31A79"/>
    <w:rsid w:val="00C31B5F"/>
    <w:rsid w:val="00C326D8"/>
    <w:rsid w:val="00C328E4"/>
    <w:rsid w:val="00C329AF"/>
    <w:rsid w:val="00C3398B"/>
    <w:rsid w:val="00C3493B"/>
    <w:rsid w:val="00C35337"/>
    <w:rsid w:val="00C35C46"/>
    <w:rsid w:val="00C35D46"/>
    <w:rsid w:val="00C35EA9"/>
    <w:rsid w:val="00C35EC5"/>
    <w:rsid w:val="00C35F33"/>
    <w:rsid w:val="00C36283"/>
    <w:rsid w:val="00C36B4D"/>
    <w:rsid w:val="00C36CAD"/>
    <w:rsid w:val="00C3710A"/>
    <w:rsid w:val="00C37686"/>
    <w:rsid w:val="00C37897"/>
    <w:rsid w:val="00C37C7A"/>
    <w:rsid w:val="00C37C92"/>
    <w:rsid w:val="00C40099"/>
    <w:rsid w:val="00C40489"/>
    <w:rsid w:val="00C40BC9"/>
    <w:rsid w:val="00C40D91"/>
    <w:rsid w:val="00C40E62"/>
    <w:rsid w:val="00C40FAF"/>
    <w:rsid w:val="00C4127E"/>
    <w:rsid w:val="00C4158D"/>
    <w:rsid w:val="00C416B6"/>
    <w:rsid w:val="00C41837"/>
    <w:rsid w:val="00C41B26"/>
    <w:rsid w:val="00C43D4E"/>
    <w:rsid w:val="00C43E77"/>
    <w:rsid w:val="00C441FF"/>
    <w:rsid w:val="00C447A8"/>
    <w:rsid w:val="00C44BBD"/>
    <w:rsid w:val="00C44C04"/>
    <w:rsid w:val="00C45514"/>
    <w:rsid w:val="00C45789"/>
    <w:rsid w:val="00C45B70"/>
    <w:rsid w:val="00C45DB3"/>
    <w:rsid w:val="00C465AE"/>
    <w:rsid w:val="00C4675A"/>
    <w:rsid w:val="00C46761"/>
    <w:rsid w:val="00C475A4"/>
    <w:rsid w:val="00C47E97"/>
    <w:rsid w:val="00C503A9"/>
    <w:rsid w:val="00C5067E"/>
    <w:rsid w:val="00C50804"/>
    <w:rsid w:val="00C50B0B"/>
    <w:rsid w:val="00C50C88"/>
    <w:rsid w:val="00C50DE2"/>
    <w:rsid w:val="00C50EC6"/>
    <w:rsid w:val="00C511C7"/>
    <w:rsid w:val="00C516D6"/>
    <w:rsid w:val="00C518C4"/>
    <w:rsid w:val="00C51994"/>
    <w:rsid w:val="00C51A90"/>
    <w:rsid w:val="00C527AA"/>
    <w:rsid w:val="00C52B29"/>
    <w:rsid w:val="00C53089"/>
    <w:rsid w:val="00C53CBE"/>
    <w:rsid w:val="00C53E56"/>
    <w:rsid w:val="00C53FD3"/>
    <w:rsid w:val="00C543B6"/>
    <w:rsid w:val="00C54455"/>
    <w:rsid w:val="00C546CB"/>
    <w:rsid w:val="00C547EB"/>
    <w:rsid w:val="00C54FD4"/>
    <w:rsid w:val="00C55080"/>
    <w:rsid w:val="00C55A41"/>
    <w:rsid w:val="00C55A91"/>
    <w:rsid w:val="00C564DA"/>
    <w:rsid w:val="00C56D58"/>
    <w:rsid w:val="00C56D84"/>
    <w:rsid w:val="00C574D4"/>
    <w:rsid w:val="00C61011"/>
    <w:rsid w:val="00C6102E"/>
    <w:rsid w:val="00C61043"/>
    <w:rsid w:val="00C610E4"/>
    <w:rsid w:val="00C6153C"/>
    <w:rsid w:val="00C615C1"/>
    <w:rsid w:val="00C6179F"/>
    <w:rsid w:val="00C61E82"/>
    <w:rsid w:val="00C620FA"/>
    <w:rsid w:val="00C62534"/>
    <w:rsid w:val="00C62559"/>
    <w:rsid w:val="00C625A3"/>
    <w:rsid w:val="00C62E7F"/>
    <w:rsid w:val="00C63ECE"/>
    <w:rsid w:val="00C640E5"/>
    <w:rsid w:val="00C6430A"/>
    <w:rsid w:val="00C65114"/>
    <w:rsid w:val="00C6512A"/>
    <w:rsid w:val="00C65234"/>
    <w:rsid w:val="00C65A8A"/>
    <w:rsid w:val="00C66473"/>
    <w:rsid w:val="00C666B8"/>
    <w:rsid w:val="00C6689A"/>
    <w:rsid w:val="00C66CD2"/>
    <w:rsid w:val="00C66DBB"/>
    <w:rsid w:val="00C6752B"/>
    <w:rsid w:val="00C677E4"/>
    <w:rsid w:val="00C67E14"/>
    <w:rsid w:val="00C70846"/>
    <w:rsid w:val="00C71018"/>
    <w:rsid w:val="00C716A4"/>
    <w:rsid w:val="00C71ADE"/>
    <w:rsid w:val="00C71F50"/>
    <w:rsid w:val="00C725AC"/>
    <w:rsid w:val="00C729B4"/>
    <w:rsid w:val="00C72B09"/>
    <w:rsid w:val="00C72F3D"/>
    <w:rsid w:val="00C730AC"/>
    <w:rsid w:val="00C7316D"/>
    <w:rsid w:val="00C7320F"/>
    <w:rsid w:val="00C7365B"/>
    <w:rsid w:val="00C73C18"/>
    <w:rsid w:val="00C748B7"/>
    <w:rsid w:val="00C7534D"/>
    <w:rsid w:val="00C754CC"/>
    <w:rsid w:val="00C75731"/>
    <w:rsid w:val="00C75837"/>
    <w:rsid w:val="00C75AF5"/>
    <w:rsid w:val="00C75E19"/>
    <w:rsid w:val="00C75E32"/>
    <w:rsid w:val="00C75E5F"/>
    <w:rsid w:val="00C7749C"/>
    <w:rsid w:val="00C776EF"/>
    <w:rsid w:val="00C807AB"/>
    <w:rsid w:val="00C812C1"/>
    <w:rsid w:val="00C813EC"/>
    <w:rsid w:val="00C81694"/>
    <w:rsid w:val="00C81763"/>
    <w:rsid w:val="00C818A3"/>
    <w:rsid w:val="00C82E9B"/>
    <w:rsid w:val="00C830E2"/>
    <w:rsid w:val="00C83319"/>
    <w:rsid w:val="00C835F7"/>
    <w:rsid w:val="00C83F0C"/>
    <w:rsid w:val="00C841C4"/>
    <w:rsid w:val="00C84762"/>
    <w:rsid w:val="00C85150"/>
    <w:rsid w:val="00C8528E"/>
    <w:rsid w:val="00C8580B"/>
    <w:rsid w:val="00C866A1"/>
    <w:rsid w:val="00C86E8C"/>
    <w:rsid w:val="00C86EE9"/>
    <w:rsid w:val="00C87326"/>
    <w:rsid w:val="00C87B67"/>
    <w:rsid w:val="00C900FA"/>
    <w:rsid w:val="00C90824"/>
    <w:rsid w:val="00C9113E"/>
    <w:rsid w:val="00C91602"/>
    <w:rsid w:val="00C9165D"/>
    <w:rsid w:val="00C91B18"/>
    <w:rsid w:val="00C91F4D"/>
    <w:rsid w:val="00C92312"/>
    <w:rsid w:val="00C9289E"/>
    <w:rsid w:val="00C93200"/>
    <w:rsid w:val="00C95344"/>
    <w:rsid w:val="00C95CC0"/>
    <w:rsid w:val="00C95D4A"/>
    <w:rsid w:val="00C968E6"/>
    <w:rsid w:val="00C9749E"/>
    <w:rsid w:val="00C97652"/>
    <w:rsid w:val="00C97D8B"/>
    <w:rsid w:val="00CA0BE9"/>
    <w:rsid w:val="00CA13DF"/>
    <w:rsid w:val="00CA18EB"/>
    <w:rsid w:val="00CA19B6"/>
    <w:rsid w:val="00CA1B23"/>
    <w:rsid w:val="00CA1FB0"/>
    <w:rsid w:val="00CA226D"/>
    <w:rsid w:val="00CA2EE7"/>
    <w:rsid w:val="00CA306D"/>
    <w:rsid w:val="00CA30A8"/>
    <w:rsid w:val="00CA37A2"/>
    <w:rsid w:val="00CA4F01"/>
    <w:rsid w:val="00CA60D4"/>
    <w:rsid w:val="00CA68B3"/>
    <w:rsid w:val="00CA697C"/>
    <w:rsid w:val="00CA7023"/>
    <w:rsid w:val="00CA709A"/>
    <w:rsid w:val="00CA73E1"/>
    <w:rsid w:val="00CA78B6"/>
    <w:rsid w:val="00CA7ABF"/>
    <w:rsid w:val="00CA7CEF"/>
    <w:rsid w:val="00CB0205"/>
    <w:rsid w:val="00CB0E74"/>
    <w:rsid w:val="00CB162C"/>
    <w:rsid w:val="00CB1990"/>
    <w:rsid w:val="00CB1AB6"/>
    <w:rsid w:val="00CB1D47"/>
    <w:rsid w:val="00CB219A"/>
    <w:rsid w:val="00CB2256"/>
    <w:rsid w:val="00CB25ED"/>
    <w:rsid w:val="00CB2914"/>
    <w:rsid w:val="00CB2D6B"/>
    <w:rsid w:val="00CB2E03"/>
    <w:rsid w:val="00CB3982"/>
    <w:rsid w:val="00CB3F4B"/>
    <w:rsid w:val="00CB4A43"/>
    <w:rsid w:val="00CB4B4B"/>
    <w:rsid w:val="00CB4C36"/>
    <w:rsid w:val="00CB5119"/>
    <w:rsid w:val="00CB78CC"/>
    <w:rsid w:val="00CB7AB2"/>
    <w:rsid w:val="00CB7ABC"/>
    <w:rsid w:val="00CC03C7"/>
    <w:rsid w:val="00CC09EA"/>
    <w:rsid w:val="00CC0B8E"/>
    <w:rsid w:val="00CC10A9"/>
    <w:rsid w:val="00CC16B5"/>
    <w:rsid w:val="00CC1887"/>
    <w:rsid w:val="00CC22FD"/>
    <w:rsid w:val="00CC249E"/>
    <w:rsid w:val="00CC24F1"/>
    <w:rsid w:val="00CC27A4"/>
    <w:rsid w:val="00CC2B0F"/>
    <w:rsid w:val="00CC30A6"/>
    <w:rsid w:val="00CC40D3"/>
    <w:rsid w:val="00CC45F2"/>
    <w:rsid w:val="00CC4728"/>
    <w:rsid w:val="00CC4DC9"/>
    <w:rsid w:val="00CC57D0"/>
    <w:rsid w:val="00CC633A"/>
    <w:rsid w:val="00CC66CE"/>
    <w:rsid w:val="00CC7862"/>
    <w:rsid w:val="00CC7C4A"/>
    <w:rsid w:val="00CC7C81"/>
    <w:rsid w:val="00CD0352"/>
    <w:rsid w:val="00CD0460"/>
    <w:rsid w:val="00CD0762"/>
    <w:rsid w:val="00CD0F1A"/>
    <w:rsid w:val="00CD10BF"/>
    <w:rsid w:val="00CD1189"/>
    <w:rsid w:val="00CD2026"/>
    <w:rsid w:val="00CD310C"/>
    <w:rsid w:val="00CD36BA"/>
    <w:rsid w:val="00CD3ACC"/>
    <w:rsid w:val="00CD3CA4"/>
    <w:rsid w:val="00CD481E"/>
    <w:rsid w:val="00CD4AC5"/>
    <w:rsid w:val="00CD4D32"/>
    <w:rsid w:val="00CD4DCA"/>
    <w:rsid w:val="00CD5541"/>
    <w:rsid w:val="00CD56B4"/>
    <w:rsid w:val="00CD5B9B"/>
    <w:rsid w:val="00CD5E7C"/>
    <w:rsid w:val="00CD5FC7"/>
    <w:rsid w:val="00CD61F9"/>
    <w:rsid w:val="00CD6988"/>
    <w:rsid w:val="00CD6C4F"/>
    <w:rsid w:val="00CD6E9D"/>
    <w:rsid w:val="00CD6EE9"/>
    <w:rsid w:val="00CD7049"/>
    <w:rsid w:val="00CD7209"/>
    <w:rsid w:val="00CD78CD"/>
    <w:rsid w:val="00CD7C15"/>
    <w:rsid w:val="00CD7D7B"/>
    <w:rsid w:val="00CD7E53"/>
    <w:rsid w:val="00CD7E7F"/>
    <w:rsid w:val="00CD7FF2"/>
    <w:rsid w:val="00CE067C"/>
    <w:rsid w:val="00CE0B0D"/>
    <w:rsid w:val="00CE0CAE"/>
    <w:rsid w:val="00CE14C2"/>
    <w:rsid w:val="00CE187A"/>
    <w:rsid w:val="00CE1CAE"/>
    <w:rsid w:val="00CE239D"/>
    <w:rsid w:val="00CE2CB6"/>
    <w:rsid w:val="00CE2F72"/>
    <w:rsid w:val="00CE2F98"/>
    <w:rsid w:val="00CE31E9"/>
    <w:rsid w:val="00CE378B"/>
    <w:rsid w:val="00CE41CF"/>
    <w:rsid w:val="00CE4FB9"/>
    <w:rsid w:val="00CE5166"/>
    <w:rsid w:val="00CE5186"/>
    <w:rsid w:val="00CE53C6"/>
    <w:rsid w:val="00CE6B41"/>
    <w:rsid w:val="00CE6EAB"/>
    <w:rsid w:val="00CE79A3"/>
    <w:rsid w:val="00CE7BDE"/>
    <w:rsid w:val="00CE7EE3"/>
    <w:rsid w:val="00CE7FF1"/>
    <w:rsid w:val="00CF02F3"/>
    <w:rsid w:val="00CF0630"/>
    <w:rsid w:val="00CF0E6A"/>
    <w:rsid w:val="00CF1380"/>
    <w:rsid w:val="00CF1B05"/>
    <w:rsid w:val="00CF21EE"/>
    <w:rsid w:val="00CF2A44"/>
    <w:rsid w:val="00CF2A7A"/>
    <w:rsid w:val="00CF2B16"/>
    <w:rsid w:val="00CF2C85"/>
    <w:rsid w:val="00CF2F4D"/>
    <w:rsid w:val="00CF30FE"/>
    <w:rsid w:val="00CF34A8"/>
    <w:rsid w:val="00CF3591"/>
    <w:rsid w:val="00CF368E"/>
    <w:rsid w:val="00CF493B"/>
    <w:rsid w:val="00CF5028"/>
    <w:rsid w:val="00CF5530"/>
    <w:rsid w:val="00CF5596"/>
    <w:rsid w:val="00CF55E0"/>
    <w:rsid w:val="00CF5676"/>
    <w:rsid w:val="00CF5B34"/>
    <w:rsid w:val="00CF5CB6"/>
    <w:rsid w:val="00CF6471"/>
    <w:rsid w:val="00CF64D8"/>
    <w:rsid w:val="00CF6E91"/>
    <w:rsid w:val="00CF73D1"/>
    <w:rsid w:val="00CF7F2A"/>
    <w:rsid w:val="00D00670"/>
    <w:rsid w:val="00D00D4D"/>
    <w:rsid w:val="00D0179D"/>
    <w:rsid w:val="00D021C6"/>
    <w:rsid w:val="00D0224A"/>
    <w:rsid w:val="00D028D4"/>
    <w:rsid w:val="00D02A38"/>
    <w:rsid w:val="00D02E85"/>
    <w:rsid w:val="00D0320C"/>
    <w:rsid w:val="00D03A5A"/>
    <w:rsid w:val="00D03AE0"/>
    <w:rsid w:val="00D043E4"/>
    <w:rsid w:val="00D04790"/>
    <w:rsid w:val="00D04B0C"/>
    <w:rsid w:val="00D0566A"/>
    <w:rsid w:val="00D05C29"/>
    <w:rsid w:val="00D05D3E"/>
    <w:rsid w:val="00D05FCB"/>
    <w:rsid w:val="00D0669F"/>
    <w:rsid w:val="00D06A2E"/>
    <w:rsid w:val="00D073E0"/>
    <w:rsid w:val="00D0790C"/>
    <w:rsid w:val="00D10BC2"/>
    <w:rsid w:val="00D10CAE"/>
    <w:rsid w:val="00D10E1C"/>
    <w:rsid w:val="00D1135F"/>
    <w:rsid w:val="00D1179C"/>
    <w:rsid w:val="00D11D64"/>
    <w:rsid w:val="00D1212C"/>
    <w:rsid w:val="00D121A5"/>
    <w:rsid w:val="00D12895"/>
    <w:rsid w:val="00D12B8E"/>
    <w:rsid w:val="00D13660"/>
    <w:rsid w:val="00D1370A"/>
    <w:rsid w:val="00D13BB0"/>
    <w:rsid w:val="00D142B1"/>
    <w:rsid w:val="00D143E6"/>
    <w:rsid w:val="00D14538"/>
    <w:rsid w:val="00D14790"/>
    <w:rsid w:val="00D147A1"/>
    <w:rsid w:val="00D148F4"/>
    <w:rsid w:val="00D15352"/>
    <w:rsid w:val="00D16630"/>
    <w:rsid w:val="00D16660"/>
    <w:rsid w:val="00D1753A"/>
    <w:rsid w:val="00D17D5C"/>
    <w:rsid w:val="00D20084"/>
    <w:rsid w:val="00D201B7"/>
    <w:rsid w:val="00D20360"/>
    <w:rsid w:val="00D20D5D"/>
    <w:rsid w:val="00D21FC2"/>
    <w:rsid w:val="00D224F2"/>
    <w:rsid w:val="00D22DAA"/>
    <w:rsid w:val="00D23064"/>
    <w:rsid w:val="00D23426"/>
    <w:rsid w:val="00D23BC3"/>
    <w:rsid w:val="00D245E8"/>
    <w:rsid w:val="00D24B77"/>
    <w:rsid w:val="00D25108"/>
    <w:rsid w:val="00D254EF"/>
    <w:rsid w:val="00D25D8F"/>
    <w:rsid w:val="00D26B66"/>
    <w:rsid w:val="00D26D84"/>
    <w:rsid w:val="00D2708F"/>
    <w:rsid w:val="00D2793F"/>
    <w:rsid w:val="00D27FB4"/>
    <w:rsid w:val="00D302E2"/>
    <w:rsid w:val="00D30658"/>
    <w:rsid w:val="00D30C23"/>
    <w:rsid w:val="00D31839"/>
    <w:rsid w:val="00D31D5E"/>
    <w:rsid w:val="00D3207C"/>
    <w:rsid w:val="00D321C8"/>
    <w:rsid w:val="00D324A3"/>
    <w:rsid w:val="00D3281E"/>
    <w:rsid w:val="00D32891"/>
    <w:rsid w:val="00D32AB9"/>
    <w:rsid w:val="00D3371C"/>
    <w:rsid w:val="00D33989"/>
    <w:rsid w:val="00D33E54"/>
    <w:rsid w:val="00D34049"/>
    <w:rsid w:val="00D34459"/>
    <w:rsid w:val="00D3478A"/>
    <w:rsid w:val="00D34CC1"/>
    <w:rsid w:val="00D35572"/>
    <w:rsid w:val="00D35DE0"/>
    <w:rsid w:val="00D36608"/>
    <w:rsid w:val="00D36A0D"/>
    <w:rsid w:val="00D37115"/>
    <w:rsid w:val="00D37667"/>
    <w:rsid w:val="00D401C0"/>
    <w:rsid w:val="00D401C9"/>
    <w:rsid w:val="00D405DE"/>
    <w:rsid w:val="00D40CA5"/>
    <w:rsid w:val="00D40F5B"/>
    <w:rsid w:val="00D4165E"/>
    <w:rsid w:val="00D4183F"/>
    <w:rsid w:val="00D41AFC"/>
    <w:rsid w:val="00D41B69"/>
    <w:rsid w:val="00D42835"/>
    <w:rsid w:val="00D429AD"/>
    <w:rsid w:val="00D42F6A"/>
    <w:rsid w:val="00D430A9"/>
    <w:rsid w:val="00D43E54"/>
    <w:rsid w:val="00D43EF4"/>
    <w:rsid w:val="00D44F78"/>
    <w:rsid w:val="00D4528A"/>
    <w:rsid w:val="00D453EF"/>
    <w:rsid w:val="00D4550A"/>
    <w:rsid w:val="00D45561"/>
    <w:rsid w:val="00D459AB"/>
    <w:rsid w:val="00D46740"/>
    <w:rsid w:val="00D46BB0"/>
    <w:rsid w:val="00D46BDA"/>
    <w:rsid w:val="00D47941"/>
    <w:rsid w:val="00D47CAD"/>
    <w:rsid w:val="00D503B6"/>
    <w:rsid w:val="00D503CB"/>
    <w:rsid w:val="00D50423"/>
    <w:rsid w:val="00D50787"/>
    <w:rsid w:val="00D50AC0"/>
    <w:rsid w:val="00D51346"/>
    <w:rsid w:val="00D513EC"/>
    <w:rsid w:val="00D52129"/>
    <w:rsid w:val="00D52865"/>
    <w:rsid w:val="00D53786"/>
    <w:rsid w:val="00D537C2"/>
    <w:rsid w:val="00D538CB"/>
    <w:rsid w:val="00D53C70"/>
    <w:rsid w:val="00D54747"/>
    <w:rsid w:val="00D55ADE"/>
    <w:rsid w:val="00D567B0"/>
    <w:rsid w:val="00D567D9"/>
    <w:rsid w:val="00D57856"/>
    <w:rsid w:val="00D607B6"/>
    <w:rsid w:val="00D611ED"/>
    <w:rsid w:val="00D6142C"/>
    <w:rsid w:val="00D61735"/>
    <w:rsid w:val="00D61C8E"/>
    <w:rsid w:val="00D623CF"/>
    <w:rsid w:val="00D62D52"/>
    <w:rsid w:val="00D63102"/>
    <w:rsid w:val="00D631BB"/>
    <w:rsid w:val="00D6405E"/>
    <w:rsid w:val="00D64265"/>
    <w:rsid w:val="00D6428E"/>
    <w:rsid w:val="00D6484C"/>
    <w:rsid w:val="00D64D1F"/>
    <w:rsid w:val="00D654B9"/>
    <w:rsid w:val="00D6565F"/>
    <w:rsid w:val="00D65AEF"/>
    <w:rsid w:val="00D65EEE"/>
    <w:rsid w:val="00D660BD"/>
    <w:rsid w:val="00D667DA"/>
    <w:rsid w:val="00D66D72"/>
    <w:rsid w:val="00D67DD2"/>
    <w:rsid w:val="00D7084D"/>
    <w:rsid w:val="00D7156E"/>
    <w:rsid w:val="00D71D4A"/>
    <w:rsid w:val="00D71D75"/>
    <w:rsid w:val="00D72E75"/>
    <w:rsid w:val="00D72F60"/>
    <w:rsid w:val="00D73034"/>
    <w:rsid w:val="00D73134"/>
    <w:rsid w:val="00D73529"/>
    <w:rsid w:val="00D73629"/>
    <w:rsid w:val="00D73B4A"/>
    <w:rsid w:val="00D74F07"/>
    <w:rsid w:val="00D7556E"/>
    <w:rsid w:val="00D756E6"/>
    <w:rsid w:val="00D75806"/>
    <w:rsid w:val="00D759B7"/>
    <w:rsid w:val="00D759D1"/>
    <w:rsid w:val="00D75BED"/>
    <w:rsid w:val="00D75C72"/>
    <w:rsid w:val="00D75C75"/>
    <w:rsid w:val="00D75DE3"/>
    <w:rsid w:val="00D76543"/>
    <w:rsid w:val="00D779ED"/>
    <w:rsid w:val="00D80707"/>
    <w:rsid w:val="00D81D6F"/>
    <w:rsid w:val="00D828F0"/>
    <w:rsid w:val="00D82A8E"/>
    <w:rsid w:val="00D83223"/>
    <w:rsid w:val="00D832E5"/>
    <w:rsid w:val="00D83959"/>
    <w:rsid w:val="00D8481A"/>
    <w:rsid w:val="00D8497F"/>
    <w:rsid w:val="00D84DE7"/>
    <w:rsid w:val="00D8525B"/>
    <w:rsid w:val="00D858B1"/>
    <w:rsid w:val="00D859B1"/>
    <w:rsid w:val="00D85B12"/>
    <w:rsid w:val="00D86726"/>
    <w:rsid w:val="00D86EA1"/>
    <w:rsid w:val="00D87758"/>
    <w:rsid w:val="00D87E75"/>
    <w:rsid w:val="00D90B5D"/>
    <w:rsid w:val="00D913C1"/>
    <w:rsid w:val="00D91405"/>
    <w:rsid w:val="00D91924"/>
    <w:rsid w:val="00D91A58"/>
    <w:rsid w:val="00D92246"/>
    <w:rsid w:val="00D9236A"/>
    <w:rsid w:val="00D92AB3"/>
    <w:rsid w:val="00D92E0A"/>
    <w:rsid w:val="00D92E36"/>
    <w:rsid w:val="00D92E99"/>
    <w:rsid w:val="00D931C6"/>
    <w:rsid w:val="00D93559"/>
    <w:rsid w:val="00D940A4"/>
    <w:rsid w:val="00D94157"/>
    <w:rsid w:val="00D94433"/>
    <w:rsid w:val="00D944DE"/>
    <w:rsid w:val="00D9521F"/>
    <w:rsid w:val="00D956F4"/>
    <w:rsid w:val="00D95706"/>
    <w:rsid w:val="00D95A9A"/>
    <w:rsid w:val="00D96039"/>
    <w:rsid w:val="00D96430"/>
    <w:rsid w:val="00D964C1"/>
    <w:rsid w:val="00D96768"/>
    <w:rsid w:val="00D96E8F"/>
    <w:rsid w:val="00D97EEE"/>
    <w:rsid w:val="00DA0157"/>
    <w:rsid w:val="00DA0215"/>
    <w:rsid w:val="00DA06EE"/>
    <w:rsid w:val="00DA0D5E"/>
    <w:rsid w:val="00DA115E"/>
    <w:rsid w:val="00DA18AA"/>
    <w:rsid w:val="00DA1D84"/>
    <w:rsid w:val="00DA23F6"/>
    <w:rsid w:val="00DA25E4"/>
    <w:rsid w:val="00DA3060"/>
    <w:rsid w:val="00DA323B"/>
    <w:rsid w:val="00DA3D5A"/>
    <w:rsid w:val="00DA42AD"/>
    <w:rsid w:val="00DA4C4C"/>
    <w:rsid w:val="00DA5A61"/>
    <w:rsid w:val="00DA653C"/>
    <w:rsid w:val="00DA6E80"/>
    <w:rsid w:val="00DA7036"/>
    <w:rsid w:val="00DA746E"/>
    <w:rsid w:val="00DA7682"/>
    <w:rsid w:val="00DA7BF6"/>
    <w:rsid w:val="00DB09F8"/>
    <w:rsid w:val="00DB0DA4"/>
    <w:rsid w:val="00DB0F74"/>
    <w:rsid w:val="00DB1CFC"/>
    <w:rsid w:val="00DB1D92"/>
    <w:rsid w:val="00DB1E95"/>
    <w:rsid w:val="00DB2363"/>
    <w:rsid w:val="00DB246A"/>
    <w:rsid w:val="00DB2CF9"/>
    <w:rsid w:val="00DB3B85"/>
    <w:rsid w:val="00DB4105"/>
    <w:rsid w:val="00DB478E"/>
    <w:rsid w:val="00DB496C"/>
    <w:rsid w:val="00DB4B5F"/>
    <w:rsid w:val="00DB51A5"/>
    <w:rsid w:val="00DB51B9"/>
    <w:rsid w:val="00DB5B8F"/>
    <w:rsid w:val="00DB6222"/>
    <w:rsid w:val="00DB69C4"/>
    <w:rsid w:val="00DB702B"/>
    <w:rsid w:val="00DB7D05"/>
    <w:rsid w:val="00DB7FB6"/>
    <w:rsid w:val="00DC05D4"/>
    <w:rsid w:val="00DC0926"/>
    <w:rsid w:val="00DC0AAD"/>
    <w:rsid w:val="00DC10CD"/>
    <w:rsid w:val="00DC118E"/>
    <w:rsid w:val="00DC15D6"/>
    <w:rsid w:val="00DC18ED"/>
    <w:rsid w:val="00DC1B2B"/>
    <w:rsid w:val="00DC25F6"/>
    <w:rsid w:val="00DC26E3"/>
    <w:rsid w:val="00DC28DE"/>
    <w:rsid w:val="00DC3222"/>
    <w:rsid w:val="00DC35E0"/>
    <w:rsid w:val="00DC3D5B"/>
    <w:rsid w:val="00DC4356"/>
    <w:rsid w:val="00DC483A"/>
    <w:rsid w:val="00DC49BC"/>
    <w:rsid w:val="00DC5323"/>
    <w:rsid w:val="00DC5816"/>
    <w:rsid w:val="00DC5F9A"/>
    <w:rsid w:val="00DC6AAA"/>
    <w:rsid w:val="00DC7E44"/>
    <w:rsid w:val="00DD02E2"/>
    <w:rsid w:val="00DD0804"/>
    <w:rsid w:val="00DD08D8"/>
    <w:rsid w:val="00DD099D"/>
    <w:rsid w:val="00DD0C50"/>
    <w:rsid w:val="00DD1918"/>
    <w:rsid w:val="00DD1B12"/>
    <w:rsid w:val="00DD1C0C"/>
    <w:rsid w:val="00DD1EC9"/>
    <w:rsid w:val="00DD3294"/>
    <w:rsid w:val="00DD36E3"/>
    <w:rsid w:val="00DD4C15"/>
    <w:rsid w:val="00DD5083"/>
    <w:rsid w:val="00DD52A8"/>
    <w:rsid w:val="00DD5E02"/>
    <w:rsid w:val="00DD6CBF"/>
    <w:rsid w:val="00DD7477"/>
    <w:rsid w:val="00DD75E7"/>
    <w:rsid w:val="00DD78AC"/>
    <w:rsid w:val="00DD7901"/>
    <w:rsid w:val="00DD79F7"/>
    <w:rsid w:val="00DE020A"/>
    <w:rsid w:val="00DE0699"/>
    <w:rsid w:val="00DE0977"/>
    <w:rsid w:val="00DE106C"/>
    <w:rsid w:val="00DE164C"/>
    <w:rsid w:val="00DE16F1"/>
    <w:rsid w:val="00DE1B41"/>
    <w:rsid w:val="00DE1F23"/>
    <w:rsid w:val="00DE2205"/>
    <w:rsid w:val="00DE2818"/>
    <w:rsid w:val="00DE2972"/>
    <w:rsid w:val="00DE32A3"/>
    <w:rsid w:val="00DE3419"/>
    <w:rsid w:val="00DE3793"/>
    <w:rsid w:val="00DE39E6"/>
    <w:rsid w:val="00DE4B9C"/>
    <w:rsid w:val="00DE5622"/>
    <w:rsid w:val="00DE56EB"/>
    <w:rsid w:val="00DE6222"/>
    <w:rsid w:val="00DE6408"/>
    <w:rsid w:val="00DE646B"/>
    <w:rsid w:val="00DE6C1B"/>
    <w:rsid w:val="00DE7499"/>
    <w:rsid w:val="00DE74B8"/>
    <w:rsid w:val="00DE78B6"/>
    <w:rsid w:val="00DE798C"/>
    <w:rsid w:val="00DF0150"/>
    <w:rsid w:val="00DF0F64"/>
    <w:rsid w:val="00DF1215"/>
    <w:rsid w:val="00DF1B56"/>
    <w:rsid w:val="00DF1E8C"/>
    <w:rsid w:val="00DF2206"/>
    <w:rsid w:val="00DF2606"/>
    <w:rsid w:val="00DF2B13"/>
    <w:rsid w:val="00DF37DF"/>
    <w:rsid w:val="00DF4208"/>
    <w:rsid w:val="00DF4525"/>
    <w:rsid w:val="00DF45A7"/>
    <w:rsid w:val="00DF5B17"/>
    <w:rsid w:val="00DF7373"/>
    <w:rsid w:val="00E00707"/>
    <w:rsid w:val="00E009F0"/>
    <w:rsid w:val="00E00EAF"/>
    <w:rsid w:val="00E0145B"/>
    <w:rsid w:val="00E01BD3"/>
    <w:rsid w:val="00E01FBE"/>
    <w:rsid w:val="00E02F9E"/>
    <w:rsid w:val="00E03538"/>
    <w:rsid w:val="00E0410B"/>
    <w:rsid w:val="00E046FD"/>
    <w:rsid w:val="00E049AF"/>
    <w:rsid w:val="00E04E89"/>
    <w:rsid w:val="00E056F1"/>
    <w:rsid w:val="00E05A41"/>
    <w:rsid w:val="00E05C0E"/>
    <w:rsid w:val="00E05DD5"/>
    <w:rsid w:val="00E063D5"/>
    <w:rsid w:val="00E06677"/>
    <w:rsid w:val="00E066D8"/>
    <w:rsid w:val="00E071FD"/>
    <w:rsid w:val="00E107FB"/>
    <w:rsid w:val="00E10C4D"/>
    <w:rsid w:val="00E10DFD"/>
    <w:rsid w:val="00E10EBD"/>
    <w:rsid w:val="00E1104C"/>
    <w:rsid w:val="00E11298"/>
    <w:rsid w:val="00E11D07"/>
    <w:rsid w:val="00E123EE"/>
    <w:rsid w:val="00E126EA"/>
    <w:rsid w:val="00E13239"/>
    <w:rsid w:val="00E13484"/>
    <w:rsid w:val="00E14131"/>
    <w:rsid w:val="00E14F20"/>
    <w:rsid w:val="00E15946"/>
    <w:rsid w:val="00E15FDE"/>
    <w:rsid w:val="00E16389"/>
    <w:rsid w:val="00E16EF0"/>
    <w:rsid w:val="00E17986"/>
    <w:rsid w:val="00E17ED9"/>
    <w:rsid w:val="00E17EF3"/>
    <w:rsid w:val="00E20C3B"/>
    <w:rsid w:val="00E2131E"/>
    <w:rsid w:val="00E21C03"/>
    <w:rsid w:val="00E21F1B"/>
    <w:rsid w:val="00E21F52"/>
    <w:rsid w:val="00E224B0"/>
    <w:rsid w:val="00E22DB7"/>
    <w:rsid w:val="00E22E5B"/>
    <w:rsid w:val="00E232EF"/>
    <w:rsid w:val="00E23530"/>
    <w:rsid w:val="00E238AA"/>
    <w:rsid w:val="00E240E1"/>
    <w:rsid w:val="00E24312"/>
    <w:rsid w:val="00E2465D"/>
    <w:rsid w:val="00E252BE"/>
    <w:rsid w:val="00E255D5"/>
    <w:rsid w:val="00E25B2E"/>
    <w:rsid w:val="00E25CC8"/>
    <w:rsid w:val="00E25E8A"/>
    <w:rsid w:val="00E262D2"/>
    <w:rsid w:val="00E26665"/>
    <w:rsid w:val="00E26696"/>
    <w:rsid w:val="00E266B0"/>
    <w:rsid w:val="00E274F5"/>
    <w:rsid w:val="00E27692"/>
    <w:rsid w:val="00E27795"/>
    <w:rsid w:val="00E27AAB"/>
    <w:rsid w:val="00E300E6"/>
    <w:rsid w:val="00E303A9"/>
    <w:rsid w:val="00E31F50"/>
    <w:rsid w:val="00E3242E"/>
    <w:rsid w:val="00E3265C"/>
    <w:rsid w:val="00E32688"/>
    <w:rsid w:val="00E32940"/>
    <w:rsid w:val="00E329F1"/>
    <w:rsid w:val="00E33A8E"/>
    <w:rsid w:val="00E33BFF"/>
    <w:rsid w:val="00E340C9"/>
    <w:rsid w:val="00E34293"/>
    <w:rsid w:val="00E34741"/>
    <w:rsid w:val="00E34794"/>
    <w:rsid w:val="00E34C80"/>
    <w:rsid w:val="00E34DC4"/>
    <w:rsid w:val="00E3503B"/>
    <w:rsid w:val="00E356AD"/>
    <w:rsid w:val="00E35D20"/>
    <w:rsid w:val="00E35F72"/>
    <w:rsid w:val="00E36565"/>
    <w:rsid w:val="00E36997"/>
    <w:rsid w:val="00E36BB4"/>
    <w:rsid w:val="00E36CD2"/>
    <w:rsid w:val="00E36FBB"/>
    <w:rsid w:val="00E37283"/>
    <w:rsid w:val="00E379D8"/>
    <w:rsid w:val="00E40023"/>
    <w:rsid w:val="00E40549"/>
    <w:rsid w:val="00E4058A"/>
    <w:rsid w:val="00E40B18"/>
    <w:rsid w:val="00E40D72"/>
    <w:rsid w:val="00E4107D"/>
    <w:rsid w:val="00E41748"/>
    <w:rsid w:val="00E417B0"/>
    <w:rsid w:val="00E41F6C"/>
    <w:rsid w:val="00E4234C"/>
    <w:rsid w:val="00E4260E"/>
    <w:rsid w:val="00E4277C"/>
    <w:rsid w:val="00E42C86"/>
    <w:rsid w:val="00E43F00"/>
    <w:rsid w:val="00E4418D"/>
    <w:rsid w:val="00E443D4"/>
    <w:rsid w:val="00E457F3"/>
    <w:rsid w:val="00E45842"/>
    <w:rsid w:val="00E45983"/>
    <w:rsid w:val="00E4621C"/>
    <w:rsid w:val="00E463AE"/>
    <w:rsid w:val="00E46869"/>
    <w:rsid w:val="00E46A40"/>
    <w:rsid w:val="00E47274"/>
    <w:rsid w:val="00E5079B"/>
    <w:rsid w:val="00E5089F"/>
    <w:rsid w:val="00E5090E"/>
    <w:rsid w:val="00E51173"/>
    <w:rsid w:val="00E517D8"/>
    <w:rsid w:val="00E519C8"/>
    <w:rsid w:val="00E51F2A"/>
    <w:rsid w:val="00E528B1"/>
    <w:rsid w:val="00E53C25"/>
    <w:rsid w:val="00E549FA"/>
    <w:rsid w:val="00E55377"/>
    <w:rsid w:val="00E553FE"/>
    <w:rsid w:val="00E559C3"/>
    <w:rsid w:val="00E55ACD"/>
    <w:rsid w:val="00E55E92"/>
    <w:rsid w:val="00E563C8"/>
    <w:rsid w:val="00E56627"/>
    <w:rsid w:val="00E56807"/>
    <w:rsid w:val="00E56F4C"/>
    <w:rsid w:val="00E574D7"/>
    <w:rsid w:val="00E575E2"/>
    <w:rsid w:val="00E57ABD"/>
    <w:rsid w:val="00E57C09"/>
    <w:rsid w:val="00E57DF8"/>
    <w:rsid w:val="00E60DBA"/>
    <w:rsid w:val="00E60DD6"/>
    <w:rsid w:val="00E61FCA"/>
    <w:rsid w:val="00E62200"/>
    <w:rsid w:val="00E62915"/>
    <w:rsid w:val="00E62F14"/>
    <w:rsid w:val="00E638CD"/>
    <w:rsid w:val="00E639D2"/>
    <w:rsid w:val="00E64307"/>
    <w:rsid w:val="00E6455B"/>
    <w:rsid w:val="00E6485B"/>
    <w:rsid w:val="00E64EE7"/>
    <w:rsid w:val="00E65171"/>
    <w:rsid w:val="00E6541D"/>
    <w:rsid w:val="00E657DC"/>
    <w:rsid w:val="00E65816"/>
    <w:rsid w:val="00E66580"/>
    <w:rsid w:val="00E66B1D"/>
    <w:rsid w:val="00E674EE"/>
    <w:rsid w:val="00E677D2"/>
    <w:rsid w:val="00E67DC0"/>
    <w:rsid w:val="00E702EF"/>
    <w:rsid w:val="00E706BB"/>
    <w:rsid w:val="00E70B45"/>
    <w:rsid w:val="00E70C12"/>
    <w:rsid w:val="00E71836"/>
    <w:rsid w:val="00E71B6C"/>
    <w:rsid w:val="00E72804"/>
    <w:rsid w:val="00E72C33"/>
    <w:rsid w:val="00E737CD"/>
    <w:rsid w:val="00E73A22"/>
    <w:rsid w:val="00E73F23"/>
    <w:rsid w:val="00E74CEC"/>
    <w:rsid w:val="00E75191"/>
    <w:rsid w:val="00E751C1"/>
    <w:rsid w:val="00E75AD0"/>
    <w:rsid w:val="00E75C55"/>
    <w:rsid w:val="00E76472"/>
    <w:rsid w:val="00E7685F"/>
    <w:rsid w:val="00E76A2D"/>
    <w:rsid w:val="00E76F76"/>
    <w:rsid w:val="00E7777F"/>
    <w:rsid w:val="00E80290"/>
    <w:rsid w:val="00E80DDE"/>
    <w:rsid w:val="00E81275"/>
    <w:rsid w:val="00E814A1"/>
    <w:rsid w:val="00E81700"/>
    <w:rsid w:val="00E817CB"/>
    <w:rsid w:val="00E81B12"/>
    <w:rsid w:val="00E82418"/>
    <w:rsid w:val="00E828D6"/>
    <w:rsid w:val="00E829BA"/>
    <w:rsid w:val="00E829E8"/>
    <w:rsid w:val="00E82B1A"/>
    <w:rsid w:val="00E82B4E"/>
    <w:rsid w:val="00E82DE5"/>
    <w:rsid w:val="00E82E62"/>
    <w:rsid w:val="00E832C1"/>
    <w:rsid w:val="00E83807"/>
    <w:rsid w:val="00E83FEC"/>
    <w:rsid w:val="00E8400E"/>
    <w:rsid w:val="00E852A8"/>
    <w:rsid w:val="00E85960"/>
    <w:rsid w:val="00E859BA"/>
    <w:rsid w:val="00E85B53"/>
    <w:rsid w:val="00E867D2"/>
    <w:rsid w:val="00E87EDA"/>
    <w:rsid w:val="00E91046"/>
    <w:rsid w:val="00E9124F"/>
    <w:rsid w:val="00E917E4"/>
    <w:rsid w:val="00E919B3"/>
    <w:rsid w:val="00E91CC6"/>
    <w:rsid w:val="00E91DF0"/>
    <w:rsid w:val="00E91ECC"/>
    <w:rsid w:val="00E92598"/>
    <w:rsid w:val="00E92E26"/>
    <w:rsid w:val="00E92E39"/>
    <w:rsid w:val="00E93060"/>
    <w:rsid w:val="00E9311D"/>
    <w:rsid w:val="00E93205"/>
    <w:rsid w:val="00E93354"/>
    <w:rsid w:val="00E936D9"/>
    <w:rsid w:val="00E9380B"/>
    <w:rsid w:val="00E93CE0"/>
    <w:rsid w:val="00E9453D"/>
    <w:rsid w:val="00E946D6"/>
    <w:rsid w:val="00E948DB"/>
    <w:rsid w:val="00E94E8C"/>
    <w:rsid w:val="00E95442"/>
    <w:rsid w:val="00E9585E"/>
    <w:rsid w:val="00E9591F"/>
    <w:rsid w:val="00E965E0"/>
    <w:rsid w:val="00E9673F"/>
    <w:rsid w:val="00E97021"/>
    <w:rsid w:val="00E97E8D"/>
    <w:rsid w:val="00EA02E4"/>
    <w:rsid w:val="00EA056A"/>
    <w:rsid w:val="00EA0D93"/>
    <w:rsid w:val="00EA0F46"/>
    <w:rsid w:val="00EA18D6"/>
    <w:rsid w:val="00EA1A58"/>
    <w:rsid w:val="00EA1BD5"/>
    <w:rsid w:val="00EA2088"/>
    <w:rsid w:val="00EA22B0"/>
    <w:rsid w:val="00EA2448"/>
    <w:rsid w:val="00EA2C16"/>
    <w:rsid w:val="00EA318A"/>
    <w:rsid w:val="00EA3B13"/>
    <w:rsid w:val="00EA425D"/>
    <w:rsid w:val="00EA4AC0"/>
    <w:rsid w:val="00EA570D"/>
    <w:rsid w:val="00EA68FA"/>
    <w:rsid w:val="00EA69E1"/>
    <w:rsid w:val="00EA6CEA"/>
    <w:rsid w:val="00EA720D"/>
    <w:rsid w:val="00EA73ED"/>
    <w:rsid w:val="00EB0360"/>
    <w:rsid w:val="00EB03A0"/>
    <w:rsid w:val="00EB0C1C"/>
    <w:rsid w:val="00EB168C"/>
    <w:rsid w:val="00EB27C1"/>
    <w:rsid w:val="00EB2947"/>
    <w:rsid w:val="00EB3093"/>
    <w:rsid w:val="00EB353C"/>
    <w:rsid w:val="00EB3594"/>
    <w:rsid w:val="00EB4082"/>
    <w:rsid w:val="00EB4876"/>
    <w:rsid w:val="00EB4989"/>
    <w:rsid w:val="00EB517C"/>
    <w:rsid w:val="00EB5744"/>
    <w:rsid w:val="00EB577F"/>
    <w:rsid w:val="00EB5E0F"/>
    <w:rsid w:val="00EB607D"/>
    <w:rsid w:val="00EB661E"/>
    <w:rsid w:val="00EB6717"/>
    <w:rsid w:val="00EB6C07"/>
    <w:rsid w:val="00EB7274"/>
    <w:rsid w:val="00EB737A"/>
    <w:rsid w:val="00EB738E"/>
    <w:rsid w:val="00EC0309"/>
    <w:rsid w:val="00EC0499"/>
    <w:rsid w:val="00EC0CED"/>
    <w:rsid w:val="00EC11A7"/>
    <w:rsid w:val="00EC13F1"/>
    <w:rsid w:val="00EC1552"/>
    <w:rsid w:val="00EC1A18"/>
    <w:rsid w:val="00EC1E59"/>
    <w:rsid w:val="00EC1F5E"/>
    <w:rsid w:val="00EC1F8F"/>
    <w:rsid w:val="00EC20C7"/>
    <w:rsid w:val="00EC21DF"/>
    <w:rsid w:val="00EC22F4"/>
    <w:rsid w:val="00EC23E8"/>
    <w:rsid w:val="00EC26D8"/>
    <w:rsid w:val="00EC2C0C"/>
    <w:rsid w:val="00EC33C7"/>
    <w:rsid w:val="00EC387B"/>
    <w:rsid w:val="00EC3BC6"/>
    <w:rsid w:val="00EC40A0"/>
    <w:rsid w:val="00EC4237"/>
    <w:rsid w:val="00EC57A1"/>
    <w:rsid w:val="00EC5CD8"/>
    <w:rsid w:val="00EC6A75"/>
    <w:rsid w:val="00EC6C13"/>
    <w:rsid w:val="00EC71AB"/>
    <w:rsid w:val="00EC7D0A"/>
    <w:rsid w:val="00ED0166"/>
    <w:rsid w:val="00ED0196"/>
    <w:rsid w:val="00ED035C"/>
    <w:rsid w:val="00ED0545"/>
    <w:rsid w:val="00ED0717"/>
    <w:rsid w:val="00ED0B96"/>
    <w:rsid w:val="00ED0E7E"/>
    <w:rsid w:val="00ED0F10"/>
    <w:rsid w:val="00ED175D"/>
    <w:rsid w:val="00ED2176"/>
    <w:rsid w:val="00ED252D"/>
    <w:rsid w:val="00ED30B6"/>
    <w:rsid w:val="00ED33A5"/>
    <w:rsid w:val="00ED34C8"/>
    <w:rsid w:val="00ED3500"/>
    <w:rsid w:val="00ED38E3"/>
    <w:rsid w:val="00ED3A5E"/>
    <w:rsid w:val="00ED41C1"/>
    <w:rsid w:val="00ED4360"/>
    <w:rsid w:val="00ED44BA"/>
    <w:rsid w:val="00ED49D1"/>
    <w:rsid w:val="00ED4AE7"/>
    <w:rsid w:val="00ED4B7D"/>
    <w:rsid w:val="00ED4FDD"/>
    <w:rsid w:val="00ED5342"/>
    <w:rsid w:val="00ED6198"/>
    <w:rsid w:val="00ED6C2F"/>
    <w:rsid w:val="00ED7149"/>
    <w:rsid w:val="00ED7391"/>
    <w:rsid w:val="00ED7706"/>
    <w:rsid w:val="00ED7F98"/>
    <w:rsid w:val="00EE0022"/>
    <w:rsid w:val="00EE096A"/>
    <w:rsid w:val="00EE19AD"/>
    <w:rsid w:val="00EE19C0"/>
    <w:rsid w:val="00EE1DFA"/>
    <w:rsid w:val="00EE1E2A"/>
    <w:rsid w:val="00EE23E7"/>
    <w:rsid w:val="00EE343E"/>
    <w:rsid w:val="00EE3D7D"/>
    <w:rsid w:val="00EE4000"/>
    <w:rsid w:val="00EE4A3C"/>
    <w:rsid w:val="00EE5272"/>
    <w:rsid w:val="00EE52F9"/>
    <w:rsid w:val="00EE5B9F"/>
    <w:rsid w:val="00EE5BBC"/>
    <w:rsid w:val="00EE673B"/>
    <w:rsid w:val="00EF0209"/>
    <w:rsid w:val="00EF03F4"/>
    <w:rsid w:val="00EF040E"/>
    <w:rsid w:val="00EF0F0A"/>
    <w:rsid w:val="00EF1411"/>
    <w:rsid w:val="00EF1804"/>
    <w:rsid w:val="00EF1A1D"/>
    <w:rsid w:val="00EF1CA8"/>
    <w:rsid w:val="00EF1F73"/>
    <w:rsid w:val="00EF2102"/>
    <w:rsid w:val="00EF2138"/>
    <w:rsid w:val="00EF28F3"/>
    <w:rsid w:val="00EF292A"/>
    <w:rsid w:val="00EF2F2A"/>
    <w:rsid w:val="00EF3170"/>
    <w:rsid w:val="00EF31E6"/>
    <w:rsid w:val="00EF38CF"/>
    <w:rsid w:val="00EF3D85"/>
    <w:rsid w:val="00EF46E7"/>
    <w:rsid w:val="00EF4BED"/>
    <w:rsid w:val="00EF53E0"/>
    <w:rsid w:val="00EF57E2"/>
    <w:rsid w:val="00EF5AFF"/>
    <w:rsid w:val="00EF65AE"/>
    <w:rsid w:val="00EF69E1"/>
    <w:rsid w:val="00EF6BCF"/>
    <w:rsid w:val="00EF6D3B"/>
    <w:rsid w:val="00EF6F4B"/>
    <w:rsid w:val="00EF77C2"/>
    <w:rsid w:val="00F0003B"/>
    <w:rsid w:val="00F00149"/>
    <w:rsid w:val="00F004E8"/>
    <w:rsid w:val="00F00CA3"/>
    <w:rsid w:val="00F013A8"/>
    <w:rsid w:val="00F018F9"/>
    <w:rsid w:val="00F02394"/>
    <w:rsid w:val="00F02DB5"/>
    <w:rsid w:val="00F0348A"/>
    <w:rsid w:val="00F03957"/>
    <w:rsid w:val="00F03BFB"/>
    <w:rsid w:val="00F03F33"/>
    <w:rsid w:val="00F0437C"/>
    <w:rsid w:val="00F04661"/>
    <w:rsid w:val="00F05974"/>
    <w:rsid w:val="00F06001"/>
    <w:rsid w:val="00F06D74"/>
    <w:rsid w:val="00F06DA4"/>
    <w:rsid w:val="00F070D4"/>
    <w:rsid w:val="00F07308"/>
    <w:rsid w:val="00F0771C"/>
    <w:rsid w:val="00F07921"/>
    <w:rsid w:val="00F07DDE"/>
    <w:rsid w:val="00F07F2F"/>
    <w:rsid w:val="00F122EB"/>
    <w:rsid w:val="00F128B9"/>
    <w:rsid w:val="00F12C3F"/>
    <w:rsid w:val="00F12E69"/>
    <w:rsid w:val="00F13448"/>
    <w:rsid w:val="00F1385D"/>
    <w:rsid w:val="00F13CB4"/>
    <w:rsid w:val="00F13D06"/>
    <w:rsid w:val="00F13F8F"/>
    <w:rsid w:val="00F1440C"/>
    <w:rsid w:val="00F14625"/>
    <w:rsid w:val="00F14644"/>
    <w:rsid w:val="00F14A16"/>
    <w:rsid w:val="00F14A31"/>
    <w:rsid w:val="00F14AA4"/>
    <w:rsid w:val="00F14C65"/>
    <w:rsid w:val="00F14D24"/>
    <w:rsid w:val="00F157B0"/>
    <w:rsid w:val="00F15E31"/>
    <w:rsid w:val="00F17898"/>
    <w:rsid w:val="00F20331"/>
    <w:rsid w:val="00F20657"/>
    <w:rsid w:val="00F20A17"/>
    <w:rsid w:val="00F20B74"/>
    <w:rsid w:val="00F219C1"/>
    <w:rsid w:val="00F21B40"/>
    <w:rsid w:val="00F21F36"/>
    <w:rsid w:val="00F23616"/>
    <w:rsid w:val="00F23769"/>
    <w:rsid w:val="00F2396F"/>
    <w:rsid w:val="00F23E3D"/>
    <w:rsid w:val="00F245BC"/>
    <w:rsid w:val="00F25008"/>
    <w:rsid w:val="00F253EA"/>
    <w:rsid w:val="00F25E77"/>
    <w:rsid w:val="00F26865"/>
    <w:rsid w:val="00F27058"/>
    <w:rsid w:val="00F272C2"/>
    <w:rsid w:val="00F273C4"/>
    <w:rsid w:val="00F27689"/>
    <w:rsid w:val="00F27A83"/>
    <w:rsid w:val="00F27C67"/>
    <w:rsid w:val="00F30067"/>
    <w:rsid w:val="00F306BF"/>
    <w:rsid w:val="00F30916"/>
    <w:rsid w:val="00F30AF7"/>
    <w:rsid w:val="00F31745"/>
    <w:rsid w:val="00F31991"/>
    <w:rsid w:val="00F3208F"/>
    <w:rsid w:val="00F3240B"/>
    <w:rsid w:val="00F32895"/>
    <w:rsid w:val="00F32D90"/>
    <w:rsid w:val="00F32EF8"/>
    <w:rsid w:val="00F3319E"/>
    <w:rsid w:val="00F331A4"/>
    <w:rsid w:val="00F331D7"/>
    <w:rsid w:val="00F33ED2"/>
    <w:rsid w:val="00F3442D"/>
    <w:rsid w:val="00F347FD"/>
    <w:rsid w:val="00F34EAF"/>
    <w:rsid w:val="00F35289"/>
    <w:rsid w:val="00F35A7E"/>
    <w:rsid w:val="00F361B9"/>
    <w:rsid w:val="00F3677B"/>
    <w:rsid w:val="00F36B17"/>
    <w:rsid w:val="00F37653"/>
    <w:rsid w:val="00F37656"/>
    <w:rsid w:val="00F37C02"/>
    <w:rsid w:val="00F40211"/>
    <w:rsid w:val="00F408A6"/>
    <w:rsid w:val="00F40B9D"/>
    <w:rsid w:val="00F41034"/>
    <w:rsid w:val="00F41381"/>
    <w:rsid w:val="00F4192C"/>
    <w:rsid w:val="00F43691"/>
    <w:rsid w:val="00F444CA"/>
    <w:rsid w:val="00F44BC2"/>
    <w:rsid w:val="00F44DDB"/>
    <w:rsid w:val="00F454C0"/>
    <w:rsid w:val="00F462DC"/>
    <w:rsid w:val="00F4634E"/>
    <w:rsid w:val="00F464D2"/>
    <w:rsid w:val="00F46780"/>
    <w:rsid w:val="00F46C68"/>
    <w:rsid w:val="00F46D20"/>
    <w:rsid w:val="00F46E9F"/>
    <w:rsid w:val="00F4725B"/>
    <w:rsid w:val="00F50605"/>
    <w:rsid w:val="00F50910"/>
    <w:rsid w:val="00F50A61"/>
    <w:rsid w:val="00F515AE"/>
    <w:rsid w:val="00F518D0"/>
    <w:rsid w:val="00F51A95"/>
    <w:rsid w:val="00F51D97"/>
    <w:rsid w:val="00F5284B"/>
    <w:rsid w:val="00F52894"/>
    <w:rsid w:val="00F53038"/>
    <w:rsid w:val="00F5326D"/>
    <w:rsid w:val="00F53436"/>
    <w:rsid w:val="00F5370A"/>
    <w:rsid w:val="00F53D92"/>
    <w:rsid w:val="00F5421E"/>
    <w:rsid w:val="00F549AF"/>
    <w:rsid w:val="00F5568C"/>
    <w:rsid w:val="00F55918"/>
    <w:rsid w:val="00F55986"/>
    <w:rsid w:val="00F55A33"/>
    <w:rsid w:val="00F55D30"/>
    <w:rsid w:val="00F56020"/>
    <w:rsid w:val="00F5740D"/>
    <w:rsid w:val="00F57828"/>
    <w:rsid w:val="00F57883"/>
    <w:rsid w:val="00F604B7"/>
    <w:rsid w:val="00F608B6"/>
    <w:rsid w:val="00F60AD8"/>
    <w:rsid w:val="00F60D01"/>
    <w:rsid w:val="00F6105E"/>
    <w:rsid w:val="00F61158"/>
    <w:rsid w:val="00F61463"/>
    <w:rsid w:val="00F614A7"/>
    <w:rsid w:val="00F6157D"/>
    <w:rsid w:val="00F617B7"/>
    <w:rsid w:val="00F617B9"/>
    <w:rsid w:val="00F619A0"/>
    <w:rsid w:val="00F61D3C"/>
    <w:rsid w:val="00F61E86"/>
    <w:rsid w:val="00F626C0"/>
    <w:rsid w:val="00F62ABE"/>
    <w:rsid w:val="00F631BB"/>
    <w:rsid w:val="00F6360A"/>
    <w:rsid w:val="00F636DC"/>
    <w:rsid w:val="00F640BE"/>
    <w:rsid w:val="00F644E1"/>
    <w:rsid w:val="00F6471D"/>
    <w:rsid w:val="00F64963"/>
    <w:rsid w:val="00F649D9"/>
    <w:rsid w:val="00F64ABA"/>
    <w:rsid w:val="00F64E30"/>
    <w:rsid w:val="00F6555F"/>
    <w:rsid w:val="00F659E8"/>
    <w:rsid w:val="00F66176"/>
    <w:rsid w:val="00F66F65"/>
    <w:rsid w:val="00F67C90"/>
    <w:rsid w:val="00F702A7"/>
    <w:rsid w:val="00F702BC"/>
    <w:rsid w:val="00F7059E"/>
    <w:rsid w:val="00F70A25"/>
    <w:rsid w:val="00F71253"/>
    <w:rsid w:val="00F71951"/>
    <w:rsid w:val="00F71B44"/>
    <w:rsid w:val="00F71D72"/>
    <w:rsid w:val="00F71F4C"/>
    <w:rsid w:val="00F727FB"/>
    <w:rsid w:val="00F72C38"/>
    <w:rsid w:val="00F738D1"/>
    <w:rsid w:val="00F73A48"/>
    <w:rsid w:val="00F73FF2"/>
    <w:rsid w:val="00F7406E"/>
    <w:rsid w:val="00F746B1"/>
    <w:rsid w:val="00F75156"/>
    <w:rsid w:val="00F7530A"/>
    <w:rsid w:val="00F754D6"/>
    <w:rsid w:val="00F75971"/>
    <w:rsid w:val="00F759CD"/>
    <w:rsid w:val="00F766FB"/>
    <w:rsid w:val="00F76DC0"/>
    <w:rsid w:val="00F7757E"/>
    <w:rsid w:val="00F77B9B"/>
    <w:rsid w:val="00F77F1F"/>
    <w:rsid w:val="00F77FE9"/>
    <w:rsid w:val="00F802B7"/>
    <w:rsid w:val="00F803F5"/>
    <w:rsid w:val="00F80D07"/>
    <w:rsid w:val="00F80F8F"/>
    <w:rsid w:val="00F811B3"/>
    <w:rsid w:val="00F81234"/>
    <w:rsid w:val="00F8127C"/>
    <w:rsid w:val="00F81A28"/>
    <w:rsid w:val="00F81BDC"/>
    <w:rsid w:val="00F81F43"/>
    <w:rsid w:val="00F82A70"/>
    <w:rsid w:val="00F83789"/>
    <w:rsid w:val="00F83A7C"/>
    <w:rsid w:val="00F846A2"/>
    <w:rsid w:val="00F84B16"/>
    <w:rsid w:val="00F84D49"/>
    <w:rsid w:val="00F850D9"/>
    <w:rsid w:val="00F85372"/>
    <w:rsid w:val="00F85474"/>
    <w:rsid w:val="00F86003"/>
    <w:rsid w:val="00F8694C"/>
    <w:rsid w:val="00F904D9"/>
    <w:rsid w:val="00F90596"/>
    <w:rsid w:val="00F907EF"/>
    <w:rsid w:val="00F90959"/>
    <w:rsid w:val="00F90CC6"/>
    <w:rsid w:val="00F911B1"/>
    <w:rsid w:val="00F9174F"/>
    <w:rsid w:val="00F92105"/>
    <w:rsid w:val="00F92367"/>
    <w:rsid w:val="00F92D91"/>
    <w:rsid w:val="00F92E29"/>
    <w:rsid w:val="00F93CDC"/>
    <w:rsid w:val="00F94530"/>
    <w:rsid w:val="00F94B72"/>
    <w:rsid w:val="00F94DB2"/>
    <w:rsid w:val="00F954AD"/>
    <w:rsid w:val="00F95642"/>
    <w:rsid w:val="00F95DD2"/>
    <w:rsid w:val="00F96179"/>
    <w:rsid w:val="00F9634C"/>
    <w:rsid w:val="00F965AA"/>
    <w:rsid w:val="00F966D7"/>
    <w:rsid w:val="00F9673B"/>
    <w:rsid w:val="00F96956"/>
    <w:rsid w:val="00F96CAB"/>
    <w:rsid w:val="00F971D0"/>
    <w:rsid w:val="00F97469"/>
    <w:rsid w:val="00F97F99"/>
    <w:rsid w:val="00FA0597"/>
    <w:rsid w:val="00FA07B3"/>
    <w:rsid w:val="00FA0D35"/>
    <w:rsid w:val="00FA0FA1"/>
    <w:rsid w:val="00FA120D"/>
    <w:rsid w:val="00FA17C4"/>
    <w:rsid w:val="00FA24C5"/>
    <w:rsid w:val="00FA2900"/>
    <w:rsid w:val="00FA39B6"/>
    <w:rsid w:val="00FA3F42"/>
    <w:rsid w:val="00FA4029"/>
    <w:rsid w:val="00FA4179"/>
    <w:rsid w:val="00FA426B"/>
    <w:rsid w:val="00FA44E2"/>
    <w:rsid w:val="00FA484C"/>
    <w:rsid w:val="00FA5492"/>
    <w:rsid w:val="00FA56F2"/>
    <w:rsid w:val="00FA5850"/>
    <w:rsid w:val="00FA5ACE"/>
    <w:rsid w:val="00FA61A0"/>
    <w:rsid w:val="00FA6A07"/>
    <w:rsid w:val="00FA714E"/>
    <w:rsid w:val="00FA7B17"/>
    <w:rsid w:val="00FA7BCC"/>
    <w:rsid w:val="00FB1A96"/>
    <w:rsid w:val="00FB1C7B"/>
    <w:rsid w:val="00FB1D7E"/>
    <w:rsid w:val="00FB209C"/>
    <w:rsid w:val="00FB20F5"/>
    <w:rsid w:val="00FB2280"/>
    <w:rsid w:val="00FB2589"/>
    <w:rsid w:val="00FB295B"/>
    <w:rsid w:val="00FB29EE"/>
    <w:rsid w:val="00FB31C5"/>
    <w:rsid w:val="00FB35CE"/>
    <w:rsid w:val="00FB380E"/>
    <w:rsid w:val="00FB3F49"/>
    <w:rsid w:val="00FB4157"/>
    <w:rsid w:val="00FB4368"/>
    <w:rsid w:val="00FB4E0C"/>
    <w:rsid w:val="00FB4F57"/>
    <w:rsid w:val="00FB5015"/>
    <w:rsid w:val="00FB545A"/>
    <w:rsid w:val="00FB59BC"/>
    <w:rsid w:val="00FB5E28"/>
    <w:rsid w:val="00FB6685"/>
    <w:rsid w:val="00FB67A3"/>
    <w:rsid w:val="00FB6A3C"/>
    <w:rsid w:val="00FB6F75"/>
    <w:rsid w:val="00FB7022"/>
    <w:rsid w:val="00FB70CD"/>
    <w:rsid w:val="00FB71C2"/>
    <w:rsid w:val="00FB78BB"/>
    <w:rsid w:val="00FB7CBE"/>
    <w:rsid w:val="00FC00C7"/>
    <w:rsid w:val="00FC150C"/>
    <w:rsid w:val="00FC189A"/>
    <w:rsid w:val="00FC1BA2"/>
    <w:rsid w:val="00FC1DC5"/>
    <w:rsid w:val="00FC236C"/>
    <w:rsid w:val="00FC24B7"/>
    <w:rsid w:val="00FC2508"/>
    <w:rsid w:val="00FC343D"/>
    <w:rsid w:val="00FC3EA6"/>
    <w:rsid w:val="00FC3FAA"/>
    <w:rsid w:val="00FC43AF"/>
    <w:rsid w:val="00FC4ED3"/>
    <w:rsid w:val="00FC56A1"/>
    <w:rsid w:val="00FC5A0F"/>
    <w:rsid w:val="00FC5D43"/>
    <w:rsid w:val="00FC60AB"/>
    <w:rsid w:val="00FC6202"/>
    <w:rsid w:val="00FC6427"/>
    <w:rsid w:val="00FC6B5A"/>
    <w:rsid w:val="00FC6C56"/>
    <w:rsid w:val="00FC74D1"/>
    <w:rsid w:val="00FD0336"/>
    <w:rsid w:val="00FD144E"/>
    <w:rsid w:val="00FD1F3F"/>
    <w:rsid w:val="00FD2995"/>
    <w:rsid w:val="00FD2A1D"/>
    <w:rsid w:val="00FD33A8"/>
    <w:rsid w:val="00FD3552"/>
    <w:rsid w:val="00FD41C9"/>
    <w:rsid w:val="00FD4214"/>
    <w:rsid w:val="00FD4950"/>
    <w:rsid w:val="00FD5337"/>
    <w:rsid w:val="00FD5500"/>
    <w:rsid w:val="00FD573C"/>
    <w:rsid w:val="00FD65A1"/>
    <w:rsid w:val="00FD68A6"/>
    <w:rsid w:val="00FD6A6B"/>
    <w:rsid w:val="00FD6AFA"/>
    <w:rsid w:val="00FD72F7"/>
    <w:rsid w:val="00FD78F1"/>
    <w:rsid w:val="00FE01CE"/>
    <w:rsid w:val="00FE0EB3"/>
    <w:rsid w:val="00FE1086"/>
    <w:rsid w:val="00FE1167"/>
    <w:rsid w:val="00FE1BB5"/>
    <w:rsid w:val="00FE1CA6"/>
    <w:rsid w:val="00FE1D8B"/>
    <w:rsid w:val="00FE202E"/>
    <w:rsid w:val="00FE2182"/>
    <w:rsid w:val="00FE2610"/>
    <w:rsid w:val="00FE2FF2"/>
    <w:rsid w:val="00FE3003"/>
    <w:rsid w:val="00FE3CC3"/>
    <w:rsid w:val="00FE3F38"/>
    <w:rsid w:val="00FE4F6C"/>
    <w:rsid w:val="00FE5AC4"/>
    <w:rsid w:val="00FE5DB5"/>
    <w:rsid w:val="00FE65FD"/>
    <w:rsid w:val="00FE7EBA"/>
    <w:rsid w:val="00FF04B7"/>
    <w:rsid w:val="00FF05E9"/>
    <w:rsid w:val="00FF1508"/>
    <w:rsid w:val="00FF1608"/>
    <w:rsid w:val="00FF177F"/>
    <w:rsid w:val="00FF1C0F"/>
    <w:rsid w:val="00FF2296"/>
    <w:rsid w:val="00FF3072"/>
    <w:rsid w:val="00FF3B0F"/>
    <w:rsid w:val="00FF3F89"/>
    <w:rsid w:val="00FF44E1"/>
    <w:rsid w:val="00FF48B9"/>
    <w:rsid w:val="00FF49DD"/>
    <w:rsid w:val="00FF4B70"/>
    <w:rsid w:val="00FF4BAE"/>
    <w:rsid w:val="00FF51B1"/>
    <w:rsid w:val="00FF51DE"/>
    <w:rsid w:val="00FF521C"/>
    <w:rsid w:val="00FF5615"/>
    <w:rsid w:val="00FF56E4"/>
    <w:rsid w:val="00FF58A5"/>
    <w:rsid w:val="00FF5C0F"/>
    <w:rsid w:val="00FF5C27"/>
    <w:rsid w:val="00FF6075"/>
    <w:rsid w:val="00FF6B43"/>
    <w:rsid w:val="00FF6CC9"/>
    <w:rsid w:val="00FF70F0"/>
    <w:rsid w:val="00FF70F4"/>
    <w:rsid w:val="00FF734C"/>
    <w:rsid w:val="0E4932EC"/>
    <w:rsid w:val="3CFA4F09"/>
    <w:rsid w:val="3D750079"/>
    <w:rsid w:val="3F7B01DF"/>
    <w:rsid w:val="5A056BC9"/>
    <w:rsid w:val="5AC24903"/>
    <w:rsid w:val="661528F6"/>
    <w:rsid w:val="6EFFA556"/>
    <w:rsid w:val="7BA6D0A2"/>
    <w:rsid w:val="7E6F0BE0"/>
    <w:rsid w:val="7E6F31C8"/>
    <w:rsid w:val="7E87F281"/>
    <w:rsid w:val="7F7F8E78"/>
    <w:rsid w:val="9B6F745C"/>
    <w:rsid w:val="B5FB12D6"/>
    <w:rsid w:val="B7D49DE7"/>
    <w:rsid w:val="BDEB40E7"/>
    <w:rsid w:val="ED5BD326"/>
    <w:rsid w:val="F3CF901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opacity="25443f" focussize="0,0"/>
      <v:stroke weight="3pt" color="#FF0000" dashstyle="1 1"/>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name="heading 5"/>
    <w:lsdException w:qFormat="1" w:unhideWhenUsed="0" w:uiPriority="0" w:name="heading 6"/>
    <w:lsdException w:qFormat="1" w:unhideWhenUsed="0" w:uiPriority="0" w:name="heading 7"/>
    <w:lsdException w:qFormat="1" w:unhideWhenUsed="0" w:uiPriority="0" w:name="heading 8"/>
    <w:lsdException w:qFormat="1" w:unhideWhenUsed="0"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uiPriority="0" w:name="Normal Indent"/>
    <w:lsdException w:uiPriority="99"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99"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99"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name="Subtitle"/>
    <w:lsdException w:qFormat="1" w:unhideWhenUsed="0" w:uiPriority="0" w:name="Salutation"/>
    <w:lsdException w:unhideWhenUsed="0" w:uiPriority="99"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99" w:name="FollowedHyperlink"/>
    <w:lsdException w:unhideWhenUsed="0" w:uiPriority="22" w:semiHidden="0" w:name="Strong"/>
    <w:lsdException w:unhideWhenUsed="0" w:uiPriority="0" w:semiHidden="0" w:name="Emphasis"/>
    <w:lsdException w:uiPriority="0" w:name="Document Map"/>
    <w:lsdException w:uiPriority="0" w:name="Plain Text"/>
    <w:lsdException w:uiPriority="0" w:name="E-mail Signature"/>
    <w:lsdException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99" w:name="Balloon Text"/>
    <w:lsdException w:qFormat="1" w:unhideWhenUsed="0" w:uiPriority="99"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cs="Times New Roman" w:eastAsiaTheme="minorEastAsia"/>
      <w:kern w:val="2"/>
      <w:sz w:val="28"/>
      <w:lang w:val="en-US" w:eastAsia="zh-CN" w:bidi="ar-SA"/>
    </w:rPr>
  </w:style>
  <w:style w:type="paragraph" w:styleId="2">
    <w:name w:val="heading 1"/>
    <w:basedOn w:val="1"/>
    <w:next w:val="1"/>
    <w:link w:val="36"/>
    <w:qFormat/>
    <w:uiPriority w:val="0"/>
    <w:pPr>
      <w:pageBreakBefore/>
      <w:numPr>
        <w:ilvl w:val="0"/>
        <w:numId w:val="1"/>
      </w:numPr>
      <w:spacing w:before="100" w:beforeLines="100" w:after="100" w:afterLines="100" w:line="240" w:lineRule="auto"/>
      <w:ind w:left="0" w:firstLine="0" w:firstLineChars="0"/>
      <w:jc w:val="center"/>
      <w:outlineLvl w:val="0"/>
    </w:pPr>
    <w:rPr>
      <w:rFonts w:eastAsia="黑体"/>
      <w:sz w:val="36"/>
    </w:rPr>
  </w:style>
  <w:style w:type="paragraph" w:styleId="3">
    <w:name w:val="heading 2"/>
    <w:basedOn w:val="1"/>
    <w:next w:val="1"/>
    <w:link w:val="37"/>
    <w:qFormat/>
    <w:uiPriority w:val="0"/>
    <w:pPr>
      <w:numPr>
        <w:ilvl w:val="1"/>
        <w:numId w:val="1"/>
      </w:numPr>
      <w:spacing w:before="20" w:beforeLines="20" w:after="20" w:afterLines="20"/>
      <w:ind w:left="0" w:firstLineChars="0"/>
      <w:outlineLvl w:val="1"/>
    </w:pPr>
    <w:rPr>
      <w:rFonts w:ascii="黑体" w:eastAsia="黑体"/>
      <w:sz w:val="32"/>
      <w:szCs w:val="30"/>
    </w:rPr>
  </w:style>
  <w:style w:type="paragraph" w:styleId="4">
    <w:name w:val="heading 3"/>
    <w:basedOn w:val="1"/>
    <w:next w:val="1"/>
    <w:link w:val="38"/>
    <w:qFormat/>
    <w:uiPriority w:val="0"/>
    <w:pPr>
      <w:keepNext/>
      <w:keepLines/>
      <w:numPr>
        <w:ilvl w:val="2"/>
        <w:numId w:val="1"/>
      </w:numPr>
      <w:adjustRightInd w:val="0"/>
      <w:spacing w:before="200" w:after="260" w:line="240" w:lineRule="auto"/>
      <w:ind w:left="0" w:firstLine="0" w:firstLineChars="0"/>
      <w:jc w:val="left"/>
      <w:outlineLvl w:val="2"/>
    </w:pPr>
    <w:rPr>
      <w:rFonts w:eastAsia="黑体"/>
      <w:color w:val="000000" w:themeColor="text1"/>
      <w:sz w:val="30"/>
      <w:lang w:val="zh-CN"/>
      <w14:textFill>
        <w14:solidFill>
          <w14:schemeClr w14:val="tx1"/>
        </w14:solidFill>
      </w14:textFill>
    </w:rPr>
  </w:style>
  <w:style w:type="paragraph" w:styleId="5">
    <w:name w:val="heading 4"/>
    <w:basedOn w:val="1"/>
    <w:next w:val="1"/>
    <w:link w:val="39"/>
    <w:qFormat/>
    <w:uiPriority w:val="0"/>
    <w:pPr>
      <w:keepNext/>
      <w:keepLines/>
      <w:numPr>
        <w:ilvl w:val="3"/>
        <w:numId w:val="1"/>
      </w:numPr>
      <w:tabs>
        <w:tab w:val="left" w:pos="0"/>
        <w:tab w:val="clear" w:pos="864"/>
      </w:tabs>
      <w:ind w:left="0" w:hanging="142" w:firstLineChars="0"/>
      <w:outlineLvl w:val="3"/>
    </w:pPr>
    <w:rPr>
      <w:rFonts w:eastAsia="黑体"/>
      <w:color w:val="000000" w:themeColor="text1"/>
      <w14:textFill>
        <w14:solidFill>
          <w14:schemeClr w14:val="tx1"/>
        </w14:solidFill>
      </w14:textFill>
    </w:rPr>
  </w:style>
  <w:style w:type="paragraph" w:styleId="6">
    <w:name w:val="heading 5"/>
    <w:basedOn w:val="1"/>
    <w:next w:val="1"/>
    <w:link w:val="41"/>
    <w:semiHidden/>
    <w:qFormat/>
    <w:uiPriority w:val="0"/>
    <w:pPr>
      <w:keepNext/>
      <w:keepLines/>
      <w:tabs>
        <w:tab w:val="left" w:pos="1008"/>
      </w:tabs>
      <w:spacing w:before="280" w:after="290" w:line="374" w:lineRule="auto"/>
      <w:ind w:firstLine="0" w:firstLineChars="0"/>
      <w:outlineLvl w:val="4"/>
    </w:pPr>
    <w:rPr>
      <w:b/>
    </w:rPr>
  </w:style>
  <w:style w:type="paragraph" w:styleId="7">
    <w:name w:val="heading 6"/>
    <w:basedOn w:val="1"/>
    <w:next w:val="1"/>
    <w:link w:val="42"/>
    <w:semiHidden/>
    <w:qFormat/>
    <w:uiPriority w:val="0"/>
    <w:pPr>
      <w:keepNext/>
      <w:keepLines/>
      <w:tabs>
        <w:tab w:val="left" w:pos="1152"/>
      </w:tabs>
      <w:spacing w:before="240" w:after="64" w:line="319" w:lineRule="auto"/>
      <w:ind w:firstLine="0" w:firstLineChars="0"/>
      <w:outlineLvl w:val="5"/>
    </w:pPr>
    <w:rPr>
      <w:rFonts w:ascii="Arial" w:hAnsi="Arial" w:eastAsia="黑体"/>
      <w:b/>
      <w:sz w:val="24"/>
    </w:rPr>
  </w:style>
  <w:style w:type="paragraph" w:styleId="8">
    <w:name w:val="heading 7"/>
    <w:basedOn w:val="1"/>
    <w:next w:val="1"/>
    <w:link w:val="43"/>
    <w:semiHidden/>
    <w:qFormat/>
    <w:uiPriority w:val="0"/>
    <w:pPr>
      <w:keepNext/>
      <w:keepLines/>
      <w:tabs>
        <w:tab w:val="left" w:pos="1296"/>
      </w:tabs>
      <w:spacing w:before="240" w:after="64" w:line="319" w:lineRule="auto"/>
      <w:ind w:firstLine="0" w:firstLineChars="0"/>
      <w:outlineLvl w:val="6"/>
    </w:pPr>
    <w:rPr>
      <w:b/>
      <w:sz w:val="24"/>
    </w:rPr>
  </w:style>
  <w:style w:type="paragraph" w:styleId="9">
    <w:name w:val="heading 8"/>
    <w:basedOn w:val="1"/>
    <w:next w:val="1"/>
    <w:link w:val="44"/>
    <w:semiHidden/>
    <w:qFormat/>
    <w:uiPriority w:val="0"/>
    <w:pPr>
      <w:keepNext/>
      <w:keepLines/>
      <w:tabs>
        <w:tab w:val="left" w:pos="1440"/>
      </w:tabs>
      <w:spacing w:before="240" w:after="64" w:line="319" w:lineRule="auto"/>
      <w:ind w:firstLine="0" w:firstLineChars="0"/>
      <w:outlineLvl w:val="7"/>
    </w:pPr>
    <w:rPr>
      <w:rFonts w:ascii="Arial" w:hAnsi="Arial" w:eastAsia="黑体"/>
      <w:sz w:val="24"/>
    </w:rPr>
  </w:style>
  <w:style w:type="paragraph" w:styleId="10">
    <w:name w:val="heading 9"/>
    <w:basedOn w:val="1"/>
    <w:next w:val="1"/>
    <w:link w:val="45"/>
    <w:semiHidden/>
    <w:qFormat/>
    <w:uiPriority w:val="0"/>
    <w:pPr>
      <w:keepNext/>
      <w:keepLines/>
      <w:tabs>
        <w:tab w:val="left" w:pos="1584"/>
      </w:tabs>
      <w:spacing w:before="240" w:after="64" w:line="319" w:lineRule="auto"/>
      <w:ind w:firstLine="0" w:firstLineChars="0"/>
      <w:outlineLvl w:val="8"/>
    </w:pPr>
    <w:rPr>
      <w:rFonts w:ascii="Arial" w:hAnsi="Arial" w:eastAsia="黑体"/>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qFormat/>
    <w:uiPriority w:val="39"/>
    <w:pPr>
      <w:ind w:left="1680"/>
      <w:jc w:val="left"/>
    </w:pPr>
    <w:rPr>
      <w:rFonts w:ascii="Calibri" w:hAnsi="Calibri"/>
      <w:bCs/>
      <w:sz w:val="18"/>
      <w:szCs w:val="18"/>
    </w:rPr>
  </w:style>
  <w:style w:type="paragraph" w:styleId="12">
    <w:name w:val="Salutation"/>
    <w:basedOn w:val="1"/>
    <w:next w:val="1"/>
    <w:link w:val="47"/>
    <w:semiHidden/>
    <w:qFormat/>
    <w:uiPriority w:val="0"/>
    <w:pPr>
      <w:adjustRightInd w:val="0"/>
      <w:spacing w:line="312" w:lineRule="atLeast"/>
      <w:ind w:firstLine="0" w:firstLineChars="0"/>
      <w:textAlignment w:val="baseline"/>
    </w:pPr>
    <w:rPr>
      <w:rFonts w:eastAsia="宋体"/>
      <w:kern w:val="0"/>
      <w:sz w:val="21"/>
    </w:rPr>
  </w:style>
  <w:style w:type="paragraph" w:styleId="13">
    <w:name w:val="toc 5"/>
    <w:basedOn w:val="1"/>
    <w:next w:val="1"/>
    <w:semiHidden/>
    <w:qFormat/>
    <w:uiPriority w:val="39"/>
    <w:pPr>
      <w:ind w:left="1120"/>
      <w:jc w:val="left"/>
    </w:pPr>
    <w:rPr>
      <w:rFonts w:ascii="Calibri" w:hAnsi="Calibri"/>
      <w:bCs/>
      <w:sz w:val="18"/>
      <w:szCs w:val="18"/>
    </w:rPr>
  </w:style>
  <w:style w:type="paragraph" w:styleId="14">
    <w:name w:val="toc 3"/>
    <w:basedOn w:val="1"/>
    <w:next w:val="1"/>
    <w:semiHidden/>
    <w:qFormat/>
    <w:uiPriority w:val="39"/>
    <w:pPr>
      <w:ind w:left="560"/>
      <w:jc w:val="left"/>
    </w:pPr>
    <w:rPr>
      <w:rFonts w:ascii="Calibri" w:hAnsi="Calibri"/>
      <w:bCs/>
      <w:i/>
      <w:iCs/>
      <w:sz w:val="20"/>
    </w:rPr>
  </w:style>
  <w:style w:type="paragraph" w:styleId="15">
    <w:name w:val="toc 8"/>
    <w:basedOn w:val="1"/>
    <w:next w:val="1"/>
    <w:semiHidden/>
    <w:qFormat/>
    <w:uiPriority w:val="39"/>
    <w:pPr>
      <w:ind w:left="1960"/>
      <w:jc w:val="left"/>
    </w:pPr>
    <w:rPr>
      <w:rFonts w:ascii="Calibri" w:hAnsi="Calibri"/>
      <w:bCs/>
      <w:sz w:val="18"/>
      <w:szCs w:val="18"/>
    </w:rPr>
  </w:style>
  <w:style w:type="paragraph" w:styleId="16">
    <w:name w:val="footer"/>
    <w:basedOn w:val="1"/>
    <w:link w:val="58"/>
    <w:qFormat/>
    <w:uiPriority w:val="99"/>
    <w:pPr>
      <w:tabs>
        <w:tab w:val="center" w:pos="4153"/>
        <w:tab w:val="right" w:pos="8306"/>
      </w:tabs>
      <w:snapToGrid w:val="0"/>
      <w:jc w:val="left"/>
    </w:pPr>
    <w:rPr>
      <w:rFonts w:eastAsia="宋体"/>
      <w:bCs/>
      <w:color w:val="000000"/>
      <w:kern w:val="0"/>
      <w:sz w:val="18"/>
      <w:szCs w:val="18"/>
    </w:rPr>
  </w:style>
  <w:style w:type="paragraph" w:styleId="17">
    <w:name w:val="header"/>
    <w:basedOn w:val="1"/>
    <w:link w:val="40"/>
    <w:qFormat/>
    <w:uiPriority w:val="99"/>
    <w:pPr>
      <w:tabs>
        <w:tab w:val="center" w:pos="4153"/>
        <w:tab w:val="right" w:pos="8306"/>
      </w:tabs>
      <w:adjustRightInd w:val="0"/>
      <w:snapToGrid w:val="0"/>
      <w:ind w:firstLine="360" w:firstLineChars="0"/>
      <w:jc w:val="right"/>
    </w:pPr>
    <w:rPr>
      <w:rFonts w:ascii="仿宋_GB2312" w:hAnsi="宋体" w:eastAsia="宋体"/>
      <w:bCs/>
      <w:kern w:val="0"/>
      <w:sz w:val="24"/>
      <w:szCs w:val="28"/>
    </w:rPr>
  </w:style>
  <w:style w:type="paragraph" w:styleId="18">
    <w:name w:val="toc 1"/>
    <w:basedOn w:val="1"/>
    <w:next w:val="1"/>
    <w:qFormat/>
    <w:uiPriority w:val="39"/>
    <w:pPr>
      <w:tabs>
        <w:tab w:val="left" w:pos="851"/>
        <w:tab w:val="left" w:pos="1120"/>
        <w:tab w:val="right" w:leader="dot" w:pos="8660"/>
      </w:tabs>
      <w:spacing w:before="120" w:after="120"/>
      <w:ind w:firstLine="482"/>
      <w:jc w:val="left"/>
    </w:pPr>
    <w:rPr>
      <w:rFonts w:eastAsia="宋体"/>
      <w:b/>
      <w:caps/>
      <w:sz w:val="24"/>
    </w:rPr>
  </w:style>
  <w:style w:type="paragraph" w:styleId="19">
    <w:name w:val="toc 4"/>
    <w:basedOn w:val="1"/>
    <w:next w:val="1"/>
    <w:semiHidden/>
    <w:qFormat/>
    <w:uiPriority w:val="39"/>
    <w:pPr>
      <w:ind w:left="840"/>
      <w:jc w:val="left"/>
    </w:pPr>
    <w:rPr>
      <w:rFonts w:ascii="Calibri" w:hAnsi="Calibri"/>
      <w:bCs/>
      <w:sz w:val="18"/>
      <w:szCs w:val="18"/>
    </w:rPr>
  </w:style>
  <w:style w:type="paragraph" w:styleId="20">
    <w:name w:val="Subtitle"/>
    <w:basedOn w:val="1"/>
    <w:link w:val="50"/>
    <w:semiHidden/>
    <w:qFormat/>
    <w:uiPriority w:val="0"/>
    <w:pPr>
      <w:spacing w:before="240" w:after="60" w:line="312" w:lineRule="auto"/>
      <w:jc w:val="center"/>
      <w:outlineLvl w:val="1"/>
    </w:pPr>
    <w:rPr>
      <w:rFonts w:ascii="Arial" w:hAnsi="Arial"/>
      <w:b/>
      <w:kern w:val="28"/>
      <w:sz w:val="32"/>
    </w:rPr>
  </w:style>
  <w:style w:type="paragraph" w:styleId="21">
    <w:name w:val="toc 6"/>
    <w:basedOn w:val="1"/>
    <w:next w:val="1"/>
    <w:semiHidden/>
    <w:qFormat/>
    <w:uiPriority w:val="39"/>
    <w:pPr>
      <w:ind w:left="1400"/>
      <w:jc w:val="left"/>
    </w:pPr>
    <w:rPr>
      <w:rFonts w:ascii="Calibri" w:hAnsi="Calibri"/>
      <w:bCs/>
      <w:sz w:val="18"/>
      <w:szCs w:val="18"/>
    </w:rPr>
  </w:style>
  <w:style w:type="paragraph" w:styleId="22">
    <w:name w:val="toc 2"/>
    <w:basedOn w:val="1"/>
    <w:next w:val="1"/>
    <w:qFormat/>
    <w:uiPriority w:val="39"/>
    <w:pPr>
      <w:tabs>
        <w:tab w:val="right" w:leader="dot" w:pos="8647"/>
      </w:tabs>
      <w:ind w:firstLine="785" w:firstLineChars="327"/>
    </w:pPr>
    <w:rPr>
      <w:rFonts w:eastAsia="宋体"/>
      <w:bCs/>
      <w:smallCaps/>
      <w:sz w:val="24"/>
    </w:rPr>
  </w:style>
  <w:style w:type="paragraph" w:styleId="23">
    <w:name w:val="toc 9"/>
    <w:basedOn w:val="1"/>
    <w:next w:val="1"/>
    <w:semiHidden/>
    <w:qFormat/>
    <w:uiPriority w:val="39"/>
    <w:pPr>
      <w:ind w:left="2240"/>
      <w:jc w:val="left"/>
    </w:pPr>
    <w:rPr>
      <w:rFonts w:ascii="Calibri" w:hAnsi="Calibri"/>
      <w:bCs/>
      <w:sz w:val="18"/>
      <w:szCs w:val="18"/>
    </w:rPr>
  </w:style>
  <w:style w:type="paragraph" w:styleId="24">
    <w:name w:val="Title"/>
    <w:basedOn w:val="20"/>
    <w:link w:val="49"/>
    <w:qFormat/>
    <w:uiPriority w:val="0"/>
    <w:pPr>
      <w:spacing w:line="680" w:lineRule="exact"/>
      <w:ind w:firstLine="600"/>
      <w:outlineLvl w:val="0"/>
    </w:pPr>
    <w:rPr>
      <w:rFonts w:ascii="黑体" w:eastAsia="黑体"/>
      <w:sz w:val="36"/>
    </w:rPr>
  </w:style>
  <w:style w:type="table" w:styleId="26">
    <w:name w:val="Table Grid"/>
    <w:basedOn w:val="2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page number"/>
    <w:basedOn w:val="27"/>
    <w:qFormat/>
    <w:uiPriority w:val="0"/>
  </w:style>
  <w:style w:type="character" w:styleId="29">
    <w:name w:val="Hyperlink"/>
    <w:qFormat/>
    <w:uiPriority w:val="99"/>
    <w:rPr>
      <w:color w:val="0000FF"/>
      <w:u w:val="single"/>
    </w:rPr>
  </w:style>
  <w:style w:type="character" w:styleId="30">
    <w:name w:val="footnote reference"/>
    <w:semiHidden/>
    <w:qFormat/>
    <w:uiPriority w:val="99"/>
    <w:rPr>
      <w:vertAlign w:val="superscript"/>
    </w:rPr>
  </w:style>
  <w:style w:type="paragraph" w:customStyle="1" w:styleId="31">
    <w:name w:val="表头"/>
    <w:basedOn w:val="1"/>
    <w:link w:val="32"/>
    <w:qFormat/>
    <w:uiPriority w:val="0"/>
    <w:pPr>
      <w:ind w:firstLine="0" w:firstLineChars="0"/>
      <w:jc w:val="left"/>
    </w:pPr>
    <w:rPr>
      <w:rFonts w:eastAsia="黑体"/>
      <w:bCs/>
      <w:color w:val="000000" w:themeColor="text1"/>
      <w:kern w:val="0"/>
      <w:sz w:val="24"/>
      <w:szCs w:val="28"/>
      <w:lang w:bidi="en-US"/>
      <w14:textFill>
        <w14:solidFill>
          <w14:schemeClr w14:val="tx1"/>
        </w14:solidFill>
      </w14:textFill>
    </w:rPr>
  </w:style>
  <w:style w:type="character" w:customStyle="1" w:styleId="32">
    <w:name w:val="表头 Char"/>
    <w:link w:val="31"/>
    <w:qFormat/>
    <w:uiPriority w:val="0"/>
    <w:rPr>
      <w:rFonts w:eastAsia="黑体"/>
      <w:bCs/>
      <w:color w:val="000000" w:themeColor="text1"/>
      <w:sz w:val="24"/>
      <w:szCs w:val="28"/>
      <w:lang w:bidi="en-US"/>
      <w14:textFill>
        <w14:solidFill>
          <w14:schemeClr w14:val="tx1"/>
        </w14:solidFill>
      </w14:textFill>
    </w:rPr>
  </w:style>
  <w:style w:type="paragraph" w:customStyle="1" w:styleId="33">
    <w:name w:val="封面大标题"/>
    <w:basedOn w:val="1"/>
    <w:qFormat/>
    <w:uiPriority w:val="6"/>
    <w:pPr>
      <w:spacing w:line="1200" w:lineRule="exact"/>
      <w:ind w:firstLine="0" w:firstLineChars="0"/>
      <w:jc w:val="center"/>
    </w:pPr>
    <w:rPr>
      <w:rFonts w:ascii="黑体" w:eastAsia="黑体"/>
      <w:sz w:val="52"/>
      <w:szCs w:val="52"/>
    </w:rPr>
  </w:style>
  <w:style w:type="paragraph" w:customStyle="1" w:styleId="34">
    <w:name w:val="封面落款"/>
    <w:basedOn w:val="1"/>
    <w:qFormat/>
    <w:uiPriority w:val="0"/>
    <w:pPr>
      <w:spacing w:before="72" w:beforeLines="30" w:line="360" w:lineRule="exact"/>
      <w:ind w:firstLine="0" w:firstLineChars="0"/>
      <w:jc w:val="center"/>
    </w:pPr>
    <w:rPr>
      <w:rFonts w:ascii="黑体" w:hAnsi="黑体" w:eastAsia="黑体"/>
      <w:bCs/>
      <w:kern w:val="0"/>
      <w:sz w:val="32"/>
      <w:szCs w:val="32"/>
    </w:rPr>
  </w:style>
  <w:style w:type="paragraph" w:customStyle="1" w:styleId="35">
    <w:name w:val="目录"/>
    <w:basedOn w:val="34"/>
    <w:qFormat/>
    <w:uiPriority w:val="0"/>
    <w:pPr>
      <w:tabs>
        <w:tab w:val="left" w:pos="823"/>
        <w:tab w:val="center" w:pos="1485"/>
      </w:tabs>
      <w:spacing w:line="480" w:lineRule="auto"/>
    </w:pPr>
    <w:rPr>
      <w:color w:val="000000" w:themeColor="text1"/>
      <w14:textFill>
        <w14:solidFill>
          <w14:schemeClr w14:val="tx1"/>
        </w14:solidFill>
      </w14:textFill>
    </w:rPr>
  </w:style>
  <w:style w:type="character" w:customStyle="1" w:styleId="36">
    <w:name w:val="标题 1 字符"/>
    <w:link w:val="2"/>
    <w:qFormat/>
    <w:locked/>
    <w:uiPriority w:val="0"/>
    <w:rPr>
      <w:rFonts w:eastAsia="黑体"/>
      <w:kern w:val="2"/>
      <w:sz w:val="36"/>
    </w:rPr>
  </w:style>
  <w:style w:type="character" w:customStyle="1" w:styleId="37">
    <w:name w:val="标题 2 字符"/>
    <w:link w:val="3"/>
    <w:qFormat/>
    <w:locked/>
    <w:uiPriority w:val="0"/>
    <w:rPr>
      <w:rFonts w:ascii="黑体" w:eastAsia="黑体"/>
      <w:kern w:val="2"/>
      <w:sz w:val="32"/>
      <w:szCs w:val="30"/>
    </w:rPr>
  </w:style>
  <w:style w:type="character" w:customStyle="1" w:styleId="38">
    <w:name w:val="标题 3 字符"/>
    <w:link w:val="4"/>
    <w:qFormat/>
    <w:locked/>
    <w:uiPriority w:val="0"/>
    <w:rPr>
      <w:rFonts w:eastAsia="黑体"/>
      <w:color w:val="000000" w:themeColor="text1"/>
      <w:kern w:val="2"/>
      <w:sz w:val="30"/>
      <w:lang w:val="zh-CN"/>
      <w14:textFill>
        <w14:solidFill>
          <w14:schemeClr w14:val="tx1"/>
        </w14:solidFill>
      </w14:textFill>
    </w:rPr>
  </w:style>
  <w:style w:type="character" w:customStyle="1" w:styleId="39">
    <w:name w:val="标题 4 字符"/>
    <w:link w:val="5"/>
    <w:qFormat/>
    <w:locked/>
    <w:uiPriority w:val="0"/>
    <w:rPr>
      <w:rFonts w:eastAsia="黑体"/>
      <w:color w:val="000000" w:themeColor="text1"/>
      <w:kern w:val="2"/>
      <w:sz w:val="28"/>
      <w14:textFill>
        <w14:solidFill>
          <w14:schemeClr w14:val="tx1"/>
        </w14:solidFill>
      </w14:textFill>
    </w:rPr>
  </w:style>
  <w:style w:type="character" w:customStyle="1" w:styleId="40">
    <w:name w:val="页眉 字符"/>
    <w:link w:val="17"/>
    <w:qFormat/>
    <w:locked/>
    <w:uiPriority w:val="99"/>
    <w:rPr>
      <w:rFonts w:ascii="仿宋_GB2312" w:hAnsi="宋体"/>
      <w:bCs/>
      <w:sz w:val="24"/>
      <w:szCs w:val="28"/>
    </w:rPr>
  </w:style>
  <w:style w:type="character" w:customStyle="1" w:styleId="41">
    <w:name w:val="标题 5 字符"/>
    <w:link w:val="6"/>
    <w:semiHidden/>
    <w:qFormat/>
    <w:uiPriority w:val="0"/>
    <w:rPr>
      <w:rFonts w:eastAsiaTheme="minorEastAsia"/>
      <w:b/>
      <w:kern w:val="2"/>
      <w:sz w:val="28"/>
    </w:rPr>
  </w:style>
  <w:style w:type="character" w:customStyle="1" w:styleId="42">
    <w:name w:val="标题 6 字符"/>
    <w:link w:val="7"/>
    <w:semiHidden/>
    <w:qFormat/>
    <w:uiPriority w:val="0"/>
    <w:rPr>
      <w:rFonts w:ascii="Arial" w:hAnsi="Arial" w:eastAsia="黑体"/>
      <w:b/>
      <w:kern w:val="2"/>
      <w:sz w:val="24"/>
    </w:rPr>
  </w:style>
  <w:style w:type="character" w:customStyle="1" w:styleId="43">
    <w:name w:val="标题 7 字符"/>
    <w:link w:val="8"/>
    <w:semiHidden/>
    <w:qFormat/>
    <w:uiPriority w:val="0"/>
    <w:rPr>
      <w:rFonts w:eastAsiaTheme="minorEastAsia"/>
      <w:b/>
      <w:kern w:val="2"/>
      <w:sz w:val="24"/>
    </w:rPr>
  </w:style>
  <w:style w:type="character" w:customStyle="1" w:styleId="44">
    <w:name w:val="标题 8 字符"/>
    <w:link w:val="9"/>
    <w:semiHidden/>
    <w:qFormat/>
    <w:uiPriority w:val="0"/>
    <w:rPr>
      <w:rFonts w:ascii="Arial" w:hAnsi="Arial" w:eastAsia="黑体"/>
      <w:kern w:val="2"/>
      <w:sz w:val="24"/>
    </w:rPr>
  </w:style>
  <w:style w:type="character" w:customStyle="1" w:styleId="45">
    <w:name w:val="标题 9 字符"/>
    <w:link w:val="10"/>
    <w:semiHidden/>
    <w:qFormat/>
    <w:uiPriority w:val="0"/>
    <w:rPr>
      <w:rFonts w:ascii="Arial" w:hAnsi="Arial" w:eastAsia="黑体"/>
      <w:kern w:val="2"/>
      <w:sz w:val="28"/>
    </w:rPr>
  </w:style>
  <w:style w:type="paragraph" w:customStyle="1" w:styleId="46">
    <w:name w:val="TOC Heading"/>
    <w:basedOn w:val="2"/>
    <w:next w:val="1"/>
    <w:semiHidden/>
    <w:qFormat/>
    <w:uiPriority w:val="99"/>
    <w:pPr>
      <w:keepNext/>
      <w:keepLines/>
      <w:pageBreakBefore w:val="0"/>
      <w:numPr>
        <w:numId w:val="0"/>
      </w:numPr>
      <w:spacing w:before="340" w:after="330" w:line="578" w:lineRule="auto"/>
      <w:ind w:firstLine="200" w:firstLineChars="200"/>
      <w:jc w:val="both"/>
      <w:outlineLvl w:val="9"/>
    </w:pPr>
    <w:rPr>
      <w:rFonts w:eastAsia="仿宋_GB2312"/>
      <w:b/>
      <w:bCs/>
      <w:kern w:val="44"/>
      <w:sz w:val="44"/>
      <w:szCs w:val="44"/>
    </w:rPr>
  </w:style>
  <w:style w:type="character" w:customStyle="1" w:styleId="47">
    <w:name w:val="称呼 字符"/>
    <w:link w:val="12"/>
    <w:semiHidden/>
    <w:qFormat/>
    <w:uiPriority w:val="0"/>
    <w:rPr>
      <w:sz w:val="21"/>
    </w:rPr>
  </w:style>
  <w:style w:type="paragraph" w:customStyle="1" w:styleId="48">
    <w:name w:val="Revision"/>
    <w:hidden/>
    <w:qFormat/>
    <w:uiPriority w:val="99"/>
    <w:pPr>
      <w:spacing w:after="200" w:line="276" w:lineRule="auto"/>
    </w:pPr>
    <w:rPr>
      <w:rFonts w:ascii="Times New Roman" w:hAnsi="Times New Roman" w:eastAsia="宋体" w:cs="Times New Roman"/>
      <w:kern w:val="2"/>
      <w:sz w:val="21"/>
      <w:szCs w:val="24"/>
      <w:lang w:val="en-US" w:eastAsia="zh-CN" w:bidi="ar-SA"/>
    </w:rPr>
  </w:style>
  <w:style w:type="character" w:customStyle="1" w:styleId="49">
    <w:name w:val="标题 字符"/>
    <w:link w:val="24"/>
    <w:qFormat/>
    <w:uiPriority w:val="0"/>
    <w:rPr>
      <w:rFonts w:ascii="黑体" w:hAnsi="Arial" w:eastAsia="黑体"/>
      <w:b/>
      <w:kern w:val="28"/>
      <w:sz w:val="36"/>
    </w:rPr>
  </w:style>
  <w:style w:type="character" w:customStyle="1" w:styleId="50">
    <w:name w:val="副标题 字符"/>
    <w:link w:val="20"/>
    <w:semiHidden/>
    <w:qFormat/>
    <w:uiPriority w:val="0"/>
    <w:rPr>
      <w:rFonts w:ascii="Arial" w:hAnsi="Arial" w:eastAsiaTheme="minorEastAsia"/>
      <w:b/>
      <w:kern w:val="28"/>
      <w:sz w:val="32"/>
    </w:rPr>
  </w:style>
  <w:style w:type="character" w:styleId="51">
    <w:name w:val="Placeholder Text"/>
    <w:basedOn w:val="27"/>
    <w:semiHidden/>
    <w:qFormat/>
    <w:uiPriority w:val="99"/>
    <w:rPr>
      <w:color w:val="808080"/>
    </w:rPr>
  </w:style>
  <w:style w:type="paragraph" w:customStyle="1" w:styleId="52">
    <w:name w:val="_Style 50"/>
    <w:semiHidden/>
    <w:qFormat/>
    <w:uiPriority w:val="99"/>
    <w:pPr>
      <w:widowControl w:val="0"/>
      <w:ind w:firstLine="200" w:firstLineChars="200"/>
      <w:jc w:val="both"/>
    </w:pPr>
    <w:rPr>
      <w:rFonts w:ascii="Times New Roman" w:hAnsi="Times New Roman" w:eastAsia="仿宋_GB2312" w:cs="Times New Roman"/>
      <w:kern w:val="2"/>
      <w:sz w:val="28"/>
      <w:lang w:val="en-US" w:eastAsia="zh-CN" w:bidi="ar-SA"/>
    </w:rPr>
  </w:style>
  <w:style w:type="paragraph" w:customStyle="1" w:styleId="53">
    <w:name w:val="_Style 51"/>
    <w:semiHidden/>
    <w:qFormat/>
    <w:uiPriority w:val="99"/>
    <w:pPr>
      <w:widowControl w:val="0"/>
      <w:ind w:firstLine="200" w:firstLineChars="200"/>
      <w:jc w:val="both"/>
    </w:pPr>
    <w:rPr>
      <w:rFonts w:ascii="Times New Roman" w:hAnsi="Times New Roman" w:eastAsia="仿宋_GB2312" w:cs="Times New Roman"/>
      <w:kern w:val="2"/>
      <w:sz w:val="28"/>
      <w:lang w:val="en-US" w:eastAsia="zh-CN" w:bidi="ar-SA"/>
    </w:rPr>
  </w:style>
  <w:style w:type="paragraph" w:customStyle="1" w:styleId="54">
    <w:name w:val="_Style 52"/>
    <w:semiHidden/>
    <w:qFormat/>
    <w:uiPriority w:val="99"/>
    <w:rPr>
      <w:rFonts w:ascii="Times New Roman" w:hAnsi="Times New Roman" w:eastAsia="宋体" w:cs="Times New Roman"/>
      <w:lang w:val="en-US" w:eastAsia="zh-CN" w:bidi="ar-SA"/>
    </w:rPr>
  </w:style>
  <w:style w:type="paragraph" w:customStyle="1" w:styleId="55">
    <w:name w:val="表格控制"/>
    <w:basedOn w:val="1"/>
    <w:qFormat/>
    <w:uiPriority w:val="16"/>
    <w:pPr>
      <w:spacing w:line="240" w:lineRule="auto"/>
      <w:ind w:firstLine="0" w:firstLineChars="0"/>
      <w:jc w:val="center"/>
      <w:textAlignment w:val="center"/>
    </w:pPr>
    <w:rPr>
      <w:rFonts w:eastAsia="宋体"/>
      <w:color w:val="000000"/>
      <w:sz w:val="21"/>
    </w:rPr>
  </w:style>
  <w:style w:type="paragraph" w:customStyle="1" w:styleId="56">
    <w:name w:val="图名"/>
    <w:basedOn w:val="1"/>
    <w:next w:val="1"/>
    <w:link w:val="57"/>
    <w:qFormat/>
    <w:uiPriority w:val="0"/>
    <w:pPr>
      <w:spacing w:before="10" w:beforeLines="10" w:after="10" w:afterLines="10" w:line="240" w:lineRule="auto"/>
      <w:ind w:firstLine="0" w:firstLineChars="0"/>
      <w:jc w:val="center"/>
    </w:pPr>
    <w:rPr>
      <w:rFonts w:eastAsia="黑体"/>
      <w:sz w:val="24"/>
      <w:szCs w:val="24"/>
    </w:rPr>
  </w:style>
  <w:style w:type="character" w:customStyle="1" w:styleId="57">
    <w:name w:val="图名 Char"/>
    <w:link w:val="56"/>
    <w:qFormat/>
    <w:uiPriority w:val="0"/>
    <w:rPr>
      <w:rFonts w:eastAsia="黑体"/>
      <w:kern w:val="2"/>
      <w:sz w:val="24"/>
      <w:szCs w:val="24"/>
    </w:rPr>
  </w:style>
  <w:style w:type="character" w:customStyle="1" w:styleId="58">
    <w:name w:val="页脚 字符"/>
    <w:basedOn w:val="27"/>
    <w:link w:val="16"/>
    <w:qFormat/>
    <w:uiPriority w:val="99"/>
    <w:rPr>
      <w:bCs/>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electedStyle="\GB.XSL" StyleName="GB7714"/>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cd48d80c-cc3e-4d4d-a3fa-2c40cab1808b</errorID>
      <errorWord xmlns="http://schemas.wps.cn/vas-ai-hub/contract-review">法》《数据安全法</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法》和《数据安全法</item>
      </candidateList>
      <explain xmlns="http://schemas.wps.cn/vas-ai-hub/contract-review"/>
      <paraID xmlns="http://schemas.wps.cn/vas-ai-hub/contract-review"> 4AFD9DE</paraID>
      <start xmlns="http://schemas.wps.cn/vas-ai-hub/contract-review">16</start>
      <end xmlns="http://schemas.wps.cn/vas-ai-hub/contract-review">25</end>
      <status xmlns="http://schemas.wps.cn/vas-ai-hub/contract-review">modified</status>
      <modifiedWord xmlns="http://schemas.wps.cn/vas-ai-hub/contract-review">法》和《数据安全法</modifiedWord>
      <trackRevisions xmlns="http://schemas.wps.cn/vas-ai-hub/contract-review">false</trackRevisions>
    </reviewItem>
    <reviewItem xmlns="http://schemas.wps.cn/vas-ai-hub/contract-review">
      <errorID xmlns="http://schemas.wps.cn/vas-ai-hub/contract-review">17de4283-295f-498b-a888-c06ba2a10ec8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51E1FB0</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f7831285-8cf3-48d7-b231-ae557e726132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51E1FB0</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e7b9cdde-6e28-47d6-8a54-bc90f7a6c374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 51E1FB0</paraID>
      <start xmlns="http://schemas.wps.cn/vas-ai-hub/contract-review">23</start>
      <end xmlns="http://schemas.wps.cn/vas-ai-hub/contract-review">25</end>
      <status xmlns="http://schemas.wps.cn/vas-ai-hub/contract-review">modified</status>
      <modifiedWord xmlns="http://schemas.wps.cn/vas-ai-hub/contract-review">》和</modifiedWord>
      <trackRevisions xmlns="http://schemas.wps.cn/vas-ai-hub/contract-review">false</trackRevisions>
    </reviewItem>
    <reviewItem xmlns="http://schemas.wps.cn/vas-ai-hub/contract-review">
      <errorID xmlns="http://schemas.wps.cn/vas-ai-hub/contract-review">802e1ad1-6ad7-4539-8519-39054b1f2b91</errorID>
      <errorWord xmlns="http://schemas.wps.cn/vas-ai-hub/contract-review">数据集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数据</item>
      </candidateList>
      <explain xmlns="http://schemas.wps.cn/vas-ai-hub/contract-review"/>
      <paraID xmlns="http://schemas.wps.cn/vas-ai-hub/contract-review">6FB24627</paraID>
      <start xmlns="http://schemas.wps.cn/vas-ai-hub/contract-review">63</start>
      <end xmlns="http://schemas.wps.cn/vas-ai-hub/contract-review">66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60fb0eb4-0f81-4d88-9252-7754a2ac2cb1</errorID>
      <errorWord xmlns="http://schemas.wps.cn/vas-ai-hub/contract-review">数据安全法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中华人民共和国数据安全法</item>
      </candidateList>
      <explain xmlns="http://schemas.wps.cn/vas-ai-hub/contract-review">当前法律法规名称使用简称，请注意是否应当使用全称。</explain>
      <paraID xmlns="http://schemas.wps.cn/vas-ai-hub/contract-review">69F3745D</paraID>
      <start xmlns="http://schemas.wps.cn/vas-ai-hub/contract-review">1</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233df89a-0528-440d-bbb3-7e9117a92827</errorID>
      <errorWord xmlns="http://schemas.wps.cn/vas-ai-hub/contract-review">、等</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等</item>
      </candidateList>
      <explain xmlns="http://schemas.wps.cn/vas-ai-hub/contract-review">“及”“和”“等”连词前不宜使用顿号，建议删除（或使用逗号）。</explain>
      <paraID xmlns="http://schemas.wps.cn/vas-ai-hub/contract-review">69F3745D</paraID>
      <start xmlns="http://schemas.wps.cn/vas-ai-hub/contract-review">7</start>
      <end xmlns="http://schemas.wps.cn/vas-ai-hub/contract-review">8</end>
      <status xmlns="http://schemas.wps.cn/vas-ai-hub/contract-review">modified</status>
      <modifiedWord xmlns="http://schemas.wps.cn/vas-ai-hub/contract-review">等</modifiedWord>
      <trackRevisions xmlns="http://schemas.wps.cn/vas-ai-hub/contract-review">false</trackRevisions>
    </reviewItem>
    <reviewItem xmlns="http://schemas.wps.cn/vas-ai-hub/contract-review">
      <errorID xmlns="http://schemas.wps.cn/vas-ai-hub/contract-review">aa351671-42df-4fd7-9fbb-154d209cd78e</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2EA4AD31</paraID>
      <start xmlns="http://schemas.wps.cn/vas-ai-hub/contract-review">3</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290d9951-9819-412f-ad88-fe3a1ba45348</errorID>
      <errorWord xmlns="http://schemas.wps.cn/vas-ai-hub/contract-review">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明中</item>
      </candidateList>
      <explain xmlns="http://schemas.wps.cn/vas-ai-hub/contract-review"/>
      <paraID xmlns="http://schemas.wps.cn/vas-ai-hub/contract-review">6204F94C</paraID>
      <start xmlns="http://schemas.wps.cn/vas-ai-hub/contract-review">202</start>
      <end xmlns="http://schemas.wps.cn/vas-ai-hub/contract-review">204</end>
      <status xmlns="http://schemas.wps.cn/vas-ai-hub/contract-review">modified</status>
      <modifiedWord xmlns="http://schemas.wps.cn/vas-ai-hub/contract-review">明中</modifiedWord>
      <trackRevisions xmlns="http://schemas.wps.cn/vas-ai-hub/contract-review">false</trackRevisions>
    </reviewItem>
    <reviewItem xmlns="http://schemas.wps.cn/vas-ai-hub/contract-review">
      <errorID xmlns="http://schemas.wps.cn/vas-ai-hub/contract-review">dee76b12-f226-45ce-8738-6606ff49f46e</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1F08BD57</paraID>
      <start xmlns="http://schemas.wps.cn/vas-ai-hub/contract-review">99</start>
      <end xmlns="http://schemas.wps.cn/vas-ai-hub/contract-review">100</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6FCA9F4E-9AFB-45B7-B87F-CA0ACB736B55}">
  <ds:schemaRefs/>
</ds:datastoreItem>
</file>

<file path=customXml/itemProps2.xml><?xml version="1.0" encoding="utf-8"?>
<ds:datastoreItem xmlns:ds="http://schemas.openxmlformats.org/officeDocument/2006/customXml" ds:itemID="{97ba7222-a3bb-4da2-a17f-0e90b280f17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33</Pages>
  <Words>65</Words>
  <Characters>65</Characters>
  <Lines>377</Lines>
  <Paragraphs>296</Paragraphs>
  <TotalTime>9</TotalTime>
  <ScaleCrop>false</ScaleCrop>
  <LinksUpToDate>false</LinksUpToDate>
  <CharactersWithSpaces>65</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2019-08-10T01:11:00Z</dcterms:created>
  <dc:creator>drz</dc:creator>
  <cp:lastModifiedBy>THTF</cp:lastModifiedBy>
  <cp:lastPrinted>2019-12-25T00:20:00Z</cp:lastPrinted>
  <dcterms:modified xsi:type="dcterms:W3CDTF">2026-10-12T13:51:05Z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eyJoZGlkIjoiYzJiNTU3ZTVhMWQ5NzdjNmIxN2RhZDE5NDdhOTVlNzYiLCJ1c2VySWQiOiI0MTMwNDI0MTEifQ==</vt:lpwstr>
  </property>
  <property fmtid="{D5CDD505-2E9C-101B-9397-08002B2CF9AE}" pid="3" name="KSOProductBuildVer">
    <vt:lpwstr>2052-11.8.2.12219</vt:lpwstr>
  </property>
  <property fmtid="{D5CDD505-2E9C-101B-9397-08002B2CF9AE}" pid="4" name="ICV">
    <vt:lpwstr>DD8260470F4A4EFEAAB0EA43CB70B212_13</vt:lpwstr>
  </property>
</Properties>
</file>