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截流能力评估技术要点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截流设施按照实际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运行能力，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现状调蓄设施按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规模进行截流能力评估，具体评估方法如下：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一、合流制泵站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1.截流设施能力折算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单位面积降雨量(mm)=(截流设施的截流规模(m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/s)-泵站服务范围规划旱季污水量(m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/s))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3600/(泵站服务面积(km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径流系数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2.调蓄设施能力折算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单位面积降雨量(mm)=调蓄设施实际调蓄量(m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)/(泵站服务面积(km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径流系数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二、分流制泵站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1.截流设施能力折算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单位面积降雨量(mm)=截流设施的截流规模(m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/s)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3600/ (泵站服务面积(km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径流系数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2.调蓄设施能力折算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单位面积降雨量(mm)=调蓄设施实际调蓄量(m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)/(泵站服务面积(km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径流系数</w:t>
      </w:r>
      <w:r>
        <w:rPr>
          <w:rFonts w:hint="eastAsia" w:ascii="方正小标宋简体" w:eastAsia="方正小标宋简体"/>
          <w:sz w:val="36"/>
          <w:szCs w:val="36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auto"/>
          <w:sz w:val="32"/>
          <w:szCs w:val="32"/>
          <w:highlight w:val="none"/>
          <w:lang w:eastAsia="zh-CN"/>
        </w:rPr>
        <w:t>注</w:t>
      </w:r>
      <w:r>
        <w:rPr>
          <w:rFonts w:hint="eastAsia" w:ascii="楷体_GB2312" w:hAnsi="楷体_GB2312" w:eastAsia="楷体_GB2312" w:cs="楷体_GB2312"/>
          <w:i w:val="0"/>
          <w:iCs w:val="0"/>
          <w:color w:val="auto"/>
          <w:sz w:val="32"/>
          <w:szCs w:val="32"/>
          <w:highlight w:val="none"/>
          <w:lang w:val="en-US" w:eastAsia="zh"/>
        </w:rPr>
        <w:t>:</w:t>
      </w:r>
      <w:r>
        <w:rPr>
          <w:rFonts w:hint="eastAsia" w:ascii="楷体_GB2312" w:hAnsi="楷体_GB2312" w:eastAsia="楷体_GB2312" w:cs="楷体_GB2312"/>
          <w:i w:val="0"/>
          <w:i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i w:val="0"/>
          <w:iCs w:val="0"/>
          <w:color w:val="auto"/>
          <w:sz w:val="32"/>
          <w:szCs w:val="32"/>
          <w:highlight w:val="none"/>
        </w:rPr>
        <w:t>调蓄池放空设施能力</w:t>
      </w:r>
      <w:r>
        <w:rPr>
          <w:rFonts w:hint="eastAsia" w:ascii="楷体_GB2312" w:hAnsi="楷体_GB2312" w:eastAsia="楷体_GB2312" w:cs="楷体_GB2312"/>
          <w:i w:val="0"/>
          <w:iCs w:val="0"/>
          <w:color w:val="auto"/>
          <w:sz w:val="32"/>
          <w:szCs w:val="32"/>
          <w:highlight w:val="none"/>
          <w:lang w:eastAsia="zh-CN"/>
        </w:rPr>
        <w:t>统筹考虑，</w:t>
      </w:r>
      <w:r>
        <w:rPr>
          <w:rFonts w:hint="eastAsia" w:ascii="楷体_GB2312" w:hAnsi="楷体_GB2312" w:eastAsia="楷体_GB2312" w:cs="楷体_GB2312"/>
          <w:i w:val="0"/>
          <w:iCs w:val="0"/>
          <w:color w:val="auto"/>
          <w:sz w:val="32"/>
          <w:szCs w:val="32"/>
          <w:highlight w:val="none"/>
        </w:rPr>
        <w:t>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具备条件的可计入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截流调蓄能力。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20" w:firstLineChars="35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2.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调蓄设施实际调蓄量=调蓄池设计规模/调蓄池安全系数。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120" w:firstLineChars="35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"/>
        </w:rPr>
        <w:t>3.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重力截流泵站应依据设计资料进行评估或详询水务规划院。</w:t>
      </w:r>
    </w:p>
    <w:sectPr>
      <w:pgSz w:w="11906" w:h="16838"/>
      <w:pgMar w:top="1860" w:right="1800" w:bottom="20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E13E8"/>
    <w:rsid w:val="23FD7D11"/>
    <w:rsid w:val="2F3FEDBA"/>
    <w:rsid w:val="59EE13E8"/>
    <w:rsid w:val="77E227AF"/>
    <w:rsid w:val="CB3BA70D"/>
    <w:rsid w:val="F7F34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14.6666666666667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2025-04-17T01:55:00Z</dcterms:created>
  <dc:creator>市水务局</dc:creator>
  <cp:lastModifiedBy>文印室</cp:lastModifiedBy>
  <cp:lastPrinted>2025-04-18T21:50:02Z</cp:lastPrinted>
  <dcterms:modified xsi:type="dcterms:W3CDTF">2025-04-23T09:45:43Z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