
<file path=[Content_Types].xml><?xml version="1.0" encoding="utf-8"?>
<Types xmlns="http://schemas.openxmlformats.org/package/2006/content-types">
  <Default Extension="xml" ContentType="application/xml"/>
  <Default Extension="tiff" ContentType="image/tiff"/>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68272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10990C6">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7703CEF2">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hint="eastAsia" w:ascii="黑体" w:hAnsi="黑体" w:eastAsia="黑体"/>
                <w:sz w:val="21"/>
                <w:szCs w:val="21"/>
              </w:rPr>
              <w:t>13</w:t>
            </w:r>
          </w:p>
        </w:tc>
      </w:tr>
      <w:tr w14:paraId="7BB1F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09D3193">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6983ADDD">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sz w:val="21"/>
                <w:szCs w:val="21"/>
              </w:rPr>
              <w:t>Z 52</w:t>
            </w:r>
          </w:p>
        </w:tc>
      </w:tr>
    </w:tbl>
    <w:tbl>
      <w:tblPr>
        <w:tblStyle w:val="28"/>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3A7C81C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407" w:type="dxa"/>
          </w:tcPr>
          <w:p w14:paraId="74BE1019">
            <w:pPr>
              <w:pStyle w:val="50"/>
              <w:framePr w:w="0" w:hRule="auto" w:wrap="auto" w:vAnchor="margin" w:hAnchor="text" w:xAlign="left" w:yAlign="inline"/>
              <w:rPr>
                <w:rFonts w:ascii="宋体" w:hAnsi="宋体"/>
                <w:sz w:val="28"/>
                <w:szCs w:val="28"/>
              </w:rPr>
            </w:pPr>
            <w:bookmarkStart w:id="0"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rPr>
                <w:rFonts w:hint="eastAsia"/>
              </w:rPr>
              <w:t>31</w:t>
            </w:r>
          </w:p>
        </w:tc>
      </w:tr>
    </w:tbl>
    <w:p w14:paraId="558C4C8B">
      <w:pPr>
        <w:pStyle w:val="51"/>
        <w:framePr w:w="9639" w:h="624" w:hRule="exact" w:hSpace="181" w:vSpace="181" w:wrap="around" w:hAnchor="page" w:x="1305" w:y="2269"/>
        <w:rPr>
          <w:rFonts w:ascii="黑体" w:hAnsi="黑体" w:eastAsia="黑体"/>
          <w:b w:val="0"/>
          <w:bCs w:val="0"/>
          <w:w w:val="100"/>
          <w:sz w:val="48"/>
          <w:szCs w:val="48"/>
        </w:rPr>
      </w:pPr>
      <w:r>
        <w:rPr>
          <w:rFonts w:hint="eastAsia" w:ascii="黑体" w:eastAsia="黑体"/>
          <w:b w:val="0"/>
          <w:w w:val="100"/>
          <w:sz w:val="48"/>
        </w:rPr>
        <w:t>上海市地方标准化指导性技术文件</w:t>
      </w:r>
    </w:p>
    <w:bookmarkEnd w:id="0"/>
    <w:p w14:paraId="02615DBF">
      <w:pPr>
        <w:pStyle w:val="196"/>
        <w:framePr/>
        <w:rPr>
          <w:lang w:val="fr-FR"/>
        </w:rPr>
      </w:pPr>
      <w:r>
        <w:rPr>
          <w:lang w:val="fr-FR"/>
        </w:rPr>
        <w:t>DB</w:t>
      </w:r>
      <w:r>
        <w:rPr>
          <w:sz w:val="15"/>
          <w:szCs w:val="15"/>
          <w:lang w:val="fr-FR"/>
        </w:rPr>
        <w:t xml:space="preserve"> </w:t>
      </w:r>
      <w:r>
        <w:rPr>
          <w:rFonts w:hint="eastAsia"/>
        </w:rPr>
        <w:t>31 SW/Z</w:t>
      </w:r>
      <w:r>
        <w:rPr>
          <w:lang w:val="fr-FR"/>
        </w:rPr>
        <w:t xml:space="preserve"> </w:t>
      </w:r>
      <w:r>
        <w:rPr>
          <w:rFonts w:hint="eastAsia"/>
        </w:rPr>
        <w:t>001</w:t>
      </w:r>
      <w:r>
        <w:rPr>
          <w:rFonts w:hAnsi="黑体"/>
          <w:lang w:val="fr-FR"/>
        </w:rPr>
        <w:t>—</w:t>
      </w:r>
      <w:r>
        <w:fldChar w:fldCharType="begin">
          <w:ffData>
            <w:name w:val="NSTD_CODE_B"/>
            <w:enabled/>
            <w:calcOnExit w:val="0"/>
            <w:textInput>
              <w:default w:val="XXXX"/>
            </w:textInput>
          </w:ffData>
        </w:fldChar>
      </w:r>
      <w:bookmarkStart w:id="1" w:name="NSTD_CODE_B"/>
      <w:r>
        <w:rPr>
          <w:lang w:val="fr-FR"/>
        </w:rPr>
        <w:instrText xml:space="preserve"> FORMTEXT </w:instrText>
      </w:r>
      <w:r>
        <w:fldChar w:fldCharType="separate"/>
      </w:r>
      <w:r>
        <w:rPr>
          <w:lang w:val="fr-FR"/>
        </w:rPr>
        <w:t>XXXX</w:t>
      </w:r>
      <w:r>
        <w:fldChar w:fldCharType="end"/>
      </w:r>
      <w:bookmarkEnd w:id="1"/>
    </w:p>
    <w:p w14:paraId="6C56156B">
      <w:pPr>
        <w:pStyle w:val="197"/>
        <w:framePr/>
        <w:rPr>
          <w:rFonts w:hAnsi="黑体"/>
        </w:rPr>
      </w:pPr>
      <w:r>
        <w:rPr>
          <w:rFonts w:hint="eastAsia" w:hAnsi="黑体"/>
        </w:rPr>
        <w:t>代替DB 31 SW/Z 001—2023</w:t>
      </w:r>
    </w:p>
    <w:p w14:paraId="3D808A15">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73E1AE1">
      <w:pPr>
        <w:pStyle w:val="51"/>
        <w:framePr w:w="9639" w:h="6976" w:hRule="exact" w:hSpace="0" w:vSpace="0" w:wrap="around" w:hAnchor="page" w:y="6408"/>
        <w:jc w:val="center"/>
        <w:rPr>
          <w:rFonts w:ascii="黑体" w:hAnsi="黑体" w:eastAsia="黑体"/>
          <w:b w:val="0"/>
          <w:bCs w:val="0"/>
          <w:w w:val="100"/>
        </w:rPr>
      </w:pPr>
    </w:p>
    <w:p w14:paraId="7499D5A5">
      <w:pPr>
        <w:pStyle w:val="198"/>
        <w:framePr w:h="6974" w:hRule="exact" w:wrap="around" w:x="1419" w:anchorLock="1"/>
      </w:pPr>
      <w:r>
        <w:rPr>
          <w:rFonts w:hint="eastAsia"/>
        </w:rPr>
        <w:t>河湖健康评价技术指南</w:t>
      </w:r>
    </w:p>
    <w:p w14:paraId="4CA605B7">
      <w:pPr>
        <w:framePr w:w="9639" w:h="6974" w:hRule="exact" w:wrap="around" w:vAnchor="page" w:hAnchor="page" w:x="1419" w:y="6408" w:anchorLock="1"/>
        <w:ind w:left="-1418"/>
      </w:pPr>
    </w:p>
    <w:p w14:paraId="1836112E">
      <w:pPr>
        <w:pStyle w:val="126"/>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t xml:space="preserve">Technical </w:t>
      </w:r>
      <w:r>
        <w:rPr>
          <w:rFonts w:hint="eastAsia" w:ascii="黑体" w:hAnsi="黑体" w:eastAsia="黑体"/>
          <w:szCs w:val="28"/>
        </w:rPr>
        <w:t>g</w:t>
      </w:r>
      <w:r>
        <w:rPr>
          <w:rFonts w:ascii="黑体" w:hAnsi="黑体" w:eastAsia="黑体"/>
          <w:szCs w:val="28"/>
        </w:rPr>
        <w:t xml:space="preserve">uidelines for </w:t>
      </w:r>
      <w:r>
        <w:rPr>
          <w:rFonts w:hint="eastAsia" w:ascii="黑体" w:hAnsi="黑体" w:eastAsia="黑体"/>
          <w:szCs w:val="28"/>
        </w:rPr>
        <w:t>r</w:t>
      </w:r>
      <w:r>
        <w:rPr>
          <w:rFonts w:ascii="黑体" w:hAnsi="黑体" w:eastAsia="黑体"/>
          <w:szCs w:val="28"/>
        </w:rPr>
        <w:t xml:space="preserve">iver and </w:t>
      </w:r>
      <w:r>
        <w:rPr>
          <w:rFonts w:hint="eastAsia" w:ascii="黑体" w:hAnsi="黑体" w:eastAsia="黑体"/>
          <w:szCs w:val="28"/>
        </w:rPr>
        <w:t>l</w:t>
      </w:r>
      <w:r>
        <w:rPr>
          <w:rFonts w:ascii="黑体" w:hAnsi="黑体" w:eastAsia="黑体"/>
          <w:szCs w:val="28"/>
        </w:rPr>
        <w:t xml:space="preserve">ake </w:t>
      </w:r>
      <w:r>
        <w:rPr>
          <w:rFonts w:hint="eastAsia" w:ascii="黑体" w:hAnsi="黑体" w:eastAsia="黑体"/>
          <w:szCs w:val="28"/>
        </w:rPr>
        <w:t>h</w:t>
      </w:r>
      <w:r>
        <w:rPr>
          <w:rFonts w:ascii="黑体" w:hAnsi="黑体" w:eastAsia="黑体"/>
          <w:szCs w:val="28"/>
        </w:rPr>
        <w:t xml:space="preserve">ealth </w:t>
      </w:r>
      <w:r>
        <w:rPr>
          <w:rFonts w:hint="eastAsia" w:ascii="黑体" w:hAnsi="黑体" w:eastAsia="黑体"/>
          <w:szCs w:val="28"/>
        </w:rPr>
        <w:t>a</w:t>
      </w:r>
      <w:r>
        <w:rPr>
          <w:rFonts w:ascii="黑体" w:hAnsi="黑体" w:eastAsia="黑体"/>
          <w:szCs w:val="28"/>
        </w:rPr>
        <w:t>ssessment</w:t>
      </w:r>
    </w:p>
    <w:p w14:paraId="6D3DC110">
      <w:pPr>
        <w:framePr w:w="9639" w:h="6974" w:hRule="exact" w:wrap="around" w:vAnchor="page" w:hAnchor="page" w:x="1419" w:y="6408" w:anchorLock="1"/>
        <w:spacing w:line="760" w:lineRule="exact"/>
        <w:ind w:left="-1418"/>
      </w:pPr>
    </w:p>
    <w:p w14:paraId="75247B38">
      <w:pPr>
        <w:pStyle w:val="126"/>
        <w:framePr w:w="9639" w:h="6974" w:hRule="exact" w:wrap="around" w:vAnchor="page" w:hAnchor="page" w:x="1419" w:y="6408" w:anchorLock="1"/>
        <w:textAlignment w:val="bottom"/>
        <w:rPr>
          <w:rFonts w:eastAsia="黑体"/>
          <w:szCs w:val="28"/>
        </w:rPr>
      </w:pPr>
    </w:p>
    <w:p w14:paraId="13980FA7">
      <w:pPr>
        <w:pStyle w:val="126"/>
        <w:framePr w:w="9639" w:h="6974" w:hRule="exact" w:wrap="around" w:vAnchor="page" w:hAnchor="page" w:x="1419" w:y="6408" w:anchorLock="1"/>
        <w:spacing w:before="440" w:after="160"/>
        <w:textAlignment w:val="bottom"/>
        <w:rPr>
          <w:sz w:val="24"/>
          <w:szCs w:val="28"/>
        </w:rPr>
      </w:pPr>
      <w:r>
        <w:rPr>
          <w:rFonts w:hint="eastAsia"/>
          <w:sz w:val="24"/>
          <w:szCs w:val="28"/>
        </w:rPr>
        <w:t>（征求意见稿）</w:t>
      </w:r>
    </w:p>
    <w:p w14:paraId="4B9D3A55">
      <w:pPr>
        <w:pStyle w:val="126"/>
        <w:framePr w:w="9639" w:h="6974" w:hRule="exact" w:wrap="around" w:vAnchor="page" w:hAnchor="page" w:x="1419" w:y="6408" w:anchorLock="1"/>
        <w:spacing w:before="180" w:line="240" w:lineRule="atLeast"/>
        <w:textAlignment w:val="bottom"/>
        <w:rPr>
          <w:sz w:val="21"/>
          <w:szCs w:val="28"/>
        </w:rPr>
      </w:pPr>
    </w:p>
    <w:p w14:paraId="69D39F5A">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2" w:name="下拉2"/>
      <w:r>
        <w:rPr>
          <w:b/>
          <w:sz w:val="21"/>
          <w:szCs w:val="28"/>
        </w:rPr>
        <w:instrText xml:space="preserve"> FORMDROPDOWN </w:instrText>
      </w:r>
      <w:r>
        <w:rPr>
          <w:b/>
          <w:sz w:val="21"/>
          <w:szCs w:val="28"/>
        </w:rPr>
        <w:fldChar w:fldCharType="separate"/>
      </w:r>
      <w:r>
        <w:rPr>
          <w:b/>
          <w:sz w:val="21"/>
          <w:szCs w:val="28"/>
        </w:rPr>
        <w:fldChar w:fldCharType="end"/>
      </w:r>
      <w:bookmarkEnd w:id="2"/>
    </w:p>
    <w:p w14:paraId="76951CAE">
      <w:pPr>
        <w:pStyle w:val="194"/>
        <w:framePr w:wrap="around" w:y="14176"/>
      </w:pPr>
      <w:r>
        <w:rPr>
          <w:rFonts w:ascii="黑体"/>
        </w:rPr>
        <w:fldChar w:fldCharType="begin">
          <w:ffData>
            <w:name w:val="PLSH_DATE_Y"/>
            <w:enabled/>
            <w:calcOnExit w:val="0"/>
            <w:textInput>
              <w:default w:val="XXXX"/>
              <w:maxLength w:val="4"/>
            </w:textInput>
          </w:ffData>
        </w:fldChar>
      </w:r>
      <w:bookmarkStart w:id="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5"/>
      <w:r>
        <w:rPr>
          <w:rFonts w:hint="eastAsia"/>
        </w:rPr>
        <w:t>发布</w:t>
      </w:r>
    </w:p>
    <w:p w14:paraId="517A2902">
      <w:pPr>
        <w:pStyle w:val="195"/>
        <w:framePr w:wrap="around" w:y="14176"/>
      </w:pPr>
      <w:r>
        <w:rPr>
          <w:rFonts w:ascii="黑体"/>
        </w:rPr>
        <w:fldChar w:fldCharType="begin">
          <w:ffData>
            <w:name w:val="CROT_DATE_Y"/>
            <w:enabled/>
            <w:calcOnExit w:val="0"/>
            <w:textInput>
              <w:default w:val="XXXX"/>
              <w:maxLength w:val="4"/>
            </w:textInput>
          </w:ffData>
        </w:fldChar>
      </w:r>
      <w:bookmarkStart w:id="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rPr>
          <w:rFonts w:hint="eastAsia"/>
        </w:rPr>
        <w:t>实施</w:t>
      </w:r>
    </w:p>
    <w:p w14:paraId="56841DD9">
      <w:pPr>
        <w:pStyle w:val="152"/>
        <w:framePr w:h="584" w:hRule="exact" w:hSpace="181" w:vSpace="181" w:wrap="around" w:y="15027"/>
        <w:rPr>
          <w:rFonts w:hAnsi="黑体"/>
        </w:rPr>
      </w:pPr>
      <w:r>
        <w:rPr>
          <w:rFonts w:hint="eastAsia" w:hAnsi="黑体"/>
          <w:w w:val="100"/>
          <w:sz w:val="28"/>
        </w:rPr>
        <w:t>上海市水务局</w:t>
      </w:r>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2579EBCB">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561BDEF">
      <w:pPr>
        <w:pStyle w:val="92"/>
        <w:spacing w:after="468"/>
      </w:pPr>
      <w:bookmarkStart w:id="9" w:name="BookMark1"/>
      <w:bookmarkStart w:id="10" w:name="_Toc242796874"/>
      <w:r>
        <w:rPr>
          <w:rFonts w:hint="eastAsia"/>
          <w:spacing w:val="320"/>
        </w:rPr>
        <w:t>目</w:t>
      </w:r>
      <w:r>
        <w:rPr>
          <w:rFonts w:hint="eastAsia"/>
        </w:rPr>
        <w:t>次</w:t>
      </w:r>
    </w:p>
    <w:p w14:paraId="16E07561">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"_Toc242804718" </w:instrText>
      </w:r>
      <w:r>
        <w:fldChar w:fldCharType="separate"/>
      </w:r>
      <w:r>
        <w:rPr>
          <w:rStyle w:val="33"/>
          <w:rFonts w:hint="eastAsia"/>
        </w:rPr>
        <w:t>前言</w:t>
      </w:r>
      <w:r>
        <w:rPr>
          <w:rFonts w:hint="eastAsia"/>
        </w:rPr>
        <w:tab/>
      </w:r>
      <w:r>
        <w:rPr>
          <w:rFonts w:hint="eastAsia"/>
        </w:rPr>
        <w:fldChar w:fldCharType="begin"/>
      </w:r>
      <w:r>
        <w:rPr>
          <w:rFonts w:hint="eastAsia"/>
        </w:rPr>
        <w:instrText xml:space="preserve"> </w:instrText>
      </w:r>
      <w:r>
        <w:instrText xml:space="preserve">PAGEREF _Toc242804718 \h</w:instrText>
      </w:r>
      <w:r>
        <w:rPr>
          <w:rFonts w:hint="eastAsia"/>
        </w:rPr>
        <w:instrText xml:space="preserve"> </w:instrText>
      </w:r>
      <w:r>
        <w:rPr>
          <w:rFonts w:hint="eastAsia"/>
        </w:rPr>
        <w:fldChar w:fldCharType="separate"/>
      </w:r>
      <w:r>
        <w:t>III</w:t>
      </w:r>
      <w:r>
        <w:rPr>
          <w:rFonts w:hint="eastAsia"/>
        </w:rPr>
        <w:fldChar w:fldCharType="end"/>
      </w:r>
      <w:r>
        <w:rPr>
          <w:rFonts w:hint="eastAsia"/>
        </w:rPr>
        <w:fldChar w:fldCharType="end"/>
      </w:r>
    </w:p>
    <w:p w14:paraId="3C03B7F2">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"_Toc242804719" </w:instrText>
      </w:r>
      <w:r>
        <w:fldChar w:fldCharType="separate"/>
      </w:r>
      <w:r>
        <w:rPr>
          <w:rStyle w:val="33"/>
          <w:rFonts w:hint="eastAsia"/>
        </w:rPr>
        <w:t>1</w:t>
      </w:r>
      <w:r>
        <w:rPr>
          <w:rStyle w:val="33"/>
        </w:rPr>
        <w:t xml:space="preserve"> </w:t>
      </w:r>
      <w:r>
        <w:rPr>
          <w:rStyle w:val="33"/>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_Toc242804719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5B4911C">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"_Toc242804720" </w:instrText>
      </w:r>
      <w:r>
        <w:fldChar w:fldCharType="separate"/>
      </w:r>
      <w:r>
        <w:rPr>
          <w:rStyle w:val="33"/>
          <w:rFonts w:hint="eastAsia"/>
        </w:rPr>
        <w:t>2</w:t>
      </w:r>
      <w:r>
        <w:rPr>
          <w:rStyle w:val="33"/>
        </w:rPr>
        <w:t xml:space="preserve"> </w:t>
      </w:r>
      <w:r>
        <w:rPr>
          <w:rStyle w:val="33"/>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_Toc242804720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B2FC2FA">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"_Toc242804721" </w:instrText>
      </w:r>
      <w:r>
        <w:fldChar w:fldCharType="separate"/>
      </w:r>
      <w:r>
        <w:rPr>
          <w:rStyle w:val="33"/>
          <w:rFonts w:hint="eastAsia"/>
        </w:rPr>
        <w:t>3</w:t>
      </w:r>
      <w:r>
        <w:rPr>
          <w:rStyle w:val="33"/>
        </w:rPr>
        <w:t xml:space="preserve"> </w:t>
      </w:r>
      <w:r>
        <w:rPr>
          <w:rStyle w:val="33"/>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_Toc242804721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257C88F">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"_Toc242804722" </w:instrText>
      </w:r>
      <w:r>
        <w:fldChar w:fldCharType="separate"/>
      </w:r>
      <w:r>
        <w:rPr>
          <w:rStyle w:val="33"/>
          <w:rFonts w:hint="eastAsia"/>
        </w:rPr>
        <w:t>4</w:t>
      </w:r>
      <w:r>
        <w:rPr>
          <w:rStyle w:val="33"/>
        </w:rPr>
        <w:t xml:space="preserve"> </w:t>
      </w:r>
      <w:r>
        <w:rPr>
          <w:rStyle w:val="33"/>
          <w:rFonts w:hint="eastAsia"/>
        </w:rPr>
        <w:t xml:space="preserve"> 工作流程</w:t>
      </w:r>
      <w:r>
        <w:rPr>
          <w:rFonts w:hint="eastAsia"/>
        </w:rPr>
        <w:tab/>
      </w:r>
      <w:r>
        <w:rPr>
          <w:rFonts w:hint="eastAsia"/>
        </w:rPr>
        <w:fldChar w:fldCharType="begin"/>
      </w:r>
      <w:r>
        <w:rPr>
          <w:rFonts w:hint="eastAsia"/>
        </w:rPr>
        <w:instrText xml:space="preserve"> </w:instrText>
      </w:r>
      <w:r>
        <w:instrText xml:space="preserve">PAGEREF _Toc242804722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CB60AB0">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"_Toc242804723" </w:instrText>
      </w:r>
      <w:r>
        <w:fldChar w:fldCharType="separate"/>
      </w:r>
      <w:r>
        <w:rPr>
          <w:rStyle w:val="33"/>
          <w:rFonts w:hint="eastAsia"/>
        </w:rPr>
        <w:t>5</w:t>
      </w:r>
      <w:r>
        <w:rPr>
          <w:rStyle w:val="33"/>
        </w:rPr>
        <w:t xml:space="preserve"> </w:t>
      </w:r>
      <w:r>
        <w:rPr>
          <w:rStyle w:val="33"/>
          <w:rFonts w:hint="eastAsia"/>
        </w:rPr>
        <w:t xml:space="preserve"> 评价指标及权重</w:t>
      </w:r>
      <w:r>
        <w:rPr>
          <w:rFonts w:hint="eastAsia"/>
        </w:rPr>
        <w:tab/>
      </w:r>
      <w:r>
        <w:rPr>
          <w:rFonts w:hint="eastAsia"/>
        </w:rPr>
        <w:fldChar w:fldCharType="begin"/>
      </w:r>
      <w:r>
        <w:rPr>
          <w:rFonts w:hint="eastAsia"/>
        </w:rPr>
        <w:instrText xml:space="preserve"> </w:instrText>
      </w:r>
      <w:r>
        <w:instrText xml:space="preserve">PAGEREF _Toc242804723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EC4DBA0">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"_Toc242804724" </w:instrText>
      </w:r>
      <w:r>
        <w:fldChar w:fldCharType="separate"/>
      </w:r>
      <w:r>
        <w:rPr>
          <w:rStyle w:val="33"/>
          <w:rFonts w:hint="eastAsia"/>
          <w14:scene3d w14:prst="orthographicFront">
            <w14:lightRig w14:rig="threePt" w14:dir="t">
              <w14:rot w14:lat="0" w14:lon="0" w14:rev="0"/>
            </w14:lightRig>
          </w14:scene3d>
        </w:rPr>
        <w:t>5.1</w:t>
      </w:r>
      <w:r>
        <w:rPr>
          <w:rStyle w:val="33"/>
          <w14:scene3d w14:prst="orthographicFront">
            <w14:lightRig w14:rig="threePt" w14:dir="t">
              <w14:rot w14:lat="0" w14:lon="0" w14:rev="0"/>
            </w14:lightRig>
          </w14:scene3d>
        </w:rPr>
        <w:t xml:space="preserve"> </w:t>
      </w:r>
      <w:r>
        <w:rPr>
          <w:rStyle w:val="33"/>
          <w:rFonts w:hint="eastAsia"/>
        </w:rPr>
        <w:t xml:space="preserve"> 指标体系框架</w:t>
      </w:r>
      <w:r>
        <w:rPr>
          <w:rFonts w:hint="eastAsia"/>
        </w:rPr>
        <w:tab/>
      </w:r>
      <w:r>
        <w:rPr>
          <w:rFonts w:hint="eastAsia"/>
        </w:rPr>
        <w:fldChar w:fldCharType="begin"/>
      </w:r>
      <w:r>
        <w:rPr>
          <w:rFonts w:hint="eastAsia"/>
        </w:rPr>
        <w:instrText xml:space="preserve"> </w:instrText>
      </w:r>
      <w:r>
        <w:instrText xml:space="preserve">PAGEREF _Toc242804724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712A7339">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"_Toc242804725" </w:instrText>
      </w:r>
      <w:r>
        <w:fldChar w:fldCharType="separate"/>
      </w:r>
      <w:r>
        <w:rPr>
          <w:rStyle w:val="33"/>
          <w:rFonts w:hint="eastAsia"/>
          <w14:scene3d w14:prst="orthographicFront">
            <w14:lightRig w14:rig="threePt" w14:dir="t">
              <w14:rot w14:lat="0" w14:lon="0" w14:rev="0"/>
            </w14:lightRig>
          </w14:scene3d>
        </w:rPr>
        <w:t>5.2</w:t>
      </w:r>
      <w:r>
        <w:rPr>
          <w:rStyle w:val="33"/>
          <w14:scene3d w14:prst="orthographicFront">
            <w14:lightRig w14:rig="threePt" w14:dir="t">
              <w14:rot w14:lat="0" w14:lon="0" w14:rev="0"/>
            </w14:lightRig>
          </w14:scene3d>
        </w:rPr>
        <w:t xml:space="preserve"> </w:t>
      </w:r>
      <w:r>
        <w:rPr>
          <w:rStyle w:val="33"/>
          <w:rFonts w:hint="eastAsia"/>
        </w:rPr>
        <w:t xml:space="preserve"> 河湖健康评价指标体系</w:t>
      </w:r>
      <w:r>
        <w:rPr>
          <w:rFonts w:hint="eastAsia"/>
        </w:rPr>
        <w:tab/>
      </w:r>
      <w:r>
        <w:rPr>
          <w:rFonts w:hint="eastAsia"/>
        </w:rPr>
        <w:fldChar w:fldCharType="begin"/>
      </w:r>
      <w:r>
        <w:rPr>
          <w:rFonts w:hint="eastAsia"/>
        </w:rPr>
        <w:instrText xml:space="preserve"> </w:instrText>
      </w:r>
      <w:r>
        <w:instrText xml:space="preserve">PAGEREF _Toc242804725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4933358">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"_Toc242804726" </w:instrText>
      </w:r>
      <w:r>
        <w:fldChar w:fldCharType="separate"/>
      </w:r>
      <w:r>
        <w:rPr>
          <w:rStyle w:val="33"/>
          <w:rFonts w:hint="eastAsia"/>
          <w14:scene3d w14:prst="orthographicFront">
            <w14:lightRig w14:rig="threePt" w14:dir="t">
              <w14:rot w14:lat="0" w14:lon="0" w14:rev="0"/>
            </w14:lightRig>
          </w14:scene3d>
        </w:rPr>
        <w:t>5.3</w:t>
      </w:r>
      <w:r>
        <w:rPr>
          <w:rStyle w:val="33"/>
          <w14:scene3d w14:prst="orthographicFront">
            <w14:lightRig w14:rig="threePt" w14:dir="t">
              <w14:rot w14:lat="0" w14:lon="0" w14:rev="0"/>
            </w14:lightRig>
          </w14:scene3d>
        </w:rPr>
        <w:t xml:space="preserve"> </w:t>
      </w:r>
      <w:r>
        <w:rPr>
          <w:rStyle w:val="33"/>
          <w:rFonts w:hint="eastAsia"/>
        </w:rPr>
        <w:t xml:space="preserve"> 河湖健康评价指标权重</w:t>
      </w:r>
      <w:r>
        <w:rPr>
          <w:rFonts w:hint="eastAsia"/>
        </w:rPr>
        <w:tab/>
      </w:r>
      <w:r>
        <w:rPr>
          <w:rFonts w:hint="eastAsia"/>
        </w:rPr>
        <w:fldChar w:fldCharType="begin"/>
      </w:r>
      <w:r>
        <w:rPr>
          <w:rFonts w:hint="eastAsia"/>
        </w:rPr>
        <w:instrText xml:space="preserve"> </w:instrText>
      </w:r>
      <w:r>
        <w:instrText xml:space="preserve">PAGEREF _Toc242804726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E255E29">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"_Toc242804727" </w:instrText>
      </w:r>
      <w:r>
        <w:fldChar w:fldCharType="separate"/>
      </w:r>
      <w:r>
        <w:rPr>
          <w:rStyle w:val="33"/>
          <w:rFonts w:hint="eastAsia"/>
        </w:rPr>
        <w:t>6</w:t>
      </w:r>
      <w:r>
        <w:rPr>
          <w:rStyle w:val="33"/>
        </w:rPr>
        <w:t xml:space="preserve"> </w:t>
      </w:r>
      <w:r>
        <w:rPr>
          <w:rStyle w:val="33"/>
          <w:rFonts w:hint="eastAsia"/>
        </w:rPr>
        <w:t xml:space="preserve"> 指标计算及赋分</w:t>
      </w:r>
      <w:r>
        <w:rPr>
          <w:rFonts w:hint="eastAsia"/>
        </w:rPr>
        <w:tab/>
      </w:r>
      <w:r>
        <w:rPr>
          <w:rFonts w:hint="eastAsia"/>
        </w:rPr>
        <w:fldChar w:fldCharType="begin"/>
      </w:r>
      <w:r>
        <w:rPr>
          <w:rFonts w:hint="eastAsia"/>
        </w:rPr>
        <w:instrText xml:space="preserve"> </w:instrText>
      </w:r>
      <w:r>
        <w:instrText xml:space="preserve">PAGEREF _Toc242804727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A99FE4C">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"_Toc242804728" </w:instrText>
      </w:r>
      <w:r>
        <w:fldChar w:fldCharType="separate"/>
      </w:r>
      <w:r>
        <w:rPr>
          <w:rStyle w:val="33"/>
          <w:rFonts w:hint="eastAsia"/>
          <w14:scene3d w14:prst="orthographicFront">
            <w14:lightRig w14:rig="threePt" w14:dir="t">
              <w14:rot w14:lat="0" w14:lon="0" w14:rev="0"/>
            </w14:lightRig>
          </w14:scene3d>
        </w:rPr>
        <w:t>6.1</w:t>
      </w:r>
      <w:r>
        <w:rPr>
          <w:rStyle w:val="33"/>
          <w14:scene3d w14:prst="orthographicFront">
            <w14:lightRig w14:rig="threePt" w14:dir="t">
              <w14:rot w14:lat="0" w14:lon="0" w14:rev="0"/>
            </w14:lightRig>
          </w14:scene3d>
        </w:rPr>
        <w:t xml:space="preserve"> </w:t>
      </w:r>
      <w:r>
        <w:rPr>
          <w:rStyle w:val="33"/>
          <w:rFonts w:hint="eastAsia"/>
        </w:rPr>
        <w:t xml:space="preserve"> 水域岸线完整性</w:t>
      </w:r>
      <w:r>
        <w:rPr>
          <w:rFonts w:hint="eastAsia"/>
        </w:rPr>
        <w:tab/>
      </w:r>
      <w:r>
        <w:rPr>
          <w:rFonts w:hint="eastAsia"/>
        </w:rPr>
        <w:fldChar w:fldCharType="begin"/>
      </w:r>
      <w:r>
        <w:rPr>
          <w:rFonts w:hint="eastAsia"/>
        </w:rPr>
        <w:instrText xml:space="preserve"> </w:instrText>
      </w:r>
      <w:r>
        <w:instrText xml:space="preserve">PAGEREF _Toc242804728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0BD7451">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"_Toc242804729" </w:instrText>
      </w:r>
      <w:r>
        <w:fldChar w:fldCharType="separate"/>
      </w:r>
      <w:r>
        <w:rPr>
          <w:rStyle w:val="33"/>
          <w:rFonts w:hint="eastAsia"/>
          <w14:scene3d w14:prst="orthographicFront">
            <w14:lightRig w14:rig="threePt" w14:dir="t">
              <w14:rot w14:lat="0" w14:lon="0" w14:rev="0"/>
            </w14:lightRig>
          </w14:scene3d>
        </w:rPr>
        <w:t>6.2</w:t>
      </w:r>
      <w:r>
        <w:rPr>
          <w:rStyle w:val="33"/>
          <w14:scene3d w14:prst="orthographicFront">
            <w14:lightRig w14:rig="threePt" w14:dir="t">
              <w14:rot w14:lat="0" w14:lon="0" w14:rev="0"/>
            </w14:lightRig>
          </w14:scene3d>
        </w:rPr>
        <w:t xml:space="preserve"> </w:t>
      </w:r>
      <w:r>
        <w:rPr>
          <w:rStyle w:val="33"/>
          <w:rFonts w:hint="eastAsia"/>
        </w:rPr>
        <w:t xml:space="preserve"> 湖泊水面面积保有率</w:t>
      </w:r>
      <w:r>
        <w:rPr>
          <w:rFonts w:hint="eastAsia"/>
        </w:rPr>
        <w:tab/>
      </w:r>
      <w:r>
        <w:rPr>
          <w:rFonts w:hint="eastAsia"/>
        </w:rPr>
        <w:fldChar w:fldCharType="begin"/>
      </w:r>
      <w:r>
        <w:rPr>
          <w:rFonts w:hint="eastAsia"/>
        </w:rPr>
        <w:instrText xml:space="preserve"> </w:instrText>
      </w:r>
      <w:r>
        <w:instrText xml:space="preserve">PAGEREF _Toc242804729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F23FE93">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"_Toc242804730" </w:instrText>
      </w:r>
      <w:r>
        <w:fldChar w:fldCharType="separate"/>
      </w:r>
      <w:r>
        <w:rPr>
          <w:rStyle w:val="33"/>
          <w:rFonts w:hint="eastAsia"/>
          <w14:scene3d w14:prst="orthographicFront">
            <w14:lightRig w14:rig="threePt" w14:dir="t">
              <w14:rot w14:lat="0" w14:lon="0" w14:rev="0"/>
            </w14:lightRig>
          </w14:scene3d>
        </w:rPr>
        <w:t>6.3</w:t>
      </w:r>
      <w:r>
        <w:rPr>
          <w:rStyle w:val="33"/>
          <w14:scene3d w14:prst="orthographicFront">
            <w14:lightRig w14:rig="threePt" w14:dir="t">
              <w14:rot w14:lat="0" w14:lon="0" w14:rev="0"/>
            </w14:lightRig>
          </w14:scene3d>
        </w:rPr>
        <w:t xml:space="preserve"> </w:t>
      </w:r>
      <w:r>
        <w:rPr>
          <w:rStyle w:val="33"/>
          <w:rFonts w:hint="eastAsia"/>
        </w:rPr>
        <w:t xml:space="preserve"> 水流通畅性</w:t>
      </w:r>
      <w:r>
        <w:rPr>
          <w:rFonts w:hint="eastAsia"/>
        </w:rPr>
        <w:tab/>
      </w:r>
      <w:r>
        <w:rPr>
          <w:rFonts w:hint="eastAsia"/>
        </w:rPr>
        <w:fldChar w:fldCharType="begin"/>
      </w:r>
      <w:r>
        <w:rPr>
          <w:rFonts w:hint="eastAsia"/>
        </w:rPr>
        <w:instrText xml:space="preserve"> </w:instrText>
      </w:r>
      <w:r>
        <w:instrText xml:space="preserve">PAGEREF _Toc242804730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42EA1B41">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"_Toc242804731" </w:instrText>
      </w:r>
      <w:r>
        <w:fldChar w:fldCharType="separate"/>
      </w:r>
      <w:r>
        <w:rPr>
          <w:rStyle w:val="33"/>
          <w:rFonts w:hint="eastAsia"/>
          <w14:scene3d w14:prst="orthographicFront">
            <w14:lightRig w14:rig="threePt" w14:dir="t">
              <w14:rot w14:lat="0" w14:lon="0" w14:rev="0"/>
            </w14:lightRig>
          </w14:scene3d>
        </w:rPr>
        <w:t>6.4</w:t>
      </w:r>
      <w:r>
        <w:rPr>
          <w:rStyle w:val="33"/>
          <w14:scene3d w14:prst="orthographicFront">
            <w14:lightRig w14:rig="threePt" w14:dir="t">
              <w14:rot w14:lat="0" w14:lon="0" w14:rev="0"/>
            </w14:lightRig>
          </w14:scene3d>
        </w:rPr>
        <w:t xml:space="preserve"> </w:t>
      </w:r>
      <w:r>
        <w:rPr>
          <w:rStyle w:val="33"/>
          <w:rFonts w:hint="eastAsia"/>
        </w:rPr>
        <w:t xml:space="preserve"> 河湖连通性</w:t>
      </w:r>
      <w:r>
        <w:rPr>
          <w:rFonts w:hint="eastAsia"/>
        </w:rPr>
        <w:tab/>
      </w:r>
      <w:r>
        <w:rPr>
          <w:rFonts w:hint="eastAsia"/>
        </w:rPr>
        <w:fldChar w:fldCharType="begin"/>
      </w:r>
      <w:r>
        <w:rPr>
          <w:rFonts w:hint="eastAsia"/>
        </w:rPr>
        <w:instrText xml:space="preserve"> </w:instrText>
      </w:r>
      <w:r>
        <w:instrText xml:space="preserve">PAGEREF _Toc242804731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A245BE4">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"_Toc242804732" </w:instrText>
      </w:r>
      <w:r>
        <w:fldChar w:fldCharType="separate"/>
      </w:r>
      <w:r>
        <w:rPr>
          <w:rStyle w:val="33"/>
          <w:rFonts w:hint="eastAsia"/>
          <w14:scene3d w14:prst="orthographicFront">
            <w14:lightRig w14:rig="threePt" w14:dir="t">
              <w14:rot w14:lat="0" w14:lon="0" w14:rev="0"/>
            </w14:lightRig>
          </w14:scene3d>
        </w:rPr>
        <w:t>6.5</w:t>
      </w:r>
      <w:r>
        <w:rPr>
          <w:rStyle w:val="33"/>
          <w14:scene3d w14:prst="orthographicFront">
            <w14:lightRig w14:rig="threePt" w14:dir="t">
              <w14:rot w14:lat="0" w14:lon="0" w14:rev="0"/>
            </w14:lightRig>
          </w14:scene3d>
        </w:rPr>
        <w:t xml:space="preserve"> </w:t>
      </w:r>
      <w:r>
        <w:rPr>
          <w:rStyle w:val="33"/>
          <w:rFonts w:hint="eastAsia"/>
        </w:rPr>
        <w:t xml:space="preserve"> 河道行洪能力保证程度</w:t>
      </w:r>
      <w:r>
        <w:rPr>
          <w:rFonts w:hint="eastAsia"/>
        </w:rPr>
        <w:tab/>
      </w:r>
      <w:r>
        <w:rPr>
          <w:rFonts w:hint="eastAsia"/>
        </w:rPr>
        <w:fldChar w:fldCharType="begin"/>
      </w:r>
      <w:r>
        <w:rPr>
          <w:rFonts w:hint="eastAsia"/>
        </w:rPr>
        <w:instrText xml:space="preserve"> </w:instrText>
      </w:r>
      <w:r>
        <w:instrText xml:space="preserve">PAGEREF _Toc242804732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4FE5F40C">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"_Toc242804733" </w:instrText>
      </w:r>
      <w:r>
        <w:fldChar w:fldCharType="separate"/>
      </w:r>
      <w:r>
        <w:rPr>
          <w:rStyle w:val="33"/>
          <w:rFonts w:hint="eastAsia"/>
          <w14:scene3d w14:prst="orthographicFront">
            <w14:lightRig w14:rig="threePt" w14:dir="t">
              <w14:rot w14:lat="0" w14:lon="0" w14:rev="0"/>
            </w14:lightRig>
          </w14:scene3d>
        </w:rPr>
        <w:t>6.6</w:t>
      </w:r>
      <w:r>
        <w:rPr>
          <w:rStyle w:val="33"/>
          <w14:scene3d w14:prst="orthographicFront">
            <w14:lightRig w14:rig="threePt" w14:dir="t">
              <w14:rot w14:lat="0" w14:lon="0" w14:rev="0"/>
            </w14:lightRig>
          </w14:scene3d>
        </w:rPr>
        <w:t xml:space="preserve"> </w:t>
      </w:r>
      <w:r>
        <w:rPr>
          <w:rStyle w:val="33"/>
          <w:rFonts w:hint="eastAsia"/>
        </w:rPr>
        <w:t xml:space="preserve"> 岸线自然状况</w:t>
      </w:r>
      <w:r>
        <w:rPr>
          <w:rFonts w:hint="eastAsia"/>
        </w:rPr>
        <w:tab/>
      </w:r>
      <w:r>
        <w:rPr>
          <w:rFonts w:hint="eastAsia"/>
        </w:rPr>
        <w:fldChar w:fldCharType="begin"/>
      </w:r>
      <w:r>
        <w:rPr>
          <w:rFonts w:hint="eastAsia"/>
        </w:rPr>
        <w:instrText xml:space="preserve"> </w:instrText>
      </w:r>
      <w:r>
        <w:instrText xml:space="preserve">PAGEREF _Toc242804733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3D04F5E">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"_Toc242804734" </w:instrText>
      </w:r>
      <w:r>
        <w:fldChar w:fldCharType="separate"/>
      </w:r>
      <w:r>
        <w:rPr>
          <w:rStyle w:val="33"/>
          <w:rFonts w:hint="eastAsia"/>
          <w14:scene3d w14:prst="orthographicFront">
            <w14:lightRig w14:rig="threePt" w14:dir="t">
              <w14:rot w14:lat="0" w14:lon="0" w14:rev="0"/>
            </w14:lightRig>
          </w14:scene3d>
        </w:rPr>
        <w:t>6.7</w:t>
      </w:r>
      <w:r>
        <w:rPr>
          <w:rStyle w:val="33"/>
          <w14:scene3d w14:prst="orthographicFront">
            <w14:lightRig w14:rig="threePt" w14:dir="t">
              <w14:rot w14:lat="0" w14:lon="0" w14:rev="0"/>
            </w14:lightRig>
          </w14:scene3d>
        </w:rPr>
        <w:t xml:space="preserve"> </w:t>
      </w:r>
      <w:r>
        <w:rPr>
          <w:rStyle w:val="33"/>
          <w:rFonts w:hint="eastAsia"/>
        </w:rPr>
        <w:t xml:space="preserve"> 水质优劣程度</w:t>
      </w:r>
      <w:r>
        <w:rPr>
          <w:rFonts w:hint="eastAsia"/>
        </w:rPr>
        <w:tab/>
      </w:r>
      <w:r>
        <w:rPr>
          <w:rFonts w:hint="eastAsia"/>
        </w:rPr>
        <w:fldChar w:fldCharType="begin"/>
      </w:r>
      <w:r>
        <w:rPr>
          <w:rFonts w:hint="eastAsia"/>
        </w:rPr>
        <w:instrText xml:space="preserve"> </w:instrText>
      </w:r>
      <w:r>
        <w:instrText xml:space="preserve">PAGEREF _Toc242804734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2981AF47">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"_Toc242804735" </w:instrText>
      </w:r>
      <w:r>
        <w:fldChar w:fldCharType="separate"/>
      </w:r>
      <w:r>
        <w:rPr>
          <w:rStyle w:val="33"/>
          <w:rFonts w:hint="eastAsia"/>
          <w14:scene3d w14:prst="orthographicFront">
            <w14:lightRig w14:rig="threePt" w14:dir="t">
              <w14:rot w14:lat="0" w14:lon="0" w14:rev="0"/>
            </w14:lightRig>
          </w14:scene3d>
        </w:rPr>
        <w:t>6.8</w:t>
      </w:r>
      <w:r>
        <w:rPr>
          <w:rStyle w:val="33"/>
          <w14:scene3d w14:prst="orthographicFront">
            <w14:lightRig w14:rig="threePt" w14:dir="t">
              <w14:rot w14:lat="0" w14:lon="0" w14:rev="0"/>
            </w14:lightRig>
          </w14:scene3d>
        </w:rPr>
        <w:t xml:space="preserve"> </w:t>
      </w:r>
      <w:r>
        <w:rPr>
          <w:rStyle w:val="33"/>
          <w:rFonts w:hint="eastAsia"/>
        </w:rPr>
        <w:t xml:space="preserve"> 水体自净能力</w:t>
      </w:r>
      <w:r>
        <w:rPr>
          <w:rFonts w:hint="eastAsia"/>
        </w:rPr>
        <w:tab/>
      </w:r>
      <w:r>
        <w:rPr>
          <w:rFonts w:hint="eastAsia"/>
        </w:rPr>
        <w:fldChar w:fldCharType="begin"/>
      </w:r>
      <w:r>
        <w:rPr>
          <w:rFonts w:hint="eastAsia"/>
        </w:rPr>
        <w:instrText xml:space="preserve"> </w:instrText>
      </w:r>
      <w:r>
        <w:instrText xml:space="preserve">PAGEREF _Toc242804735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6F2E005F">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"_Toc242804736" </w:instrText>
      </w:r>
      <w:r>
        <w:fldChar w:fldCharType="separate"/>
      </w:r>
      <w:r>
        <w:rPr>
          <w:rStyle w:val="33"/>
          <w:rFonts w:hint="eastAsia"/>
          <w14:scene3d w14:prst="orthographicFront">
            <w14:lightRig w14:rig="threePt" w14:dir="t">
              <w14:rot w14:lat="0" w14:lon="0" w14:rev="0"/>
            </w14:lightRig>
          </w14:scene3d>
        </w:rPr>
        <w:t>6.9</w:t>
      </w:r>
      <w:r>
        <w:rPr>
          <w:rStyle w:val="33"/>
          <w14:scene3d w14:prst="orthographicFront">
            <w14:lightRig w14:rig="threePt" w14:dir="t">
              <w14:rot w14:lat="0" w14:lon="0" w14:rev="0"/>
            </w14:lightRig>
          </w14:scene3d>
        </w:rPr>
        <w:t xml:space="preserve"> </w:t>
      </w:r>
      <w:r>
        <w:rPr>
          <w:rStyle w:val="33"/>
          <w:rFonts w:hint="eastAsia"/>
        </w:rPr>
        <w:t xml:space="preserve"> 营养状态</w:t>
      </w:r>
      <w:r>
        <w:rPr>
          <w:rFonts w:hint="eastAsia"/>
        </w:rPr>
        <w:tab/>
      </w:r>
      <w:r>
        <w:rPr>
          <w:rFonts w:hint="eastAsia"/>
        </w:rPr>
        <w:fldChar w:fldCharType="begin"/>
      </w:r>
      <w:r>
        <w:rPr>
          <w:rFonts w:hint="eastAsia"/>
        </w:rPr>
        <w:instrText xml:space="preserve"> </w:instrText>
      </w:r>
      <w:r>
        <w:instrText xml:space="preserve">PAGEREF _Toc242804736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2D12496">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"_Toc242804737" </w:instrText>
      </w:r>
      <w:r>
        <w:fldChar w:fldCharType="separate"/>
      </w:r>
      <w:r>
        <w:rPr>
          <w:rStyle w:val="33"/>
          <w:rFonts w:hint="eastAsia"/>
          <w14:scene3d w14:prst="orthographicFront">
            <w14:lightRig w14:rig="threePt" w14:dir="t">
              <w14:rot w14:lat="0" w14:lon="0" w14:rev="0"/>
            </w14:lightRig>
          </w14:scene3d>
        </w:rPr>
        <w:t>6.10</w:t>
      </w:r>
      <w:r>
        <w:rPr>
          <w:rStyle w:val="33"/>
          <w14:scene3d w14:prst="orthographicFront">
            <w14:lightRig w14:rig="threePt" w14:dir="t">
              <w14:rot w14:lat="0" w14:lon="0" w14:rev="0"/>
            </w14:lightRig>
          </w14:scene3d>
        </w:rPr>
        <w:t xml:space="preserve"> </w:t>
      </w:r>
      <w:r>
        <w:rPr>
          <w:rStyle w:val="33"/>
          <w:rFonts w:hint="eastAsia"/>
        </w:rPr>
        <w:t xml:space="preserve"> 生态流量（水位）满足程度</w:t>
      </w:r>
      <w:r>
        <w:rPr>
          <w:rFonts w:hint="eastAsia"/>
        </w:rPr>
        <w:tab/>
      </w:r>
      <w:r>
        <w:rPr>
          <w:rFonts w:hint="eastAsia"/>
        </w:rPr>
        <w:fldChar w:fldCharType="begin"/>
      </w:r>
      <w:r>
        <w:rPr>
          <w:rFonts w:hint="eastAsia"/>
        </w:rPr>
        <w:instrText xml:space="preserve"> </w:instrText>
      </w:r>
      <w:r>
        <w:instrText xml:space="preserve">PAGEREF _Toc242804737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3C7573DF">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"_Toc242804738" </w:instrText>
      </w:r>
      <w:r>
        <w:fldChar w:fldCharType="separate"/>
      </w:r>
      <w:r>
        <w:rPr>
          <w:rStyle w:val="33"/>
          <w:rFonts w:hint="eastAsia"/>
          <w14:scene3d w14:prst="orthographicFront">
            <w14:lightRig w14:rig="threePt" w14:dir="t">
              <w14:rot w14:lat="0" w14:lon="0" w14:rev="0"/>
            </w14:lightRig>
          </w14:scene3d>
        </w:rPr>
        <w:t>6.11</w:t>
      </w:r>
      <w:r>
        <w:rPr>
          <w:rStyle w:val="33"/>
          <w14:scene3d w14:prst="orthographicFront">
            <w14:lightRig w14:rig="threePt" w14:dir="t">
              <w14:rot w14:lat="0" w14:lon="0" w14:rev="0"/>
            </w14:lightRig>
          </w14:scene3d>
        </w:rPr>
        <w:t xml:space="preserve"> </w:t>
      </w:r>
      <w:r>
        <w:rPr>
          <w:rStyle w:val="33"/>
          <w:rFonts w:hint="eastAsia"/>
        </w:rPr>
        <w:t xml:space="preserve"> 地表水资源开发利用率</w:t>
      </w:r>
      <w:r>
        <w:rPr>
          <w:rFonts w:hint="eastAsia"/>
        </w:rPr>
        <w:tab/>
      </w:r>
      <w:r>
        <w:rPr>
          <w:rFonts w:hint="eastAsia"/>
        </w:rPr>
        <w:fldChar w:fldCharType="begin"/>
      </w:r>
      <w:r>
        <w:rPr>
          <w:rFonts w:hint="eastAsia"/>
        </w:rPr>
        <w:instrText xml:space="preserve"> </w:instrText>
      </w:r>
      <w:r>
        <w:instrText xml:space="preserve">PAGEREF _Toc242804738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00EB02A4">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"_Toc242804739" </w:instrText>
      </w:r>
      <w:r>
        <w:fldChar w:fldCharType="separate"/>
      </w:r>
      <w:r>
        <w:rPr>
          <w:rStyle w:val="33"/>
          <w:rFonts w:hint="eastAsia"/>
          <w14:scene3d w14:prst="orthographicFront">
            <w14:lightRig w14:rig="threePt" w14:dir="t">
              <w14:rot w14:lat="0" w14:lon="0" w14:rev="0"/>
            </w14:lightRig>
          </w14:scene3d>
        </w:rPr>
        <w:t>6.12</w:t>
      </w:r>
      <w:r>
        <w:rPr>
          <w:rStyle w:val="33"/>
          <w14:scene3d w14:prst="orthographicFront">
            <w14:lightRig w14:rig="threePt" w14:dir="t">
              <w14:rot w14:lat="0" w14:lon="0" w14:rev="0"/>
            </w14:lightRig>
          </w14:scene3d>
        </w:rPr>
        <w:t xml:space="preserve"> </w:t>
      </w:r>
      <w:r>
        <w:rPr>
          <w:rStyle w:val="33"/>
          <w:rFonts w:hint="eastAsia"/>
        </w:rPr>
        <w:t xml:space="preserve"> 底泥污染状况</w:t>
      </w:r>
      <w:r>
        <w:rPr>
          <w:rFonts w:hint="eastAsia"/>
        </w:rPr>
        <w:tab/>
      </w:r>
      <w:r>
        <w:rPr>
          <w:rFonts w:hint="eastAsia"/>
        </w:rPr>
        <w:fldChar w:fldCharType="begin"/>
      </w:r>
      <w:r>
        <w:rPr>
          <w:rFonts w:hint="eastAsia"/>
        </w:rPr>
        <w:instrText xml:space="preserve"> </w:instrText>
      </w:r>
      <w:r>
        <w:instrText xml:space="preserve">PAGEREF _Toc242804739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2D0EBC6">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"_Toc242804740" </w:instrText>
      </w:r>
      <w:r>
        <w:fldChar w:fldCharType="separate"/>
      </w:r>
      <w:r>
        <w:rPr>
          <w:rStyle w:val="33"/>
          <w:rFonts w:hint="eastAsia"/>
          <w14:scene3d w14:prst="orthographicFront">
            <w14:lightRig w14:rig="threePt" w14:dir="t">
              <w14:rot w14:lat="0" w14:lon="0" w14:rev="0"/>
            </w14:lightRig>
          </w14:scene3d>
        </w:rPr>
        <w:t>6.13</w:t>
      </w:r>
      <w:r>
        <w:rPr>
          <w:rStyle w:val="33"/>
          <w14:scene3d w14:prst="orthographicFront">
            <w14:lightRig w14:rig="threePt" w14:dir="t">
              <w14:rot w14:lat="0" w14:lon="0" w14:rev="0"/>
            </w14:lightRig>
          </w14:scene3d>
        </w:rPr>
        <w:t xml:space="preserve"> </w:t>
      </w:r>
      <w:r>
        <w:rPr>
          <w:rStyle w:val="33"/>
          <w:rFonts w:hint="eastAsia"/>
        </w:rPr>
        <w:t xml:space="preserve"> 水体清澈程度</w:t>
      </w:r>
      <w:r>
        <w:rPr>
          <w:rFonts w:hint="eastAsia"/>
        </w:rPr>
        <w:tab/>
      </w:r>
      <w:r>
        <w:rPr>
          <w:rFonts w:hint="eastAsia"/>
        </w:rPr>
        <w:fldChar w:fldCharType="begin"/>
      </w:r>
      <w:r>
        <w:rPr>
          <w:rFonts w:hint="eastAsia"/>
        </w:rPr>
        <w:instrText xml:space="preserve"> </w:instrText>
      </w:r>
      <w:r>
        <w:instrText xml:space="preserve">PAGEREF _Toc242804740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33F1EC7D">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"_Toc242804741" </w:instrText>
      </w:r>
      <w:r>
        <w:fldChar w:fldCharType="separate"/>
      </w:r>
      <w:r>
        <w:rPr>
          <w:rStyle w:val="33"/>
          <w:rFonts w:hint="eastAsia"/>
          <w14:scene3d w14:prst="orthographicFront">
            <w14:lightRig w14:rig="threePt" w14:dir="t">
              <w14:rot w14:lat="0" w14:lon="0" w14:rev="0"/>
            </w14:lightRig>
          </w14:scene3d>
        </w:rPr>
        <w:t>6.14</w:t>
      </w:r>
      <w:r>
        <w:rPr>
          <w:rStyle w:val="33"/>
          <w14:scene3d w14:prst="orthographicFront">
            <w14:lightRig w14:rig="threePt" w14:dir="t">
              <w14:rot w14:lat="0" w14:lon="0" w14:rev="0"/>
            </w14:lightRig>
          </w14:scene3d>
        </w:rPr>
        <w:t xml:space="preserve"> </w:t>
      </w:r>
      <w:r>
        <w:rPr>
          <w:rStyle w:val="33"/>
          <w:rFonts w:hint="eastAsia"/>
        </w:rPr>
        <w:t xml:space="preserve"> 鱼类状况</w:t>
      </w:r>
      <w:r>
        <w:rPr>
          <w:rFonts w:hint="eastAsia"/>
        </w:rPr>
        <w:tab/>
      </w:r>
      <w:r>
        <w:rPr>
          <w:rFonts w:hint="eastAsia"/>
        </w:rPr>
        <w:fldChar w:fldCharType="begin"/>
      </w:r>
      <w:r>
        <w:rPr>
          <w:rFonts w:hint="eastAsia"/>
        </w:rPr>
        <w:instrText xml:space="preserve"> </w:instrText>
      </w:r>
      <w:r>
        <w:instrText xml:space="preserve">PAGEREF _Toc242804741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630A4961">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"_Toc242804742" </w:instrText>
      </w:r>
      <w:r>
        <w:fldChar w:fldCharType="separate"/>
      </w:r>
      <w:r>
        <w:rPr>
          <w:rStyle w:val="33"/>
          <w:rFonts w:hint="eastAsia"/>
          <w14:scene3d w14:prst="orthographicFront">
            <w14:lightRig w14:rig="threePt" w14:dir="t">
              <w14:rot w14:lat="0" w14:lon="0" w14:rev="0"/>
            </w14:lightRig>
          </w14:scene3d>
        </w:rPr>
        <w:t>6.15</w:t>
      </w:r>
      <w:r>
        <w:rPr>
          <w:rStyle w:val="33"/>
          <w14:scene3d w14:prst="orthographicFront">
            <w14:lightRig w14:rig="threePt" w14:dir="t">
              <w14:rot w14:lat="0" w14:lon="0" w14:rev="0"/>
            </w14:lightRig>
          </w14:scene3d>
        </w:rPr>
        <w:t xml:space="preserve"> </w:t>
      </w:r>
      <w:r>
        <w:rPr>
          <w:rStyle w:val="33"/>
          <w:rFonts w:hint="eastAsia"/>
        </w:rPr>
        <w:t xml:space="preserve"> 大型底栖无脊椎动物状况</w:t>
      </w:r>
      <w:r>
        <w:rPr>
          <w:rFonts w:hint="eastAsia"/>
        </w:rPr>
        <w:tab/>
      </w:r>
      <w:r>
        <w:rPr>
          <w:rFonts w:hint="eastAsia"/>
        </w:rPr>
        <w:fldChar w:fldCharType="begin"/>
      </w:r>
      <w:r>
        <w:rPr>
          <w:rFonts w:hint="eastAsia"/>
        </w:rPr>
        <w:instrText xml:space="preserve"> </w:instrText>
      </w:r>
      <w:r>
        <w:instrText xml:space="preserve">PAGEREF _Toc242804742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1CAE0381">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"_Toc242804743" </w:instrText>
      </w:r>
      <w:r>
        <w:fldChar w:fldCharType="separate"/>
      </w:r>
      <w:r>
        <w:rPr>
          <w:rStyle w:val="33"/>
          <w:rFonts w:hint="eastAsia"/>
          <w14:scene3d w14:prst="orthographicFront">
            <w14:lightRig w14:rig="threePt" w14:dir="t">
              <w14:rot w14:lat="0" w14:lon="0" w14:rev="0"/>
            </w14:lightRig>
          </w14:scene3d>
        </w:rPr>
        <w:t>6.16</w:t>
      </w:r>
      <w:r>
        <w:rPr>
          <w:rStyle w:val="33"/>
          <w14:scene3d w14:prst="orthographicFront">
            <w14:lightRig w14:rig="threePt" w14:dir="t">
              <w14:rot w14:lat="0" w14:lon="0" w14:rev="0"/>
            </w14:lightRig>
          </w14:scene3d>
        </w:rPr>
        <w:t xml:space="preserve"> </w:t>
      </w:r>
      <w:r>
        <w:rPr>
          <w:rStyle w:val="33"/>
          <w:rFonts w:hint="eastAsia"/>
        </w:rPr>
        <w:t xml:space="preserve"> 外来物种入侵状况</w:t>
      </w:r>
      <w:r>
        <w:rPr>
          <w:rFonts w:hint="eastAsia"/>
        </w:rPr>
        <w:tab/>
      </w:r>
      <w:r>
        <w:rPr>
          <w:rFonts w:hint="eastAsia"/>
        </w:rPr>
        <w:fldChar w:fldCharType="begin"/>
      </w:r>
      <w:r>
        <w:rPr>
          <w:rFonts w:hint="eastAsia"/>
        </w:rPr>
        <w:instrText xml:space="preserve"> </w:instrText>
      </w:r>
      <w:r>
        <w:instrText xml:space="preserve">PAGEREF _Toc242804743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5AC9299A">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"_Toc242804744" </w:instrText>
      </w:r>
      <w:r>
        <w:fldChar w:fldCharType="separate"/>
      </w:r>
      <w:r>
        <w:rPr>
          <w:rStyle w:val="33"/>
          <w:rFonts w:hint="eastAsia"/>
          <w14:scene3d w14:prst="orthographicFront">
            <w14:lightRig w14:rig="threePt" w14:dir="t">
              <w14:rot w14:lat="0" w14:lon="0" w14:rev="0"/>
            </w14:lightRig>
          </w14:scene3d>
        </w:rPr>
        <w:t>6.17</w:t>
      </w:r>
      <w:r>
        <w:rPr>
          <w:rStyle w:val="33"/>
          <w14:scene3d w14:prst="orthographicFront">
            <w14:lightRig w14:rig="threePt" w14:dir="t">
              <w14:rot w14:lat="0" w14:lon="0" w14:rev="0"/>
            </w14:lightRig>
          </w14:scene3d>
        </w:rPr>
        <w:t xml:space="preserve"> </w:t>
      </w:r>
      <w:r>
        <w:rPr>
          <w:rStyle w:val="33"/>
          <w:rFonts w:hint="eastAsia"/>
        </w:rPr>
        <w:t xml:space="preserve"> 大型水生植物状况</w:t>
      </w:r>
      <w:r>
        <w:rPr>
          <w:rFonts w:hint="eastAsia"/>
        </w:rPr>
        <w:tab/>
      </w:r>
      <w:r>
        <w:rPr>
          <w:rFonts w:hint="eastAsia"/>
        </w:rPr>
        <w:fldChar w:fldCharType="begin"/>
      </w:r>
      <w:r>
        <w:rPr>
          <w:rFonts w:hint="eastAsia"/>
        </w:rPr>
        <w:instrText xml:space="preserve"> </w:instrText>
      </w:r>
      <w:r>
        <w:instrText xml:space="preserve">PAGEREF _Toc242804744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724DEC8F">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"_Toc242804745" </w:instrText>
      </w:r>
      <w:r>
        <w:fldChar w:fldCharType="separate"/>
      </w:r>
      <w:r>
        <w:rPr>
          <w:rStyle w:val="33"/>
          <w:rFonts w:hint="eastAsia"/>
          <w14:scene3d w14:prst="orthographicFront">
            <w14:lightRig w14:rig="threePt" w14:dir="t">
              <w14:rot w14:lat="0" w14:lon="0" w14:rev="0"/>
            </w14:lightRig>
          </w14:scene3d>
        </w:rPr>
        <w:t>6.18</w:t>
      </w:r>
      <w:r>
        <w:rPr>
          <w:rStyle w:val="33"/>
          <w14:scene3d w14:prst="orthographicFront">
            <w14:lightRig w14:rig="threePt" w14:dir="t">
              <w14:rot w14:lat="0" w14:lon="0" w14:rev="0"/>
            </w14:lightRig>
          </w14:scene3d>
        </w:rPr>
        <w:t xml:space="preserve"> </w:t>
      </w:r>
      <w:r>
        <w:rPr>
          <w:rStyle w:val="33"/>
          <w:rFonts w:hint="eastAsia"/>
        </w:rPr>
        <w:t xml:space="preserve"> 着生藻类群落状况</w:t>
      </w:r>
      <w:r>
        <w:rPr>
          <w:rFonts w:hint="eastAsia"/>
        </w:rPr>
        <w:tab/>
      </w:r>
      <w:r>
        <w:rPr>
          <w:rFonts w:hint="eastAsia"/>
        </w:rPr>
        <w:fldChar w:fldCharType="begin"/>
      </w:r>
      <w:r>
        <w:rPr>
          <w:rFonts w:hint="eastAsia"/>
        </w:rPr>
        <w:instrText xml:space="preserve"> </w:instrText>
      </w:r>
      <w:r>
        <w:instrText xml:space="preserve">PAGEREF _Toc242804745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32790E34">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"_Toc242804746" </w:instrText>
      </w:r>
      <w:r>
        <w:fldChar w:fldCharType="separate"/>
      </w:r>
      <w:r>
        <w:rPr>
          <w:rStyle w:val="33"/>
          <w:rFonts w:hint="eastAsia"/>
          <w14:scene3d w14:prst="orthographicFront">
            <w14:lightRig w14:rig="threePt" w14:dir="t">
              <w14:rot w14:lat="0" w14:lon="0" w14:rev="0"/>
            </w14:lightRig>
          </w14:scene3d>
        </w:rPr>
        <w:t>6.19</w:t>
      </w:r>
      <w:r>
        <w:rPr>
          <w:rStyle w:val="33"/>
          <w14:scene3d w14:prst="orthographicFront">
            <w14:lightRig w14:rig="threePt" w14:dir="t">
              <w14:rot w14:lat="0" w14:lon="0" w14:rev="0"/>
            </w14:lightRig>
          </w14:scene3d>
        </w:rPr>
        <w:t xml:space="preserve"> </w:t>
      </w:r>
      <w:r>
        <w:rPr>
          <w:rStyle w:val="33"/>
          <w:rFonts w:hint="eastAsia"/>
        </w:rPr>
        <w:t xml:space="preserve"> 浮游植物密度</w:t>
      </w:r>
      <w:r>
        <w:rPr>
          <w:rFonts w:hint="eastAsia"/>
        </w:rPr>
        <w:tab/>
      </w:r>
      <w:r>
        <w:rPr>
          <w:rFonts w:hint="eastAsia"/>
        </w:rPr>
        <w:fldChar w:fldCharType="begin"/>
      </w:r>
      <w:r>
        <w:rPr>
          <w:rFonts w:hint="eastAsia"/>
        </w:rPr>
        <w:instrText xml:space="preserve"> </w:instrText>
      </w:r>
      <w:r>
        <w:instrText xml:space="preserve">PAGEREF _Toc242804746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6922BC3A">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"_Toc242804747" </w:instrText>
      </w:r>
      <w:r>
        <w:fldChar w:fldCharType="separate"/>
      </w:r>
      <w:r>
        <w:rPr>
          <w:rStyle w:val="33"/>
          <w:rFonts w:hint="eastAsia"/>
          <w14:scene3d w14:prst="orthographicFront">
            <w14:lightRig w14:rig="threePt" w14:dir="t">
              <w14:rot w14:lat="0" w14:lon="0" w14:rev="0"/>
            </w14:lightRig>
          </w14:scene3d>
        </w:rPr>
        <w:t>6.20</w:t>
      </w:r>
      <w:r>
        <w:rPr>
          <w:rStyle w:val="33"/>
          <w14:scene3d w14:prst="orthographicFront">
            <w14:lightRig w14:rig="threePt" w14:dir="t">
              <w14:rot w14:lat="0" w14:lon="0" w14:rev="0"/>
            </w14:lightRig>
          </w14:scene3d>
        </w:rPr>
        <w:t xml:space="preserve"> </w:t>
      </w:r>
      <w:r>
        <w:rPr>
          <w:rStyle w:val="33"/>
          <w:rFonts w:hint="eastAsia"/>
        </w:rPr>
        <w:t xml:space="preserve"> 水生维管植物覆盖度</w:t>
      </w:r>
      <w:r>
        <w:rPr>
          <w:rFonts w:hint="eastAsia"/>
        </w:rPr>
        <w:tab/>
      </w:r>
      <w:r>
        <w:rPr>
          <w:rFonts w:hint="eastAsia"/>
        </w:rPr>
        <w:fldChar w:fldCharType="begin"/>
      </w:r>
      <w:r>
        <w:rPr>
          <w:rFonts w:hint="eastAsia"/>
        </w:rPr>
        <w:instrText xml:space="preserve"> </w:instrText>
      </w:r>
      <w:r>
        <w:instrText xml:space="preserve">PAGEREF _Toc242804747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49BE704">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"_Toc242804748" </w:instrText>
      </w:r>
      <w:r>
        <w:fldChar w:fldCharType="separate"/>
      </w:r>
      <w:r>
        <w:rPr>
          <w:rStyle w:val="33"/>
          <w:rFonts w:hint="eastAsia"/>
          <w14:scene3d w14:prst="orthographicFront">
            <w14:lightRig w14:rig="threePt" w14:dir="t">
              <w14:rot w14:lat="0" w14:lon="0" w14:rev="0"/>
            </w14:lightRig>
          </w14:scene3d>
        </w:rPr>
        <w:t>6.21</w:t>
      </w:r>
      <w:r>
        <w:rPr>
          <w:rStyle w:val="33"/>
          <w14:scene3d w14:prst="orthographicFront">
            <w14:lightRig w14:rig="threePt" w14:dir="t">
              <w14:rot w14:lat="0" w14:lon="0" w14:rev="0"/>
            </w14:lightRig>
          </w14:scene3d>
        </w:rPr>
        <w:t xml:space="preserve"> </w:t>
      </w:r>
      <w:r>
        <w:rPr>
          <w:rStyle w:val="33"/>
          <w:rFonts w:hint="eastAsia"/>
        </w:rPr>
        <w:t xml:space="preserve"> 水鸟多样性指数</w:t>
      </w:r>
      <w:r>
        <w:rPr>
          <w:rFonts w:hint="eastAsia"/>
        </w:rPr>
        <w:tab/>
      </w:r>
      <w:r>
        <w:rPr>
          <w:rFonts w:hint="eastAsia"/>
        </w:rPr>
        <w:fldChar w:fldCharType="begin"/>
      </w:r>
      <w:r>
        <w:rPr>
          <w:rFonts w:hint="eastAsia"/>
        </w:rPr>
        <w:instrText xml:space="preserve"> </w:instrText>
      </w:r>
      <w:r>
        <w:instrText xml:space="preserve">PAGEREF _Toc242804748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1BFA7E84">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"_Toc242804749" </w:instrText>
      </w:r>
      <w:r>
        <w:fldChar w:fldCharType="separate"/>
      </w:r>
      <w:r>
        <w:rPr>
          <w:rStyle w:val="33"/>
          <w:rFonts w:hint="eastAsia"/>
          <w14:scene3d w14:prst="orthographicFront">
            <w14:lightRig w14:rig="threePt" w14:dir="t">
              <w14:rot w14:lat="0" w14:lon="0" w14:rev="0"/>
            </w14:lightRig>
          </w14:scene3d>
        </w:rPr>
        <w:t>6.22</w:t>
      </w:r>
      <w:r>
        <w:rPr>
          <w:rStyle w:val="33"/>
          <w14:scene3d w14:prst="orthographicFront">
            <w14:lightRig w14:rig="threePt" w14:dir="t">
              <w14:rot w14:lat="0" w14:lon="0" w14:rev="0"/>
            </w14:lightRig>
          </w14:scene3d>
        </w:rPr>
        <w:t xml:space="preserve"> </w:t>
      </w:r>
      <w:r>
        <w:rPr>
          <w:rStyle w:val="33"/>
          <w:rFonts w:hint="eastAsia"/>
        </w:rPr>
        <w:t xml:space="preserve"> 浮游动物状况</w:t>
      </w:r>
      <w:r>
        <w:rPr>
          <w:rFonts w:hint="eastAsia"/>
        </w:rPr>
        <w:tab/>
      </w:r>
      <w:r>
        <w:rPr>
          <w:rFonts w:hint="eastAsia"/>
        </w:rPr>
        <w:fldChar w:fldCharType="begin"/>
      </w:r>
      <w:r>
        <w:rPr>
          <w:rFonts w:hint="eastAsia"/>
        </w:rPr>
        <w:instrText xml:space="preserve"> </w:instrText>
      </w:r>
      <w:r>
        <w:instrText xml:space="preserve">PAGEREF _Toc242804749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3D43D61">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"_Toc242804750" </w:instrText>
      </w:r>
      <w:r>
        <w:fldChar w:fldCharType="separate"/>
      </w:r>
      <w:r>
        <w:rPr>
          <w:rStyle w:val="33"/>
          <w:rFonts w:hint="eastAsia"/>
          <w14:scene3d w14:prst="orthographicFront">
            <w14:lightRig w14:rig="threePt" w14:dir="t">
              <w14:rot w14:lat="0" w14:lon="0" w14:rev="0"/>
            </w14:lightRig>
          </w14:scene3d>
        </w:rPr>
        <w:t>6.23</w:t>
      </w:r>
      <w:r>
        <w:rPr>
          <w:rStyle w:val="33"/>
          <w14:scene3d w14:prst="orthographicFront">
            <w14:lightRig w14:rig="threePt" w14:dir="t">
              <w14:rot w14:lat="0" w14:lon="0" w14:rev="0"/>
            </w14:lightRig>
          </w14:scene3d>
        </w:rPr>
        <w:t xml:space="preserve"> </w:t>
      </w:r>
      <w:r>
        <w:rPr>
          <w:rStyle w:val="33"/>
          <w:rFonts w:hint="eastAsia"/>
        </w:rPr>
        <w:t xml:space="preserve"> 公众满意度</w:t>
      </w:r>
      <w:r>
        <w:rPr>
          <w:rFonts w:hint="eastAsia"/>
        </w:rPr>
        <w:tab/>
      </w:r>
      <w:r>
        <w:rPr>
          <w:rFonts w:hint="eastAsia"/>
        </w:rPr>
        <w:fldChar w:fldCharType="begin"/>
      </w:r>
      <w:r>
        <w:rPr>
          <w:rFonts w:hint="eastAsia"/>
        </w:rPr>
        <w:instrText xml:space="preserve"> </w:instrText>
      </w:r>
      <w:r>
        <w:instrText xml:space="preserve">PAGEREF _Toc242804750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3043B19E">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"_Toc242804751" </w:instrText>
      </w:r>
      <w:r>
        <w:fldChar w:fldCharType="separate"/>
      </w:r>
      <w:r>
        <w:rPr>
          <w:rStyle w:val="33"/>
          <w:rFonts w:hint="eastAsia"/>
          <w14:scene3d w14:prst="orthographicFront">
            <w14:lightRig w14:rig="threePt" w14:dir="t">
              <w14:rot w14:lat="0" w14:lon="0" w14:rev="0"/>
            </w14:lightRig>
          </w14:scene3d>
        </w:rPr>
        <w:t>6.24</w:t>
      </w:r>
      <w:r>
        <w:rPr>
          <w:rStyle w:val="33"/>
          <w14:scene3d w14:prst="orthographicFront">
            <w14:lightRig w14:rig="threePt" w14:dir="t">
              <w14:rot w14:lat="0" w14:lon="0" w14:rev="0"/>
            </w14:lightRig>
          </w14:scene3d>
        </w:rPr>
        <w:t xml:space="preserve"> </w:t>
      </w:r>
      <w:r>
        <w:rPr>
          <w:rStyle w:val="33"/>
          <w:rFonts w:hint="eastAsia"/>
        </w:rPr>
        <w:t xml:space="preserve"> 防洪（汛）达标率</w:t>
      </w:r>
      <w:r>
        <w:rPr>
          <w:rFonts w:hint="eastAsia"/>
        </w:rPr>
        <w:tab/>
      </w:r>
      <w:r>
        <w:rPr>
          <w:rFonts w:hint="eastAsia"/>
        </w:rPr>
        <w:fldChar w:fldCharType="begin"/>
      </w:r>
      <w:r>
        <w:rPr>
          <w:rFonts w:hint="eastAsia"/>
        </w:rPr>
        <w:instrText xml:space="preserve"> </w:instrText>
      </w:r>
      <w:r>
        <w:instrText xml:space="preserve">PAGEREF _Toc242804751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3001CC26">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"_Toc242804752" </w:instrText>
      </w:r>
      <w:r>
        <w:fldChar w:fldCharType="separate"/>
      </w:r>
      <w:r>
        <w:rPr>
          <w:rStyle w:val="33"/>
          <w:rFonts w:hint="eastAsia"/>
          <w14:scene3d w14:prst="orthographicFront">
            <w14:lightRig w14:rig="threePt" w14:dir="t">
              <w14:rot w14:lat="0" w14:lon="0" w14:rev="0"/>
            </w14:lightRig>
          </w14:scene3d>
        </w:rPr>
        <w:t>6.25</w:t>
      </w:r>
      <w:r>
        <w:rPr>
          <w:rStyle w:val="33"/>
          <w14:scene3d w14:prst="orthographicFront">
            <w14:lightRig w14:rig="threePt" w14:dir="t">
              <w14:rot w14:lat="0" w14:lon="0" w14:rev="0"/>
            </w14:lightRig>
          </w14:scene3d>
        </w:rPr>
        <w:t xml:space="preserve"> </w:t>
      </w:r>
      <w:r>
        <w:rPr>
          <w:rStyle w:val="33"/>
          <w:rFonts w:hint="eastAsia"/>
        </w:rPr>
        <w:t xml:space="preserve"> 岸线贯通程度</w:t>
      </w:r>
      <w:r>
        <w:rPr>
          <w:rFonts w:hint="eastAsia"/>
        </w:rPr>
        <w:tab/>
      </w:r>
      <w:r>
        <w:rPr>
          <w:rFonts w:hint="eastAsia"/>
        </w:rPr>
        <w:fldChar w:fldCharType="begin"/>
      </w:r>
      <w:r>
        <w:rPr>
          <w:rFonts w:hint="eastAsia"/>
        </w:rPr>
        <w:instrText xml:space="preserve"> </w:instrText>
      </w:r>
      <w:r>
        <w:instrText xml:space="preserve">PAGEREF _Toc242804752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500187CC">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"_Toc242804753" </w:instrText>
      </w:r>
      <w:r>
        <w:fldChar w:fldCharType="separate"/>
      </w:r>
      <w:r>
        <w:rPr>
          <w:rStyle w:val="33"/>
          <w:rFonts w:hint="eastAsia"/>
          <w14:scene3d w14:prst="orthographicFront">
            <w14:lightRig w14:rig="threePt" w14:dir="t">
              <w14:rot w14:lat="0" w14:lon="0" w14:rev="0"/>
            </w14:lightRig>
          </w14:scene3d>
        </w:rPr>
        <w:t>6.26</w:t>
      </w:r>
      <w:r>
        <w:rPr>
          <w:rStyle w:val="33"/>
          <w14:scene3d w14:prst="orthographicFront">
            <w14:lightRig w14:rig="threePt" w14:dir="t">
              <w14:rot w14:lat="0" w14:lon="0" w14:rev="0"/>
            </w14:lightRig>
          </w14:scene3d>
        </w:rPr>
        <w:t xml:space="preserve"> </w:t>
      </w:r>
      <w:r>
        <w:rPr>
          <w:rStyle w:val="33"/>
          <w:rFonts w:hint="eastAsia"/>
        </w:rPr>
        <w:t xml:space="preserve"> 供水保证程度</w:t>
      </w:r>
      <w:r>
        <w:rPr>
          <w:rFonts w:hint="eastAsia"/>
        </w:rPr>
        <w:tab/>
      </w:r>
      <w:r>
        <w:rPr>
          <w:rFonts w:hint="eastAsia"/>
        </w:rPr>
        <w:fldChar w:fldCharType="begin"/>
      </w:r>
      <w:r>
        <w:rPr>
          <w:rFonts w:hint="eastAsia"/>
        </w:rPr>
        <w:instrText xml:space="preserve"> </w:instrText>
      </w:r>
      <w:r>
        <w:instrText xml:space="preserve">PAGEREF _Toc242804753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65C38D93">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"_Toc242804754" </w:instrText>
      </w:r>
      <w:r>
        <w:fldChar w:fldCharType="separate"/>
      </w:r>
      <w:r>
        <w:rPr>
          <w:rStyle w:val="33"/>
          <w:rFonts w:hint="eastAsia"/>
          <w14:scene3d w14:prst="orthographicFront">
            <w14:lightRig w14:rig="threePt" w14:dir="t">
              <w14:rot w14:lat="0" w14:lon="0" w14:rev="0"/>
            </w14:lightRig>
          </w14:scene3d>
        </w:rPr>
        <w:t>6.27</w:t>
      </w:r>
      <w:r>
        <w:rPr>
          <w:rStyle w:val="33"/>
          <w14:scene3d w14:prst="orthographicFront">
            <w14:lightRig w14:rig="threePt" w14:dir="t">
              <w14:rot w14:lat="0" w14:lon="0" w14:rev="0"/>
            </w14:lightRig>
          </w14:scene3d>
        </w:rPr>
        <w:t xml:space="preserve"> </w:t>
      </w:r>
      <w:r>
        <w:rPr>
          <w:rStyle w:val="33"/>
          <w:rFonts w:hint="eastAsia"/>
        </w:rPr>
        <w:t xml:space="preserve"> 排涝工程达标率</w:t>
      </w:r>
      <w:r>
        <w:rPr>
          <w:rFonts w:hint="eastAsia"/>
        </w:rPr>
        <w:tab/>
      </w:r>
      <w:r>
        <w:rPr>
          <w:rFonts w:hint="eastAsia"/>
        </w:rPr>
        <w:fldChar w:fldCharType="begin"/>
      </w:r>
      <w:r>
        <w:rPr>
          <w:rFonts w:hint="eastAsia"/>
        </w:rPr>
        <w:instrText xml:space="preserve"> </w:instrText>
      </w:r>
      <w:r>
        <w:instrText xml:space="preserve">PAGEREF _Toc242804754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A1B32E5">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"_Toc242804755" </w:instrText>
      </w:r>
      <w:r>
        <w:fldChar w:fldCharType="separate"/>
      </w:r>
      <w:r>
        <w:rPr>
          <w:rStyle w:val="33"/>
          <w:rFonts w:hint="eastAsia"/>
          <w14:scene3d w14:prst="orthographicFront">
            <w14:lightRig w14:rig="threePt" w14:dir="t">
              <w14:rot w14:lat="0" w14:lon="0" w14:rev="0"/>
            </w14:lightRig>
          </w14:scene3d>
        </w:rPr>
        <w:t>6.28</w:t>
      </w:r>
      <w:r>
        <w:rPr>
          <w:rStyle w:val="33"/>
          <w14:scene3d w14:prst="orthographicFront">
            <w14:lightRig w14:rig="threePt" w14:dir="t">
              <w14:rot w14:lat="0" w14:lon="0" w14:rev="0"/>
            </w14:lightRig>
          </w14:scene3d>
        </w:rPr>
        <w:t xml:space="preserve"> </w:t>
      </w:r>
      <w:r>
        <w:rPr>
          <w:rStyle w:val="33"/>
          <w:rFonts w:hint="eastAsia"/>
        </w:rPr>
        <w:t xml:space="preserve"> 通航保证率</w:t>
      </w:r>
      <w:r>
        <w:rPr>
          <w:rFonts w:hint="eastAsia"/>
        </w:rPr>
        <w:tab/>
      </w:r>
      <w:r>
        <w:rPr>
          <w:rFonts w:hint="eastAsia"/>
        </w:rPr>
        <w:fldChar w:fldCharType="begin"/>
      </w:r>
      <w:r>
        <w:rPr>
          <w:rFonts w:hint="eastAsia"/>
        </w:rPr>
        <w:instrText xml:space="preserve"> </w:instrText>
      </w:r>
      <w:r>
        <w:instrText xml:space="preserve">PAGEREF _Toc242804755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207C43A6">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"_Toc242804756" </w:instrText>
      </w:r>
      <w:r>
        <w:fldChar w:fldCharType="separate"/>
      </w:r>
      <w:r>
        <w:rPr>
          <w:rStyle w:val="33"/>
          <w:rFonts w:hint="eastAsia"/>
        </w:rPr>
        <w:t>7</w:t>
      </w:r>
      <w:r>
        <w:rPr>
          <w:rStyle w:val="33"/>
        </w:rPr>
        <w:t xml:space="preserve"> </w:t>
      </w:r>
      <w:r>
        <w:rPr>
          <w:rStyle w:val="33"/>
          <w:rFonts w:hint="eastAsia"/>
        </w:rPr>
        <w:t xml:space="preserve"> 调查监测</w:t>
      </w:r>
      <w:r>
        <w:rPr>
          <w:rFonts w:hint="eastAsia"/>
        </w:rPr>
        <w:tab/>
      </w:r>
      <w:r>
        <w:rPr>
          <w:rFonts w:hint="eastAsia"/>
        </w:rPr>
        <w:fldChar w:fldCharType="begin"/>
      </w:r>
      <w:r>
        <w:rPr>
          <w:rFonts w:hint="eastAsia"/>
        </w:rPr>
        <w:instrText xml:space="preserve"> </w:instrText>
      </w:r>
      <w:r>
        <w:instrText xml:space="preserve">PAGEREF _Toc242804756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A3C0395">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"_Toc242804757" </w:instrText>
      </w:r>
      <w:r>
        <w:fldChar w:fldCharType="separate"/>
      </w:r>
      <w:r>
        <w:rPr>
          <w:rStyle w:val="33"/>
          <w:rFonts w:hint="eastAsia"/>
          <w14:scene3d w14:prst="orthographicFront">
            <w14:lightRig w14:rig="threePt" w14:dir="t">
              <w14:rot w14:lat="0" w14:lon="0" w14:rev="0"/>
            </w14:lightRig>
          </w14:scene3d>
        </w:rPr>
        <w:t>7.1</w:t>
      </w:r>
      <w:r>
        <w:rPr>
          <w:rStyle w:val="33"/>
          <w14:scene3d w14:prst="orthographicFront">
            <w14:lightRig w14:rig="threePt" w14:dir="t">
              <w14:rot w14:lat="0" w14:lon="0" w14:rev="0"/>
            </w14:lightRig>
          </w14:scene3d>
        </w:rPr>
        <w:t xml:space="preserve"> </w:t>
      </w:r>
      <w:r>
        <w:rPr>
          <w:rStyle w:val="33"/>
          <w:rFonts w:hint="eastAsia"/>
        </w:rPr>
        <w:t xml:space="preserve"> 监测方法</w:t>
      </w:r>
      <w:r>
        <w:rPr>
          <w:rFonts w:hint="eastAsia"/>
        </w:rPr>
        <w:tab/>
      </w:r>
      <w:r>
        <w:rPr>
          <w:rFonts w:hint="eastAsia"/>
        </w:rPr>
        <w:fldChar w:fldCharType="begin"/>
      </w:r>
      <w:r>
        <w:rPr>
          <w:rFonts w:hint="eastAsia"/>
        </w:rPr>
        <w:instrText xml:space="preserve"> </w:instrText>
      </w:r>
      <w:r>
        <w:instrText xml:space="preserve">PAGEREF _Toc242804757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4B624185">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"_Toc242804758" </w:instrText>
      </w:r>
      <w:r>
        <w:fldChar w:fldCharType="separate"/>
      </w:r>
      <w:r>
        <w:rPr>
          <w:rStyle w:val="33"/>
          <w:rFonts w:hint="eastAsia"/>
          <w14:scene3d w14:prst="orthographicFront">
            <w14:lightRig w14:rig="threePt" w14:dir="t">
              <w14:rot w14:lat="0" w14:lon="0" w14:rev="0"/>
            </w14:lightRig>
          </w14:scene3d>
        </w:rPr>
        <w:t>7.2</w:t>
      </w:r>
      <w:r>
        <w:rPr>
          <w:rStyle w:val="33"/>
          <w14:scene3d w14:prst="orthographicFront">
            <w14:lightRig w14:rig="threePt" w14:dir="t">
              <w14:rot w14:lat="0" w14:lon="0" w14:rev="0"/>
            </w14:lightRig>
          </w14:scene3d>
        </w:rPr>
        <w:t xml:space="preserve"> </w:t>
      </w:r>
      <w:r>
        <w:rPr>
          <w:rStyle w:val="33"/>
          <w:rFonts w:hint="eastAsia"/>
        </w:rPr>
        <w:t xml:space="preserve"> 河湖分段分区与调查监测点位/断面设置</w:t>
      </w:r>
      <w:r>
        <w:rPr>
          <w:rFonts w:hint="eastAsia"/>
        </w:rPr>
        <w:tab/>
      </w:r>
      <w:r>
        <w:rPr>
          <w:rFonts w:hint="eastAsia"/>
        </w:rPr>
        <w:fldChar w:fldCharType="begin"/>
      </w:r>
      <w:r>
        <w:rPr>
          <w:rFonts w:hint="eastAsia"/>
        </w:rPr>
        <w:instrText xml:space="preserve"> </w:instrText>
      </w:r>
      <w:r>
        <w:instrText xml:space="preserve">PAGEREF _Toc242804758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137875B8">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"_Toc242804759" </w:instrText>
      </w:r>
      <w:r>
        <w:fldChar w:fldCharType="separate"/>
      </w:r>
      <w:r>
        <w:rPr>
          <w:rStyle w:val="33"/>
          <w:rFonts w:hint="eastAsia"/>
          <w14:scene3d w14:prst="orthographicFront">
            <w14:lightRig w14:rig="threePt" w14:dir="t">
              <w14:rot w14:lat="0" w14:lon="0" w14:rev="0"/>
            </w14:lightRig>
          </w14:scene3d>
        </w:rPr>
        <w:t>7.3</w:t>
      </w:r>
      <w:r>
        <w:rPr>
          <w:rStyle w:val="33"/>
          <w14:scene3d w14:prst="orthographicFront">
            <w14:lightRig w14:rig="threePt" w14:dir="t">
              <w14:rot w14:lat="0" w14:lon="0" w14:rev="0"/>
            </w14:lightRig>
          </w14:scene3d>
        </w:rPr>
        <w:t xml:space="preserve"> </w:t>
      </w:r>
      <w:r>
        <w:rPr>
          <w:rStyle w:val="33"/>
          <w:rFonts w:hint="eastAsia"/>
        </w:rPr>
        <w:t xml:space="preserve"> 调查监测方法与频次</w:t>
      </w:r>
      <w:r>
        <w:rPr>
          <w:rFonts w:hint="eastAsia"/>
        </w:rPr>
        <w:tab/>
      </w:r>
      <w:r>
        <w:rPr>
          <w:rFonts w:hint="eastAsia"/>
        </w:rPr>
        <w:fldChar w:fldCharType="begin"/>
      </w:r>
      <w:r>
        <w:rPr>
          <w:rFonts w:hint="eastAsia"/>
        </w:rPr>
        <w:instrText xml:space="preserve"> </w:instrText>
      </w:r>
      <w:r>
        <w:instrText xml:space="preserve">PAGEREF _Toc242804759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0F48C4A0">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"_Toc242804760" </w:instrText>
      </w:r>
      <w:r>
        <w:fldChar w:fldCharType="separate"/>
      </w:r>
      <w:r>
        <w:rPr>
          <w:rStyle w:val="33"/>
          <w:rFonts w:hint="eastAsia"/>
        </w:rPr>
        <w:t>8</w:t>
      </w:r>
      <w:r>
        <w:rPr>
          <w:rStyle w:val="33"/>
        </w:rPr>
        <w:t xml:space="preserve"> </w:t>
      </w:r>
      <w:r>
        <w:rPr>
          <w:rStyle w:val="33"/>
          <w:rFonts w:hint="eastAsia"/>
        </w:rPr>
        <w:t xml:space="preserve"> 河湖健康指数</w:t>
      </w:r>
      <w:r>
        <w:rPr>
          <w:rFonts w:hint="eastAsia"/>
        </w:rPr>
        <w:tab/>
      </w:r>
      <w:r>
        <w:rPr>
          <w:rFonts w:hint="eastAsia"/>
        </w:rPr>
        <w:fldChar w:fldCharType="begin"/>
      </w:r>
      <w:r>
        <w:rPr>
          <w:rFonts w:hint="eastAsia"/>
        </w:rPr>
        <w:instrText xml:space="preserve"> </w:instrText>
      </w:r>
      <w:r>
        <w:instrText xml:space="preserve">PAGEREF _Toc242804760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75ABEB1D">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"_Toc242804761" </w:instrText>
      </w:r>
      <w:r>
        <w:fldChar w:fldCharType="separate"/>
      </w:r>
      <w:r>
        <w:rPr>
          <w:rStyle w:val="33"/>
          <w:rFonts w:hint="eastAsia"/>
          <w14:scene3d w14:prst="orthographicFront">
            <w14:lightRig w14:rig="threePt" w14:dir="t">
              <w14:rot w14:lat="0" w14:lon="0" w14:rev="0"/>
            </w14:lightRig>
          </w14:scene3d>
        </w:rPr>
        <w:t>8.1</w:t>
      </w:r>
      <w:r>
        <w:rPr>
          <w:rStyle w:val="33"/>
          <w14:scene3d w14:prst="orthographicFront">
            <w14:lightRig w14:rig="threePt" w14:dir="t">
              <w14:rot w14:lat="0" w14:lon="0" w14:rev="0"/>
            </w14:lightRig>
          </w14:scene3d>
        </w:rPr>
        <w:t xml:space="preserve"> </w:t>
      </w:r>
      <w:r>
        <w:rPr>
          <w:rStyle w:val="33"/>
          <w:rFonts w:hint="eastAsia"/>
        </w:rPr>
        <w:t xml:space="preserve"> 河湖健康指数计算</w:t>
      </w:r>
      <w:r>
        <w:rPr>
          <w:rFonts w:hint="eastAsia"/>
        </w:rPr>
        <w:tab/>
      </w:r>
      <w:r>
        <w:rPr>
          <w:rFonts w:hint="eastAsia"/>
        </w:rPr>
        <w:fldChar w:fldCharType="begin"/>
      </w:r>
      <w:r>
        <w:rPr>
          <w:rFonts w:hint="eastAsia"/>
        </w:rPr>
        <w:instrText xml:space="preserve"> </w:instrText>
      </w:r>
      <w:r>
        <w:instrText xml:space="preserve">PAGEREF _Toc242804761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5F67B231">
      <w:pPr>
        <w:pStyle w:val="25"/>
        <w:rPr>
          <w:rFonts w:asciiTheme="minorHAnsi" w:hAnsiTheme="minorHAnsi" w:eastAsiaTheme="minorEastAsia" w:cstheme="minorBidi"/>
          <w:sz w:val="22"/>
          <w:szCs w:val="24"/>
          <w14:ligatures w14:val="standardContextual"/>
        </w:rPr>
      </w:pPr>
      <w:r>
        <w:fldChar w:fldCharType="begin"/>
      </w:r>
      <w:r>
        <w:instrText xml:space="preserve"> HYPERLINK \l "_Toc242804762" </w:instrText>
      </w:r>
      <w:r>
        <w:fldChar w:fldCharType="separate"/>
      </w:r>
      <w:r>
        <w:rPr>
          <w:rStyle w:val="33"/>
          <w:rFonts w:hint="eastAsia"/>
          <w14:scene3d w14:prst="orthographicFront">
            <w14:lightRig w14:rig="threePt" w14:dir="t">
              <w14:rot w14:lat="0" w14:lon="0" w14:rev="0"/>
            </w14:lightRig>
          </w14:scene3d>
        </w:rPr>
        <w:t>8.2</w:t>
      </w:r>
      <w:r>
        <w:rPr>
          <w:rStyle w:val="33"/>
          <w14:scene3d w14:prst="orthographicFront">
            <w14:lightRig w14:rig="threePt" w14:dir="t">
              <w14:rot w14:lat="0" w14:lon="0" w14:rev="0"/>
            </w14:lightRig>
          </w14:scene3d>
        </w:rPr>
        <w:t xml:space="preserve"> </w:t>
      </w:r>
      <w:r>
        <w:rPr>
          <w:rStyle w:val="33"/>
          <w:rFonts w:hint="eastAsia"/>
        </w:rPr>
        <w:t xml:space="preserve"> 评价分级</w:t>
      </w:r>
      <w:r>
        <w:rPr>
          <w:rFonts w:hint="eastAsia"/>
        </w:rPr>
        <w:tab/>
      </w:r>
      <w:r>
        <w:rPr>
          <w:rFonts w:hint="eastAsia"/>
        </w:rPr>
        <w:fldChar w:fldCharType="begin"/>
      </w:r>
      <w:r>
        <w:rPr>
          <w:rFonts w:hint="eastAsia"/>
        </w:rPr>
        <w:instrText xml:space="preserve"> </w:instrText>
      </w:r>
      <w:r>
        <w:instrText xml:space="preserve">PAGEREF _Toc242804762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282BE8FB">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"_Toc242804763" </w:instrText>
      </w:r>
      <w:r>
        <w:fldChar w:fldCharType="separate"/>
      </w:r>
      <w:r>
        <w:rPr>
          <w:rStyle w:val="33"/>
          <w:rFonts w:hint="eastAsia"/>
        </w:rPr>
        <w:t>9</w:t>
      </w:r>
      <w:r>
        <w:rPr>
          <w:rStyle w:val="33"/>
        </w:rPr>
        <w:t xml:space="preserve"> </w:t>
      </w:r>
      <w:r>
        <w:rPr>
          <w:rStyle w:val="33"/>
          <w:rFonts w:hint="eastAsia"/>
        </w:rPr>
        <w:t xml:space="preserve"> 报告编制</w:t>
      </w:r>
      <w:r>
        <w:rPr>
          <w:rFonts w:hint="eastAsia"/>
        </w:rPr>
        <w:tab/>
      </w:r>
      <w:r>
        <w:rPr>
          <w:rFonts w:hint="eastAsia"/>
        </w:rPr>
        <w:fldChar w:fldCharType="begin"/>
      </w:r>
      <w:r>
        <w:rPr>
          <w:rFonts w:hint="eastAsia"/>
        </w:rPr>
        <w:instrText xml:space="preserve"> </w:instrText>
      </w:r>
      <w:r>
        <w:instrText xml:space="preserve">PAGEREF _Toc242804763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37959D3B">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"_Toc242804764" </w:instrText>
      </w:r>
      <w:r>
        <w:fldChar w:fldCharType="separate"/>
      </w:r>
      <w:r>
        <w:rPr>
          <w:rStyle w:val="33"/>
          <w:rFonts w:hint="eastAsia"/>
        </w:rPr>
        <w:t>附录A （资料性） 河湖健康评价公众调查表样</w:t>
      </w:r>
      <w:r>
        <w:rPr>
          <w:rFonts w:hint="eastAsia"/>
        </w:rPr>
        <w:tab/>
      </w:r>
      <w:r>
        <w:rPr>
          <w:rFonts w:hint="eastAsia"/>
        </w:rPr>
        <w:fldChar w:fldCharType="begin"/>
      </w:r>
      <w:r>
        <w:rPr>
          <w:rFonts w:hint="eastAsia"/>
        </w:rPr>
        <w:instrText xml:space="preserve"> </w:instrText>
      </w:r>
      <w:r>
        <w:instrText xml:space="preserve">PAGEREF _Toc242804764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01BDB52E">
      <w:pPr>
        <w:pStyle w:val="20"/>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"_Toc242804765" </w:instrText>
      </w:r>
      <w:r>
        <w:fldChar w:fldCharType="separate"/>
      </w:r>
      <w:r>
        <w:rPr>
          <w:rStyle w:val="33"/>
          <w:rFonts w:hint="eastAsia"/>
        </w:rPr>
        <w:t>参考文献</w:t>
      </w:r>
      <w:r>
        <w:rPr>
          <w:rFonts w:hint="eastAsia"/>
        </w:rPr>
        <w:tab/>
      </w:r>
      <w:r>
        <w:rPr>
          <w:rFonts w:hint="eastAsia"/>
        </w:rPr>
        <w:fldChar w:fldCharType="begin"/>
      </w:r>
      <w:r>
        <w:rPr>
          <w:rFonts w:hint="eastAsia"/>
        </w:rPr>
        <w:instrText xml:space="preserve"> </w:instrText>
      </w:r>
      <w:r>
        <w:instrText xml:space="preserve">PAGEREF _Toc242804765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22B1CDB">
      <w:pPr>
        <w:pStyle w:val="92"/>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9"/>
    <w:p w14:paraId="7C8273EC">
      <w:pPr>
        <w:pStyle w:val="90"/>
        <w:spacing w:before="900" w:after="468"/>
      </w:pPr>
      <w:bookmarkStart w:id="11" w:name="_Toc242804718"/>
      <w:bookmarkStart w:id="12" w:name="BookMark2"/>
      <w:r>
        <w:rPr>
          <w:rFonts w:hint="eastAsia"/>
          <w:spacing w:val="320"/>
        </w:rPr>
        <w:t>前</w:t>
      </w:r>
      <w:r>
        <w:rPr>
          <w:rFonts w:hint="eastAsia"/>
        </w:rPr>
        <w:t>言</w:t>
      </w:r>
      <w:bookmarkEnd w:id="10"/>
      <w:bookmarkEnd w:id="11"/>
    </w:p>
    <w:p w14:paraId="6C9129B9">
      <w:pPr>
        <w:pStyle w:val="57"/>
        <w:ind w:firstLine="420"/>
      </w:pPr>
      <w:r>
        <w:rPr>
          <w:rFonts w:hint="eastAsia"/>
        </w:rPr>
        <w:t>本文件按照GB/T 1.1—2020《标准化工作导则  第1部分：标准化文件的结构和起草规则》的规定起草。</w:t>
      </w:r>
    </w:p>
    <w:p w14:paraId="3AF847E3">
      <w:pPr>
        <w:pStyle w:val="57"/>
        <w:ind w:firstLine="420"/>
      </w:pPr>
      <w:r>
        <w:rPr>
          <w:rFonts w:hint="eastAsia"/>
        </w:rPr>
        <w:t>本文件代替DB31 SW/Z 001—2023《上海市河湖健康评价技术指南(试行)》，与</w:t>
      </w:r>
      <w:r>
        <w:t>DB31 SW/Z 001—2023</w:t>
      </w:r>
      <w:r>
        <w:rPr>
          <w:rFonts w:hint="eastAsia"/>
        </w:rPr>
        <w:t>相比，除结构调整和编辑性改动外，主要技术变化如下：</w:t>
      </w:r>
    </w:p>
    <w:p w14:paraId="2C620C30">
      <w:pPr>
        <w:pStyle w:val="175"/>
        <w:rPr>
          <w:color w:val="000000" w:themeColor="text1"/>
          <w14:textFill>
            <w14:solidFill>
              <w14:schemeClr w14:val="tx1"/>
            </w14:solidFill>
          </w14:textFill>
        </w:rPr>
      </w:pPr>
      <w:r>
        <w:rPr>
          <w:rFonts w:hint="eastAsia"/>
          <w:color w:val="000000" w:themeColor="text1"/>
          <w14:textFill>
            <w14:solidFill>
              <w14:schemeClr w14:val="tx1"/>
            </w14:solidFill>
          </w14:textFill>
        </w:rPr>
        <w:t>增加了工作流程（见第4章）；</w:t>
      </w:r>
    </w:p>
    <w:p w14:paraId="38B0E30E">
      <w:pPr>
        <w:pStyle w:val="175"/>
        <w:rPr>
          <w:color w:val="000000" w:themeColor="text1"/>
          <w14:textFill>
            <w14:solidFill>
              <w14:schemeClr w14:val="tx1"/>
            </w14:solidFill>
          </w14:textFill>
        </w:rPr>
      </w:pPr>
      <w:r>
        <w:rPr>
          <w:rFonts w:hint="eastAsia"/>
          <w:color w:val="000000" w:themeColor="text1"/>
          <w14:textFill>
            <w14:solidFill>
              <w14:schemeClr w14:val="tx1"/>
            </w14:solidFill>
          </w14:textFill>
        </w:rPr>
        <w:t>更改了评价指标及权重（见第5章，2023年版的第3章）；</w:t>
      </w:r>
    </w:p>
    <w:p w14:paraId="4EC3D937">
      <w:pPr>
        <w:pStyle w:val="175"/>
        <w:rPr>
          <w:color w:val="000000" w:themeColor="text1"/>
          <w14:textFill>
            <w14:solidFill>
              <w14:schemeClr w14:val="tx1"/>
            </w14:solidFill>
          </w14:textFill>
        </w:rPr>
      </w:pPr>
      <w:r>
        <w:rPr>
          <w:rFonts w:hint="eastAsia"/>
          <w:color w:val="000000" w:themeColor="text1"/>
          <w14:textFill>
            <w14:solidFill>
              <w14:schemeClr w14:val="tx1"/>
            </w14:solidFill>
          </w14:textFill>
        </w:rPr>
        <w:t>更改了指标计算公式及赋分规则（见第6章，2023年版的第4章）；</w:t>
      </w:r>
    </w:p>
    <w:p w14:paraId="10DACE28">
      <w:pPr>
        <w:pStyle w:val="175"/>
        <w:rPr>
          <w:color w:val="000000" w:themeColor="text1"/>
          <w14:textFill>
            <w14:solidFill>
              <w14:schemeClr w14:val="tx1"/>
            </w14:solidFill>
          </w14:textFill>
        </w:rPr>
      </w:pPr>
      <w:r>
        <w:rPr>
          <w:rFonts w:hint="eastAsia"/>
          <w:color w:val="000000" w:themeColor="text1"/>
          <w14:textFill>
            <w14:solidFill>
              <w14:schemeClr w14:val="tx1"/>
            </w14:solidFill>
          </w14:textFill>
        </w:rPr>
        <w:t>增加了报告编制的内容（见第9章）；</w:t>
      </w:r>
    </w:p>
    <w:p w14:paraId="7F8E28CC">
      <w:pPr>
        <w:pStyle w:val="175"/>
        <w:rPr>
          <w:color w:val="000000" w:themeColor="text1"/>
          <w14:textFill>
            <w14:solidFill>
              <w14:schemeClr w14:val="tx1"/>
            </w14:solidFill>
          </w14:textFill>
        </w:rPr>
      </w:pPr>
      <w:r>
        <w:rPr>
          <w:rFonts w:hint="eastAsia"/>
          <w:color w:val="000000" w:themeColor="text1"/>
          <w14:textFill>
            <w14:solidFill>
              <w14:schemeClr w14:val="tx1"/>
            </w14:solidFill>
          </w14:textFill>
        </w:rPr>
        <w:t>删除了河湖“四乱”问题认定及严重程度分类表（见2023年版的附录A）；</w:t>
      </w:r>
    </w:p>
    <w:p w14:paraId="3BBA6F1A">
      <w:pPr>
        <w:pStyle w:val="175"/>
        <w:rPr>
          <w:color w:val="000000" w:themeColor="text1"/>
          <w14:textFill>
            <w14:solidFill>
              <w14:schemeClr w14:val="tx1"/>
            </w14:solidFill>
          </w14:textFill>
        </w:rPr>
      </w:pPr>
      <w:r>
        <w:rPr>
          <w:rFonts w:hint="eastAsia"/>
          <w:color w:val="000000" w:themeColor="text1"/>
          <w14:textFill>
            <w14:solidFill>
              <w14:schemeClr w14:val="tx1"/>
            </w14:solidFill>
          </w14:textFill>
        </w:rPr>
        <w:t>更改了河湖健康评价公众调查表样（见附录A，2023年版的附录C）。</w:t>
      </w:r>
    </w:p>
    <w:p w14:paraId="00EFFE1C">
      <w:pPr>
        <w:pStyle w:val="57"/>
        <w:ind w:firstLine="420"/>
      </w:pPr>
      <w:r>
        <w:rPr>
          <w:rFonts w:hint="eastAsia"/>
        </w:rPr>
        <w:t>请注意本文件的某些内容可能涉及专利。本文件的</w:t>
      </w:r>
      <w:bookmarkStart w:id="148" w:name="_GoBack"/>
      <w:bookmarkEnd w:id="148"/>
      <w:r>
        <w:rPr>
          <w:rFonts w:hint="eastAsia"/>
        </w:rPr>
        <w:t>发布机构不承担识别专利的责任。</w:t>
      </w:r>
    </w:p>
    <w:p w14:paraId="3CEC933D">
      <w:pPr>
        <w:pStyle w:val="57"/>
        <w:ind w:firstLine="420"/>
      </w:pPr>
      <w:r>
        <w:rPr>
          <w:rFonts w:hint="eastAsia"/>
        </w:rPr>
        <w:t>本文件由上海市水务局提出并归口。</w:t>
      </w:r>
    </w:p>
    <w:p w14:paraId="5E558194">
      <w:pPr>
        <w:pStyle w:val="57"/>
        <w:ind w:firstLine="420"/>
      </w:pPr>
      <w:r>
        <w:rPr>
          <w:rFonts w:hint="eastAsia"/>
        </w:rPr>
        <w:t>本文件起草单位：上海市水利管理事务中心（上海市河湖管理事务中心）、华东师范大学、上海建科环境技术有限公司、上海市环境监测技术装备有限公司。</w:t>
      </w:r>
    </w:p>
    <w:p w14:paraId="5C40BFBE">
      <w:pPr>
        <w:pStyle w:val="57"/>
        <w:ind w:firstLine="420"/>
        <w:rPr>
          <w:rFonts w:hint="default" w:eastAsia="宋体"/>
          <w:lang w:val="en-US" w:eastAsia="zh-CN"/>
        </w:rPr>
      </w:pPr>
      <w:r>
        <w:rPr>
          <w:rFonts w:hint="eastAsia"/>
        </w:rPr>
        <w:t>本文件主要起草人：</w:t>
      </w:r>
    </w:p>
    <w:p w14:paraId="3272BE8A">
      <w:pPr>
        <w:pStyle w:val="57"/>
        <w:ind w:firstLine="420"/>
      </w:pPr>
      <w:r>
        <w:rPr>
          <w:rFonts w:hint="eastAsia"/>
        </w:rPr>
        <w:t>本文件及其所代替文件的历次版本发布情况为：</w:t>
      </w:r>
    </w:p>
    <w:p w14:paraId="4492E5B5">
      <w:pPr>
        <w:pStyle w:val="133"/>
      </w:pPr>
      <w:r>
        <w:rPr>
          <w:rFonts w:hint="eastAsia"/>
        </w:rPr>
        <w:t>2023年首次发布为DB31 SW/Z 001—2023；</w:t>
      </w:r>
    </w:p>
    <w:p w14:paraId="1B128157">
      <w:pPr>
        <w:pStyle w:val="133"/>
      </w:pPr>
      <w:r>
        <w:rPr>
          <w:rFonts w:hint="eastAsia"/>
        </w:rPr>
        <w:t>本次为第一次修订。</w:t>
      </w:r>
    </w:p>
    <w:p w14:paraId="57BC9910">
      <w:pPr>
        <w:pStyle w:val="57"/>
        <w:ind w:firstLine="420"/>
      </w:pPr>
    </w:p>
    <w:p w14:paraId="2D4F180C">
      <w:pPr>
        <w:pStyle w:val="57"/>
        <w:ind w:firstLine="420"/>
      </w:pPr>
    </w:p>
    <w:p w14:paraId="13C7A20C">
      <w:pPr>
        <w:pStyle w:val="57"/>
        <w:ind w:firstLine="420"/>
      </w:pPr>
    </w:p>
    <w:p w14:paraId="134E79A1">
      <w:pPr>
        <w:pStyle w:val="57"/>
        <w:ind w:firstLine="420"/>
        <w:sectPr>
          <w:pgSz w:w="11906" w:h="16838"/>
          <w:pgMar w:top="1928" w:right="1134" w:bottom="1134" w:left="1134" w:header="1418" w:footer="1134" w:gutter="284"/>
          <w:pgNumType w:fmt="upperRoman"/>
          <w:cols w:space="425" w:num="1"/>
          <w:formProt w:val="0"/>
          <w:docGrid w:type="lines" w:linePitch="312" w:charSpace="0"/>
        </w:sectPr>
      </w:pPr>
    </w:p>
    <w:bookmarkEnd w:id="12"/>
    <w:p w14:paraId="51579C0B">
      <w:pPr>
        <w:spacing w:line="20" w:lineRule="exact"/>
        <w:jc w:val="center"/>
        <w:rPr>
          <w:rFonts w:ascii="黑体" w:hAnsi="黑体" w:eastAsia="黑体"/>
          <w:sz w:val="32"/>
          <w:szCs w:val="32"/>
        </w:rPr>
      </w:pPr>
      <w:bookmarkStart w:id="13" w:name="BookMark4"/>
    </w:p>
    <w:p w14:paraId="290A2EE9">
      <w:pPr>
        <w:spacing w:line="20" w:lineRule="exact"/>
        <w:jc w:val="center"/>
        <w:rPr>
          <w:rFonts w:ascii="黑体" w:hAnsi="黑体" w:eastAsia="黑体"/>
          <w:sz w:val="32"/>
          <w:szCs w:val="32"/>
        </w:rPr>
      </w:pPr>
    </w:p>
    <w:sdt>
      <w:sdtPr>
        <w:tag w:val="NEW_STAND_NAME"/>
        <w:id w:val="595910757"/>
        <w:lock w:val="sdtLocked"/>
        <w:placeholder>
          <w:docPart w:val="6648F43447B3412CBE506A76AE95ED71"/>
        </w:placeholder>
      </w:sdtPr>
      <w:sdtContent>
        <w:p w14:paraId="06B65D1E">
          <w:pPr>
            <w:pStyle w:val="178"/>
          </w:pPr>
          <w:bookmarkStart w:id="14" w:name="NEW_STAND_NAME"/>
          <w:r>
            <w:rPr>
              <w:rFonts w:hint="eastAsia"/>
            </w:rPr>
            <w:t>河湖健康评价技术指南</w:t>
          </w:r>
        </w:p>
      </w:sdtContent>
    </w:sdt>
    <w:bookmarkEnd w:id="14"/>
    <w:p w14:paraId="1D1EEB6B">
      <w:pPr>
        <w:pStyle w:val="105"/>
        <w:spacing w:before="312" w:after="312"/>
      </w:pPr>
      <w:bookmarkStart w:id="15" w:name="_Toc17233325"/>
      <w:bookmarkStart w:id="16" w:name="_Toc24884218"/>
      <w:bookmarkStart w:id="17" w:name="_Toc97191423"/>
      <w:bookmarkStart w:id="18" w:name="_Toc26648465"/>
      <w:bookmarkStart w:id="19" w:name="_Toc17233333"/>
      <w:bookmarkStart w:id="20" w:name="_Toc24884211"/>
      <w:bookmarkStart w:id="21" w:name="_Toc26986530"/>
      <w:bookmarkStart w:id="22" w:name="_Toc26718930"/>
      <w:bookmarkStart w:id="23" w:name="_Toc26986771"/>
      <w:bookmarkStart w:id="24" w:name="_Toc242796875"/>
      <w:bookmarkStart w:id="25" w:name="_Toc242804719"/>
      <w:r>
        <w:rPr>
          <w:rFonts w:hint="eastAsia"/>
        </w:rPr>
        <w:t>范围</w:t>
      </w:r>
      <w:bookmarkEnd w:id="15"/>
      <w:bookmarkEnd w:id="16"/>
      <w:bookmarkEnd w:id="17"/>
      <w:bookmarkEnd w:id="18"/>
      <w:bookmarkEnd w:id="19"/>
      <w:bookmarkEnd w:id="20"/>
      <w:bookmarkEnd w:id="21"/>
      <w:bookmarkEnd w:id="22"/>
      <w:bookmarkEnd w:id="23"/>
      <w:bookmarkEnd w:id="24"/>
      <w:bookmarkEnd w:id="25"/>
    </w:p>
    <w:p w14:paraId="0D69CB76">
      <w:pPr>
        <w:pStyle w:val="57"/>
        <w:ind w:firstLine="420"/>
      </w:pPr>
      <w:bookmarkStart w:id="26" w:name="_Toc26648466"/>
      <w:bookmarkStart w:id="27" w:name="_Toc24884212"/>
      <w:bookmarkStart w:id="28" w:name="_Toc17233326"/>
      <w:bookmarkStart w:id="29" w:name="_Toc24884219"/>
      <w:bookmarkStart w:id="30" w:name="_Toc17233334"/>
      <w:r>
        <w:rPr>
          <w:rFonts w:hint="eastAsia"/>
        </w:rPr>
        <w:t>本文件给出了河湖健康评价的工作流程、评价指标及权重、指标计算及赋分、调查监测、河湖健康指数、报告编制的指导。</w:t>
      </w:r>
    </w:p>
    <w:p w14:paraId="463A1F18">
      <w:pPr>
        <w:pStyle w:val="57"/>
        <w:ind w:firstLine="420"/>
      </w:pPr>
      <w:r>
        <w:rPr>
          <w:rFonts w:hint="eastAsia"/>
        </w:rPr>
        <w:t>本文件适用于上海市行政区域内河流及湖泊的健康评价工作，不适用于青草沙水库、陈行水库、金泽水库、东风西沙水库等供水水库健康评价。</w:t>
      </w:r>
    </w:p>
    <w:p w14:paraId="3EC7B08A">
      <w:pPr>
        <w:pStyle w:val="105"/>
        <w:spacing w:before="312" w:after="312"/>
      </w:pPr>
      <w:bookmarkStart w:id="31" w:name="_Toc26986531"/>
      <w:bookmarkStart w:id="32" w:name="_Toc26986772"/>
      <w:bookmarkStart w:id="33" w:name="_Toc242796876"/>
      <w:bookmarkStart w:id="34" w:name="_Toc242804720"/>
      <w:bookmarkStart w:id="35" w:name="_Toc26718931"/>
      <w:bookmarkStart w:id="36" w:name="_Toc97191424"/>
      <w:r>
        <w:rPr>
          <w:rFonts w:hint="eastAsia"/>
        </w:rPr>
        <w:t>规范性引用文件</w:t>
      </w:r>
      <w:bookmarkEnd w:id="26"/>
      <w:bookmarkEnd w:id="27"/>
      <w:bookmarkEnd w:id="28"/>
      <w:bookmarkEnd w:id="29"/>
      <w:bookmarkEnd w:id="30"/>
      <w:bookmarkEnd w:id="31"/>
      <w:bookmarkEnd w:id="32"/>
      <w:bookmarkEnd w:id="33"/>
      <w:bookmarkEnd w:id="34"/>
      <w:bookmarkEnd w:id="35"/>
      <w:bookmarkEnd w:id="36"/>
    </w:p>
    <w:sdt>
      <w:sdtPr>
        <w:rPr>
          <w:rFonts w:hint="eastAsia"/>
        </w:rPr>
        <w:id w:val="715848253"/>
        <w:placeholder>
          <w:docPart w:val="2FE1EF06F5C14548941A1A31AA9AF5C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0DCC694A">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526B743">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 3838  地表水环境质量标准</w:t>
      </w:r>
    </w:p>
    <w:p w14:paraId="29515B36">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 15618  土壤环境质量  农用地土壤污染风险管控标准（试行）</w:t>
      </w:r>
    </w:p>
    <w:p w14:paraId="129EDE20">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HJ 1295  水生态监测技术指南  河流水生生物监测与评价（试行）</w:t>
      </w:r>
    </w:p>
    <w:p w14:paraId="0681EEC6">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SL 395  地表水资源质量评价技术规程</w:t>
      </w:r>
    </w:p>
    <w:p w14:paraId="41B1E06C">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SL 723  治涝标准</w:t>
      </w:r>
    </w:p>
    <w:p w14:paraId="3EBC0BD9">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SL/T 793  河湖健康评价规范</w:t>
      </w:r>
    </w:p>
    <w:p w14:paraId="11CF81D0">
      <w:pPr>
        <w:pStyle w:val="105"/>
        <w:spacing w:before="312" w:after="312"/>
      </w:pPr>
      <w:bookmarkStart w:id="37" w:name="_Toc242796877"/>
      <w:bookmarkStart w:id="38" w:name="_Toc242804721"/>
      <w:bookmarkStart w:id="39" w:name="_Toc97191425"/>
      <w:r>
        <w:rPr>
          <w:rFonts w:hint="eastAsia"/>
          <w:szCs w:val="21"/>
        </w:rPr>
        <w:t>术语和定义</w:t>
      </w:r>
      <w:bookmarkEnd w:id="37"/>
      <w:bookmarkEnd w:id="38"/>
      <w:bookmarkEnd w:id="39"/>
    </w:p>
    <w:sdt>
      <w:sdtPr>
        <w:id w:val="-1909835108"/>
        <w:placeholder>
          <w:docPart w:val="0206585DF7F74712A17652B398E9099B"/>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0B3B3CB">
          <w:pPr>
            <w:pStyle w:val="57"/>
            <w:ind w:firstLine="420"/>
          </w:pPr>
          <w:bookmarkStart w:id="40" w:name="_Toc26986532"/>
          <w:bookmarkEnd w:id="40"/>
          <w:r>
            <w:t>下列术语和定义适用于本文件。</w:t>
          </w:r>
        </w:p>
      </w:sdtContent>
    </w:sdt>
    <w:p w14:paraId="69056B87">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河湖健康评价  river and lake health assessment</w:t>
      </w:r>
    </w:p>
    <w:p w14:paraId="0FFB12C1">
      <w:pPr>
        <w:pStyle w:val="57"/>
        <w:ind w:firstLine="420"/>
      </w:pPr>
      <w:r>
        <w:rPr>
          <w:rFonts w:hint="eastAsia"/>
        </w:rPr>
        <w:t>对河湖生态系统状况与社会服务功能以及二者相互协调性的评价。</w:t>
      </w:r>
    </w:p>
    <w:p w14:paraId="2E0B417E">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参考点  reference site</w:t>
      </w:r>
    </w:p>
    <w:p w14:paraId="00DC4E47">
      <w:pPr>
        <w:pStyle w:val="57"/>
        <w:ind w:firstLine="420"/>
      </w:pPr>
      <w:r>
        <w:rPr>
          <w:rFonts w:hint="eastAsia"/>
        </w:rPr>
        <w:t>能够代表水域内完全未受或较少受人为干扰的生物及生境状态的区域或点位。</w:t>
      </w:r>
    </w:p>
    <w:p w14:paraId="1EB3A28E">
      <w:pPr>
        <w:pStyle w:val="105"/>
        <w:spacing w:before="312" w:after="312"/>
      </w:pPr>
      <w:bookmarkStart w:id="41" w:name="_Toc242796878"/>
      <w:bookmarkStart w:id="42" w:name="_Toc242804722"/>
      <w:r>
        <w:rPr>
          <w:rFonts w:hint="eastAsia"/>
        </w:rPr>
        <w:t>工作流程</w:t>
      </w:r>
      <w:bookmarkEnd w:id="41"/>
      <w:bookmarkEnd w:id="42"/>
    </w:p>
    <w:p w14:paraId="06516A6B">
      <w:pPr>
        <w:pStyle w:val="57"/>
        <w:ind w:firstLine="420"/>
      </w:pPr>
      <w:r>
        <w:rPr>
          <w:rFonts w:hint="eastAsia"/>
        </w:rPr>
        <w:t>包括大纲编制、指标确定、调查监测、分析评价和报告编制等（图1）。</w:t>
      </w:r>
    </w:p>
    <w:p w14:paraId="74D6999D">
      <w:pPr>
        <w:pStyle w:val="57"/>
        <w:ind w:firstLine="0" w:firstLineChars="0"/>
        <w:jc w:val="center"/>
      </w:pPr>
      <w:r>
        <w:rPr>
          <w:rFonts w:hint="eastAsia"/>
        </w:rPr>
        <w:drawing>
          <wp:inline distT="0" distB="0" distL="0" distR="0">
            <wp:extent cx="3894455" cy="31051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904389" cy="3112977"/>
                    </a:xfrm>
                    <a:prstGeom prst="rect">
                      <a:avLst/>
                    </a:prstGeom>
                    <a:noFill/>
                    <a:ln>
                      <a:noFill/>
                    </a:ln>
                  </pic:spPr>
                </pic:pic>
              </a:graphicData>
            </a:graphic>
          </wp:inline>
        </w:drawing>
      </w:r>
    </w:p>
    <w:p w14:paraId="53E69BB1">
      <w:pPr>
        <w:pStyle w:val="115"/>
        <w:spacing w:before="156" w:after="156"/>
      </w:pPr>
      <w:r>
        <w:t>河湖</w:t>
      </w:r>
      <w:r>
        <w:rPr>
          <w:rFonts w:hint="eastAsia"/>
        </w:rPr>
        <w:t>健康评价工作流程</w:t>
      </w:r>
      <w:r>
        <w:t>图</w:t>
      </w:r>
    </w:p>
    <w:p w14:paraId="1139ED05">
      <w:pPr>
        <w:pStyle w:val="105"/>
        <w:spacing w:before="312" w:after="312"/>
      </w:pPr>
      <w:bookmarkStart w:id="43" w:name="_Toc242796879"/>
      <w:bookmarkStart w:id="44" w:name="_Toc242804723"/>
      <w:r>
        <w:rPr>
          <w:rFonts w:hint="eastAsia"/>
        </w:rPr>
        <w:t>评价指标及权重</w:t>
      </w:r>
      <w:bookmarkEnd w:id="43"/>
      <w:bookmarkEnd w:id="44"/>
    </w:p>
    <w:p w14:paraId="764699C7">
      <w:pPr>
        <w:pStyle w:val="106"/>
        <w:spacing w:before="156" w:after="156"/>
      </w:pPr>
      <w:bookmarkStart w:id="45" w:name="_Toc242796880"/>
      <w:bookmarkStart w:id="46" w:name="_Toc242804724"/>
      <w:r>
        <w:rPr>
          <w:rFonts w:hint="eastAsia"/>
        </w:rPr>
        <w:t>指标体系框架</w:t>
      </w:r>
      <w:bookmarkEnd w:id="45"/>
      <w:bookmarkEnd w:id="46"/>
    </w:p>
    <w:p w14:paraId="0D8653A5">
      <w:pPr>
        <w:pStyle w:val="166"/>
      </w:pPr>
      <w:r>
        <w:rPr>
          <w:rFonts w:hint="eastAsia"/>
        </w:rPr>
        <w:t>河湖健康评价指标体系包括目标层、准则层和指标层。目标层是河湖健康指数，是河湖生态系统状况与社会服务功能状况的综合反映。准则层是河湖健康状况的重要组成，包括水岸空间、水量水质、水生生物、社会服务4方面。指标层是河湖健康状况的具体表征指标。</w:t>
      </w:r>
    </w:p>
    <w:p w14:paraId="7543873A">
      <w:pPr>
        <w:pStyle w:val="166"/>
      </w:pPr>
      <w:r>
        <w:rPr>
          <w:rFonts w:hint="eastAsia"/>
        </w:rPr>
        <w:t>根据河湖特点不同，分为河湖健康评价指标体系（河流）、河湖健康评价指标体系（湖泊）。</w:t>
      </w:r>
    </w:p>
    <w:p w14:paraId="3AA7B54E">
      <w:pPr>
        <w:pStyle w:val="166"/>
      </w:pPr>
      <w:r>
        <w:rPr>
          <w:rFonts w:hint="eastAsia"/>
        </w:rPr>
        <w:t>指标类型分为必选指标、特色指标和备选指标。必选指标为所有河湖健康评价指标，特色指标为针对部分具有典型功能河湖评价指标，备选指标为结合河湖实际可选取评价指标。长江、黄浦江选取河道行洪能力保证程度、地表水资源开发利用率、生态流量（水位）满足程度、着生藻类群落状况、水体自净能力等特色指标，淀山湖选取地表水资源开发利用率、生态流量（水位）满足程度、水生维管植物覆盖度、水体自净能力等特色指标，各河湖还可结合河湖功能选取岸线自然状况、底泥污染状况、外来物种入侵状况、大型水生植物状况、岸线贯通程度等特色指标。</w:t>
      </w:r>
    </w:p>
    <w:p w14:paraId="4EE34747">
      <w:pPr>
        <w:pStyle w:val="106"/>
        <w:spacing w:before="156" w:after="156"/>
      </w:pPr>
      <w:bookmarkStart w:id="47" w:name="_Toc242804725"/>
      <w:bookmarkStart w:id="48" w:name="_Toc242796881"/>
      <w:r>
        <w:rPr>
          <w:rFonts w:hint="eastAsia"/>
        </w:rPr>
        <w:t>河湖健康评价指标体系</w:t>
      </w:r>
      <w:bookmarkEnd w:id="47"/>
      <w:bookmarkEnd w:id="48"/>
    </w:p>
    <w:p w14:paraId="498F7132">
      <w:pPr>
        <w:pStyle w:val="57"/>
        <w:ind w:firstLine="420"/>
      </w:pPr>
      <w:r>
        <w:rPr>
          <w:rFonts w:hint="eastAsia" w:hAnsi="宋体" w:cs="宋体"/>
        </w:rPr>
        <w:t>河湖健康评价指标体系（河流）见表1，河湖健康评价指标体系（湖泊）见表2。</w:t>
      </w:r>
    </w:p>
    <w:p w14:paraId="2BE9F47E">
      <w:pPr>
        <w:pStyle w:val="113"/>
        <w:spacing w:before="156" w:after="156"/>
      </w:pPr>
      <w:r>
        <w:rPr>
          <w:rFonts w:hint="eastAsia"/>
        </w:rPr>
        <w:t>河湖健康评价指标体系（河流）</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08"/>
        <w:gridCol w:w="1417"/>
        <w:gridCol w:w="3828"/>
        <w:gridCol w:w="1701"/>
        <w:gridCol w:w="980"/>
      </w:tblGrid>
      <w:tr w14:paraId="556C5D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408" w:type="dxa"/>
            <w:tcBorders>
              <w:top w:val="single" w:color="auto" w:sz="8" w:space="0"/>
              <w:bottom w:val="single" w:color="auto" w:sz="8" w:space="0"/>
            </w:tcBorders>
            <w:shd w:val="clear" w:color="auto" w:fill="auto"/>
            <w:vAlign w:val="center"/>
          </w:tcPr>
          <w:p w14:paraId="4394A292">
            <w:pPr>
              <w:pStyle w:val="179"/>
            </w:pPr>
            <w:r>
              <w:rPr>
                <w:rFonts w:hAnsi="宋体" w:cs="Arial"/>
                <w:snapToGrid w:val="0"/>
                <w:color w:val="000000"/>
                <w:szCs w:val="18"/>
                <w:lang w:eastAsia="en-US" w:bidi="ar"/>
              </w:rPr>
              <w:t>目标层</w:t>
            </w:r>
          </w:p>
        </w:tc>
        <w:tc>
          <w:tcPr>
            <w:tcW w:w="1417" w:type="dxa"/>
            <w:tcBorders>
              <w:top w:val="single" w:color="auto" w:sz="8" w:space="0"/>
              <w:bottom w:val="single" w:color="auto" w:sz="8" w:space="0"/>
            </w:tcBorders>
            <w:shd w:val="clear" w:color="auto" w:fill="auto"/>
            <w:vAlign w:val="center"/>
          </w:tcPr>
          <w:p w14:paraId="382D9195">
            <w:pPr>
              <w:pStyle w:val="179"/>
            </w:pPr>
            <w:r>
              <w:rPr>
                <w:rFonts w:hAnsi="宋体" w:cs="Arial"/>
                <w:snapToGrid w:val="0"/>
                <w:color w:val="000000"/>
                <w:szCs w:val="18"/>
                <w:lang w:eastAsia="en-US" w:bidi="ar"/>
              </w:rPr>
              <w:t>准则层</w:t>
            </w:r>
          </w:p>
        </w:tc>
        <w:tc>
          <w:tcPr>
            <w:tcW w:w="3828" w:type="dxa"/>
            <w:tcBorders>
              <w:top w:val="single" w:color="auto" w:sz="8" w:space="0"/>
              <w:bottom w:val="single" w:color="auto" w:sz="8" w:space="0"/>
            </w:tcBorders>
            <w:shd w:val="clear" w:color="auto" w:fill="auto"/>
            <w:vAlign w:val="center"/>
          </w:tcPr>
          <w:p w14:paraId="4736D31A">
            <w:pPr>
              <w:pStyle w:val="179"/>
            </w:pPr>
            <w:r>
              <w:rPr>
                <w:rFonts w:hAnsi="宋体" w:cs="Arial"/>
                <w:snapToGrid w:val="0"/>
                <w:color w:val="000000"/>
                <w:szCs w:val="18"/>
                <w:lang w:eastAsia="en-US" w:bidi="ar"/>
              </w:rPr>
              <w:t>指标层</w:t>
            </w:r>
          </w:p>
        </w:tc>
        <w:tc>
          <w:tcPr>
            <w:tcW w:w="1701" w:type="dxa"/>
            <w:tcBorders>
              <w:top w:val="single" w:color="auto" w:sz="8" w:space="0"/>
              <w:bottom w:val="single" w:color="auto" w:sz="8" w:space="0"/>
            </w:tcBorders>
            <w:shd w:val="clear" w:color="auto" w:fill="auto"/>
          </w:tcPr>
          <w:p w14:paraId="1D4D5B59">
            <w:pPr>
              <w:pStyle w:val="179"/>
            </w:pPr>
            <w:r>
              <w:rPr>
                <w:rFonts w:hAnsi="宋体" w:cs="Arial"/>
                <w:snapToGrid w:val="0"/>
                <w:color w:val="000000"/>
                <w:szCs w:val="18"/>
                <w:lang w:eastAsia="en-US" w:bidi="ar"/>
              </w:rPr>
              <w:t>指标类型</w:t>
            </w:r>
          </w:p>
        </w:tc>
        <w:tc>
          <w:tcPr>
            <w:tcW w:w="980" w:type="dxa"/>
            <w:tcBorders>
              <w:top w:val="single" w:color="auto" w:sz="8" w:space="0"/>
              <w:bottom w:val="single" w:color="auto" w:sz="8" w:space="0"/>
            </w:tcBorders>
            <w:shd w:val="clear" w:color="auto" w:fill="auto"/>
          </w:tcPr>
          <w:p w14:paraId="3BB62313">
            <w:pPr>
              <w:pStyle w:val="179"/>
            </w:pPr>
            <w:r>
              <w:rPr>
                <w:rFonts w:hAnsi="宋体" w:cs="Arial"/>
                <w:snapToGrid w:val="0"/>
                <w:color w:val="000000"/>
                <w:szCs w:val="18"/>
                <w:lang w:eastAsia="en-US" w:bidi="ar"/>
              </w:rPr>
              <w:t>权重</w:t>
            </w:r>
          </w:p>
        </w:tc>
      </w:tr>
      <w:tr w14:paraId="2B6BA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restart"/>
            <w:tcBorders>
              <w:top w:val="single" w:color="auto" w:sz="8" w:space="0"/>
            </w:tcBorders>
            <w:shd w:val="clear" w:color="auto" w:fill="auto"/>
            <w:vAlign w:val="center"/>
          </w:tcPr>
          <w:p w14:paraId="393E856C">
            <w:pPr>
              <w:pStyle w:val="179"/>
            </w:pPr>
            <w:r>
              <w:rPr>
                <w:rFonts w:hint="eastAsia"/>
              </w:rPr>
              <w:t>健康状况</w:t>
            </w:r>
          </w:p>
        </w:tc>
        <w:tc>
          <w:tcPr>
            <w:tcW w:w="1417" w:type="dxa"/>
            <w:vMerge w:val="restart"/>
            <w:tcBorders>
              <w:top w:val="single" w:color="auto" w:sz="8" w:space="0"/>
            </w:tcBorders>
            <w:shd w:val="clear" w:color="auto" w:fill="auto"/>
            <w:vAlign w:val="center"/>
          </w:tcPr>
          <w:p w14:paraId="2E915B6C">
            <w:pPr>
              <w:pStyle w:val="179"/>
            </w:pPr>
            <w:r>
              <w:rPr>
                <w:rFonts w:hint="eastAsia"/>
              </w:rPr>
              <w:t>水岸空间</w:t>
            </w:r>
          </w:p>
        </w:tc>
        <w:tc>
          <w:tcPr>
            <w:tcW w:w="3828" w:type="dxa"/>
            <w:tcBorders>
              <w:top w:val="single" w:color="auto" w:sz="8" w:space="0"/>
            </w:tcBorders>
            <w:shd w:val="clear" w:color="auto" w:fill="auto"/>
            <w:vAlign w:val="center"/>
          </w:tcPr>
          <w:p w14:paraId="196D1A40">
            <w:pPr>
              <w:pStyle w:val="179"/>
            </w:pPr>
            <w:r>
              <w:rPr>
                <w:rFonts w:hint="eastAsia" w:hAnsi="宋体" w:cs="Arial"/>
                <w:snapToGrid w:val="0"/>
                <w:color w:val="000000"/>
                <w:szCs w:val="18"/>
                <w:lang w:bidi="ar"/>
              </w:rPr>
              <w:t>水域岸线完整性</w:t>
            </w:r>
          </w:p>
        </w:tc>
        <w:tc>
          <w:tcPr>
            <w:tcW w:w="1701" w:type="dxa"/>
            <w:tcBorders>
              <w:top w:val="single" w:color="auto" w:sz="8" w:space="0"/>
            </w:tcBorders>
            <w:shd w:val="clear" w:color="auto" w:fill="auto"/>
          </w:tcPr>
          <w:p w14:paraId="0994BED4">
            <w:pPr>
              <w:pStyle w:val="179"/>
            </w:pPr>
            <w:r>
              <w:rPr>
                <w:rFonts w:hAnsi="宋体" w:cs="Arial"/>
                <w:snapToGrid w:val="0"/>
                <w:color w:val="000000"/>
                <w:szCs w:val="18"/>
                <w:lang w:eastAsia="en-US" w:bidi="ar"/>
              </w:rPr>
              <w:t>必选指标</w:t>
            </w:r>
          </w:p>
        </w:tc>
        <w:tc>
          <w:tcPr>
            <w:tcW w:w="980" w:type="dxa"/>
            <w:vMerge w:val="restart"/>
            <w:tcBorders>
              <w:top w:val="single" w:color="auto" w:sz="8" w:space="0"/>
            </w:tcBorders>
            <w:shd w:val="clear" w:color="auto" w:fill="auto"/>
            <w:vAlign w:val="center"/>
          </w:tcPr>
          <w:p w14:paraId="2A69799F">
            <w:pPr>
              <w:pStyle w:val="179"/>
            </w:pPr>
            <w:r>
              <w:rPr>
                <w:rFonts w:hint="eastAsia"/>
              </w:rPr>
              <w:t>0.3</w:t>
            </w:r>
          </w:p>
        </w:tc>
      </w:tr>
      <w:tr w14:paraId="40A58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B2D00E9">
            <w:pPr>
              <w:pStyle w:val="179"/>
            </w:pPr>
          </w:p>
        </w:tc>
        <w:tc>
          <w:tcPr>
            <w:tcW w:w="1417" w:type="dxa"/>
            <w:vMerge w:val="continue"/>
            <w:shd w:val="clear" w:color="auto" w:fill="auto"/>
            <w:vAlign w:val="center"/>
          </w:tcPr>
          <w:p w14:paraId="6888C6E1">
            <w:pPr>
              <w:pStyle w:val="179"/>
            </w:pPr>
          </w:p>
        </w:tc>
        <w:tc>
          <w:tcPr>
            <w:tcW w:w="3828" w:type="dxa"/>
            <w:shd w:val="clear" w:color="auto" w:fill="auto"/>
            <w:vAlign w:val="center"/>
          </w:tcPr>
          <w:p w14:paraId="62429694">
            <w:pPr>
              <w:pStyle w:val="179"/>
            </w:pPr>
            <w:r>
              <w:rPr>
                <w:rFonts w:hint="eastAsia" w:hAnsi="宋体" w:cs="Arial"/>
                <w:snapToGrid w:val="0"/>
                <w:color w:val="000000"/>
                <w:szCs w:val="18"/>
                <w:lang w:bidi="ar"/>
              </w:rPr>
              <w:t>水流通畅性</w:t>
            </w:r>
          </w:p>
        </w:tc>
        <w:tc>
          <w:tcPr>
            <w:tcW w:w="1701" w:type="dxa"/>
            <w:shd w:val="clear" w:color="auto" w:fill="auto"/>
          </w:tcPr>
          <w:p w14:paraId="2F979ABC">
            <w:pPr>
              <w:pStyle w:val="179"/>
            </w:pPr>
            <w:r>
              <w:rPr>
                <w:rFonts w:hint="eastAsia" w:hAnsi="宋体" w:cs="Arial"/>
                <w:snapToGrid w:val="0"/>
                <w:color w:val="000000"/>
                <w:szCs w:val="18"/>
                <w:lang w:bidi="ar"/>
              </w:rPr>
              <w:t>必选指标</w:t>
            </w:r>
          </w:p>
        </w:tc>
        <w:tc>
          <w:tcPr>
            <w:tcW w:w="980" w:type="dxa"/>
            <w:vMerge w:val="continue"/>
            <w:shd w:val="clear" w:color="auto" w:fill="auto"/>
            <w:vAlign w:val="center"/>
          </w:tcPr>
          <w:p w14:paraId="6617F882">
            <w:pPr>
              <w:pStyle w:val="179"/>
            </w:pPr>
          </w:p>
        </w:tc>
      </w:tr>
      <w:tr w14:paraId="4348B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95548CF">
            <w:pPr>
              <w:pStyle w:val="179"/>
            </w:pPr>
          </w:p>
        </w:tc>
        <w:tc>
          <w:tcPr>
            <w:tcW w:w="1417" w:type="dxa"/>
            <w:vMerge w:val="continue"/>
            <w:shd w:val="clear" w:color="auto" w:fill="auto"/>
            <w:vAlign w:val="center"/>
          </w:tcPr>
          <w:p w14:paraId="47D6FD4C">
            <w:pPr>
              <w:pStyle w:val="179"/>
            </w:pPr>
          </w:p>
        </w:tc>
        <w:tc>
          <w:tcPr>
            <w:tcW w:w="3828" w:type="dxa"/>
            <w:shd w:val="clear" w:color="auto" w:fill="auto"/>
            <w:vAlign w:val="center"/>
          </w:tcPr>
          <w:p w14:paraId="1DC02D1F">
            <w:pPr>
              <w:pStyle w:val="179"/>
            </w:pPr>
            <w:r>
              <w:rPr>
                <w:rFonts w:hint="eastAsia" w:hAnsi="宋体" w:cs="Arial"/>
                <w:snapToGrid w:val="0"/>
                <w:color w:val="000000"/>
                <w:szCs w:val="18"/>
                <w:lang w:bidi="ar"/>
              </w:rPr>
              <w:t>河道行洪能力保证程度</w:t>
            </w:r>
          </w:p>
        </w:tc>
        <w:tc>
          <w:tcPr>
            <w:tcW w:w="1701" w:type="dxa"/>
            <w:shd w:val="clear" w:color="auto" w:fill="auto"/>
          </w:tcPr>
          <w:p w14:paraId="708FAFF0">
            <w:pPr>
              <w:pStyle w:val="179"/>
            </w:pPr>
            <w:r>
              <w:rPr>
                <w:rFonts w:hint="eastAsia" w:hAnsi="宋体" w:cs="Arial"/>
                <w:snapToGrid w:val="0"/>
                <w:color w:val="000000"/>
                <w:szCs w:val="18"/>
                <w:lang w:bidi="ar"/>
              </w:rPr>
              <w:t>特色</w:t>
            </w:r>
            <w:r>
              <w:rPr>
                <w:rFonts w:hAnsi="宋体" w:cs="Arial"/>
                <w:snapToGrid w:val="0"/>
                <w:color w:val="000000"/>
                <w:szCs w:val="18"/>
                <w:lang w:eastAsia="en-US" w:bidi="ar"/>
              </w:rPr>
              <w:t>指标</w:t>
            </w:r>
          </w:p>
        </w:tc>
        <w:tc>
          <w:tcPr>
            <w:tcW w:w="980" w:type="dxa"/>
            <w:vMerge w:val="continue"/>
            <w:shd w:val="clear" w:color="auto" w:fill="auto"/>
            <w:vAlign w:val="center"/>
          </w:tcPr>
          <w:p w14:paraId="535D746F">
            <w:pPr>
              <w:pStyle w:val="179"/>
            </w:pPr>
          </w:p>
        </w:tc>
      </w:tr>
      <w:tr w14:paraId="5189F9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77C972A">
            <w:pPr>
              <w:pStyle w:val="179"/>
            </w:pPr>
          </w:p>
        </w:tc>
        <w:tc>
          <w:tcPr>
            <w:tcW w:w="1417" w:type="dxa"/>
            <w:vMerge w:val="continue"/>
            <w:shd w:val="clear" w:color="auto" w:fill="auto"/>
            <w:vAlign w:val="center"/>
          </w:tcPr>
          <w:p w14:paraId="61C017EC">
            <w:pPr>
              <w:pStyle w:val="179"/>
            </w:pPr>
          </w:p>
        </w:tc>
        <w:tc>
          <w:tcPr>
            <w:tcW w:w="3828" w:type="dxa"/>
            <w:shd w:val="clear" w:color="auto" w:fill="auto"/>
            <w:vAlign w:val="center"/>
          </w:tcPr>
          <w:p w14:paraId="2162A7A1">
            <w:pPr>
              <w:pStyle w:val="179"/>
            </w:pPr>
            <w:r>
              <w:rPr>
                <w:rFonts w:hint="eastAsia" w:hAnsi="宋体" w:cs="Arial"/>
                <w:snapToGrid w:val="0"/>
                <w:color w:val="000000"/>
                <w:szCs w:val="18"/>
                <w:lang w:bidi="ar"/>
              </w:rPr>
              <w:t>岸线自然状况</w:t>
            </w:r>
          </w:p>
        </w:tc>
        <w:tc>
          <w:tcPr>
            <w:tcW w:w="1701" w:type="dxa"/>
            <w:shd w:val="clear" w:color="auto" w:fill="auto"/>
          </w:tcPr>
          <w:p w14:paraId="60C59EBB">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18676492">
            <w:pPr>
              <w:pStyle w:val="179"/>
            </w:pPr>
          </w:p>
        </w:tc>
      </w:tr>
      <w:tr w14:paraId="541BA0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35338466">
            <w:pPr>
              <w:pStyle w:val="179"/>
            </w:pPr>
          </w:p>
        </w:tc>
        <w:tc>
          <w:tcPr>
            <w:tcW w:w="1417" w:type="dxa"/>
            <w:vMerge w:val="restart"/>
            <w:shd w:val="clear" w:color="auto" w:fill="auto"/>
            <w:vAlign w:val="center"/>
          </w:tcPr>
          <w:p w14:paraId="146B0BCF">
            <w:pPr>
              <w:pStyle w:val="179"/>
            </w:pPr>
            <w:r>
              <w:rPr>
                <w:rFonts w:hint="eastAsia"/>
              </w:rPr>
              <w:t>水量水质</w:t>
            </w:r>
          </w:p>
        </w:tc>
        <w:tc>
          <w:tcPr>
            <w:tcW w:w="3828" w:type="dxa"/>
            <w:shd w:val="clear" w:color="auto" w:fill="auto"/>
            <w:vAlign w:val="center"/>
          </w:tcPr>
          <w:p w14:paraId="69B0B400">
            <w:pPr>
              <w:pStyle w:val="179"/>
            </w:pPr>
            <w:r>
              <w:rPr>
                <w:rFonts w:hint="eastAsia" w:hAnsi="宋体" w:cs="Arial"/>
                <w:snapToGrid w:val="0"/>
                <w:color w:val="000000"/>
                <w:szCs w:val="18"/>
                <w:lang w:bidi="ar"/>
              </w:rPr>
              <w:t>水质优劣程度</w:t>
            </w:r>
          </w:p>
        </w:tc>
        <w:tc>
          <w:tcPr>
            <w:tcW w:w="1701" w:type="dxa"/>
            <w:shd w:val="clear" w:color="auto" w:fill="auto"/>
          </w:tcPr>
          <w:p w14:paraId="3AF65FDB">
            <w:pPr>
              <w:pStyle w:val="179"/>
            </w:pPr>
            <w:r>
              <w:rPr>
                <w:rFonts w:hAnsi="宋体" w:cs="Arial"/>
                <w:snapToGrid w:val="0"/>
                <w:color w:val="000000"/>
                <w:szCs w:val="18"/>
                <w:lang w:eastAsia="en-US" w:bidi="ar"/>
              </w:rPr>
              <w:t>必选指标</w:t>
            </w:r>
          </w:p>
        </w:tc>
        <w:tc>
          <w:tcPr>
            <w:tcW w:w="980" w:type="dxa"/>
            <w:vMerge w:val="restart"/>
            <w:shd w:val="clear" w:color="auto" w:fill="auto"/>
            <w:vAlign w:val="center"/>
          </w:tcPr>
          <w:p w14:paraId="18C83811">
            <w:pPr>
              <w:pStyle w:val="179"/>
            </w:pPr>
            <w:r>
              <w:rPr>
                <w:rFonts w:hint="eastAsia"/>
              </w:rPr>
              <w:t>0.3</w:t>
            </w:r>
          </w:p>
        </w:tc>
      </w:tr>
      <w:tr w14:paraId="049398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42D7A4DB">
            <w:pPr>
              <w:pStyle w:val="179"/>
            </w:pPr>
          </w:p>
        </w:tc>
        <w:tc>
          <w:tcPr>
            <w:tcW w:w="1417" w:type="dxa"/>
            <w:vMerge w:val="continue"/>
            <w:shd w:val="clear" w:color="auto" w:fill="auto"/>
            <w:vAlign w:val="center"/>
          </w:tcPr>
          <w:p w14:paraId="65DC3DBF">
            <w:pPr>
              <w:pStyle w:val="179"/>
            </w:pPr>
          </w:p>
        </w:tc>
        <w:tc>
          <w:tcPr>
            <w:tcW w:w="3828" w:type="dxa"/>
            <w:shd w:val="clear" w:color="auto" w:fill="auto"/>
            <w:vAlign w:val="center"/>
          </w:tcPr>
          <w:p w14:paraId="4D39C092">
            <w:pPr>
              <w:pStyle w:val="179"/>
            </w:pPr>
            <w:r>
              <w:rPr>
                <w:rFonts w:hint="eastAsia" w:hAnsi="宋体" w:cs="Arial"/>
                <w:snapToGrid w:val="0"/>
                <w:color w:val="000000"/>
                <w:szCs w:val="18"/>
                <w:lang w:bidi="ar"/>
              </w:rPr>
              <w:t>生态流量（水位）满足程度</w:t>
            </w:r>
          </w:p>
        </w:tc>
        <w:tc>
          <w:tcPr>
            <w:tcW w:w="1701" w:type="dxa"/>
            <w:shd w:val="clear" w:color="auto" w:fill="auto"/>
          </w:tcPr>
          <w:p w14:paraId="3B9D885E">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25854422">
            <w:pPr>
              <w:pStyle w:val="179"/>
            </w:pPr>
          </w:p>
        </w:tc>
      </w:tr>
      <w:tr w14:paraId="644D77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D5BCE7E">
            <w:pPr>
              <w:pStyle w:val="179"/>
            </w:pPr>
          </w:p>
        </w:tc>
        <w:tc>
          <w:tcPr>
            <w:tcW w:w="1417" w:type="dxa"/>
            <w:vMerge w:val="continue"/>
            <w:shd w:val="clear" w:color="auto" w:fill="auto"/>
            <w:vAlign w:val="center"/>
          </w:tcPr>
          <w:p w14:paraId="360D95CF">
            <w:pPr>
              <w:pStyle w:val="179"/>
            </w:pPr>
          </w:p>
        </w:tc>
        <w:tc>
          <w:tcPr>
            <w:tcW w:w="3828" w:type="dxa"/>
            <w:shd w:val="clear" w:color="auto" w:fill="auto"/>
            <w:vAlign w:val="center"/>
          </w:tcPr>
          <w:p w14:paraId="4238FE77">
            <w:pPr>
              <w:pStyle w:val="179"/>
            </w:pPr>
            <w:r>
              <w:rPr>
                <w:rFonts w:hint="eastAsia" w:hAnsi="宋体" w:cs="Arial"/>
                <w:snapToGrid w:val="0"/>
                <w:color w:val="000000"/>
                <w:szCs w:val="18"/>
                <w:lang w:bidi="ar"/>
              </w:rPr>
              <w:t>地表水资源开发利用率</w:t>
            </w:r>
          </w:p>
        </w:tc>
        <w:tc>
          <w:tcPr>
            <w:tcW w:w="1701" w:type="dxa"/>
            <w:shd w:val="clear" w:color="auto" w:fill="auto"/>
          </w:tcPr>
          <w:p w14:paraId="1F86F406">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174C4706">
            <w:pPr>
              <w:pStyle w:val="179"/>
            </w:pPr>
          </w:p>
        </w:tc>
      </w:tr>
      <w:tr w14:paraId="2CDF83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0AEFB21E">
            <w:pPr>
              <w:pStyle w:val="179"/>
            </w:pPr>
          </w:p>
        </w:tc>
        <w:tc>
          <w:tcPr>
            <w:tcW w:w="1417" w:type="dxa"/>
            <w:vMerge w:val="continue"/>
            <w:shd w:val="clear" w:color="auto" w:fill="auto"/>
            <w:vAlign w:val="center"/>
          </w:tcPr>
          <w:p w14:paraId="2890D93B">
            <w:pPr>
              <w:pStyle w:val="179"/>
            </w:pPr>
          </w:p>
        </w:tc>
        <w:tc>
          <w:tcPr>
            <w:tcW w:w="3828" w:type="dxa"/>
            <w:shd w:val="clear" w:color="auto" w:fill="auto"/>
            <w:vAlign w:val="center"/>
          </w:tcPr>
          <w:p w14:paraId="57EA65FA">
            <w:pPr>
              <w:pStyle w:val="179"/>
            </w:pPr>
            <w:r>
              <w:rPr>
                <w:rFonts w:hint="eastAsia" w:hAnsi="宋体" w:cs="Arial"/>
                <w:snapToGrid w:val="0"/>
                <w:color w:val="000000"/>
                <w:szCs w:val="18"/>
                <w:lang w:bidi="ar"/>
              </w:rPr>
              <w:t>底泥污染状况</w:t>
            </w:r>
          </w:p>
        </w:tc>
        <w:tc>
          <w:tcPr>
            <w:tcW w:w="1701" w:type="dxa"/>
            <w:shd w:val="clear" w:color="auto" w:fill="auto"/>
          </w:tcPr>
          <w:p w14:paraId="565714D7">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65C760F5">
            <w:pPr>
              <w:pStyle w:val="179"/>
            </w:pPr>
          </w:p>
        </w:tc>
      </w:tr>
      <w:tr w14:paraId="0BD03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15C77FD0">
            <w:pPr>
              <w:pStyle w:val="179"/>
            </w:pPr>
          </w:p>
        </w:tc>
        <w:tc>
          <w:tcPr>
            <w:tcW w:w="1417" w:type="dxa"/>
            <w:vMerge w:val="continue"/>
            <w:shd w:val="clear" w:color="auto" w:fill="auto"/>
            <w:vAlign w:val="center"/>
          </w:tcPr>
          <w:p w14:paraId="217F0723">
            <w:pPr>
              <w:pStyle w:val="179"/>
            </w:pPr>
          </w:p>
        </w:tc>
        <w:tc>
          <w:tcPr>
            <w:tcW w:w="3828" w:type="dxa"/>
            <w:shd w:val="clear" w:color="auto" w:fill="auto"/>
            <w:vAlign w:val="center"/>
          </w:tcPr>
          <w:p w14:paraId="21418283">
            <w:pPr>
              <w:pStyle w:val="179"/>
            </w:pPr>
            <w:r>
              <w:rPr>
                <w:rFonts w:hint="eastAsia" w:hAnsi="宋体" w:cs="Arial"/>
                <w:snapToGrid w:val="0"/>
                <w:color w:val="000000"/>
                <w:szCs w:val="18"/>
                <w:lang w:bidi="ar"/>
              </w:rPr>
              <w:t>水体自净能力</w:t>
            </w:r>
          </w:p>
        </w:tc>
        <w:tc>
          <w:tcPr>
            <w:tcW w:w="1701" w:type="dxa"/>
            <w:shd w:val="clear" w:color="auto" w:fill="auto"/>
          </w:tcPr>
          <w:p w14:paraId="6938A94A">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3DC36396">
            <w:pPr>
              <w:pStyle w:val="179"/>
            </w:pPr>
          </w:p>
        </w:tc>
      </w:tr>
      <w:tr w14:paraId="6E3E4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4D65F5E6">
            <w:pPr>
              <w:pStyle w:val="179"/>
            </w:pPr>
          </w:p>
        </w:tc>
        <w:tc>
          <w:tcPr>
            <w:tcW w:w="1417" w:type="dxa"/>
            <w:vMerge w:val="continue"/>
            <w:shd w:val="clear" w:color="auto" w:fill="auto"/>
            <w:vAlign w:val="center"/>
          </w:tcPr>
          <w:p w14:paraId="5B9765B9">
            <w:pPr>
              <w:pStyle w:val="179"/>
            </w:pPr>
          </w:p>
        </w:tc>
        <w:tc>
          <w:tcPr>
            <w:tcW w:w="3828" w:type="dxa"/>
            <w:shd w:val="clear" w:color="auto" w:fill="auto"/>
            <w:vAlign w:val="center"/>
          </w:tcPr>
          <w:p w14:paraId="5A265CFF">
            <w:pPr>
              <w:pStyle w:val="179"/>
            </w:pPr>
            <w:r>
              <w:rPr>
                <w:rFonts w:hint="eastAsia" w:hAnsi="宋体" w:cs="Arial"/>
                <w:snapToGrid w:val="0"/>
                <w:color w:val="000000"/>
                <w:szCs w:val="18"/>
                <w:lang w:bidi="ar"/>
              </w:rPr>
              <w:t>水体清澈程度</w:t>
            </w:r>
          </w:p>
        </w:tc>
        <w:tc>
          <w:tcPr>
            <w:tcW w:w="1701" w:type="dxa"/>
            <w:shd w:val="clear" w:color="auto" w:fill="auto"/>
          </w:tcPr>
          <w:p w14:paraId="0CCA86F8">
            <w:pPr>
              <w:pStyle w:val="179"/>
            </w:pPr>
            <w:r>
              <w:rPr>
                <w:rFonts w:hint="eastAsia" w:hAnsi="宋体" w:cs="Arial"/>
                <w:snapToGrid w:val="0"/>
                <w:color w:val="000000"/>
                <w:szCs w:val="18"/>
                <w:lang w:bidi="ar"/>
              </w:rPr>
              <w:t>备选指标</w:t>
            </w:r>
          </w:p>
        </w:tc>
        <w:tc>
          <w:tcPr>
            <w:tcW w:w="980" w:type="dxa"/>
            <w:vMerge w:val="continue"/>
            <w:shd w:val="clear" w:color="auto" w:fill="auto"/>
            <w:vAlign w:val="center"/>
          </w:tcPr>
          <w:p w14:paraId="50A893E3">
            <w:pPr>
              <w:pStyle w:val="179"/>
            </w:pPr>
          </w:p>
        </w:tc>
      </w:tr>
      <w:tr w14:paraId="31A1A8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65AAD65E">
            <w:pPr>
              <w:pStyle w:val="179"/>
            </w:pPr>
          </w:p>
        </w:tc>
        <w:tc>
          <w:tcPr>
            <w:tcW w:w="1417" w:type="dxa"/>
            <w:vMerge w:val="restart"/>
            <w:shd w:val="clear" w:color="auto" w:fill="auto"/>
            <w:vAlign w:val="center"/>
          </w:tcPr>
          <w:p w14:paraId="65EECBF5">
            <w:pPr>
              <w:pStyle w:val="179"/>
            </w:pPr>
            <w:r>
              <w:rPr>
                <w:rFonts w:hint="eastAsia"/>
              </w:rPr>
              <w:t>水生生物</w:t>
            </w:r>
          </w:p>
        </w:tc>
        <w:tc>
          <w:tcPr>
            <w:tcW w:w="3828" w:type="dxa"/>
            <w:shd w:val="clear" w:color="auto" w:fill="auto"/>
            <w:vAlign w:val="center"/>
          </w:tcPr>
          <w:p w14:paraId="151360DB">
            <w:pPr>
              <w:pStyle w:val="179"/>
            </w:pPr>
            <w:r>
              <w:rPr>
                <w:rFonts w:hint="eastAsia" w:hAnsi="宋体" w:cs="Arial"/>
                <w:snapToGrid w:val="0"/>
                <w:color w:val="000000"/>
                <w:szCs w:val="18"/>
                <w:lang w:bidi="ar"/>
              </w:rPr>
              <w:t>鱼类状况</w:t>
            </w:r>
          </w:p>
        </w:tc>
        <w:tc>
          <w:tcPr>
            <w:tcW w:w="1701" w:type="dxa"/>
            <w:shd w:val="clear" w:color="auto" w:fill="auto"/>
          </w:tcPr>
          <w:p w14:paraId="237765C9">
            <w:pPr>
              <w:pStyle w:val="179"/>
            </w:pPr>
            <w:r>
              <w:rPr>
                <w:rFonts w:hAnsi="宋体" w:cs="Arial"/>
                <w:snapToGrid w:val="0"/>
                <w:color w:val="000000"/>
                <w:szCs w:val="18"/>
                <w:lang w:eastAsia="en-US" w:bidi="ar"/>
              </w:rPr>
              <w:t>必选指标</w:t>
            </w:r>
          </w:p>
        </w:tc>
        <w:tc>
          <w:tcPr>
            <w:tcW w:w="980" w:type="dxa"/>
            <w:vMerge w:val="restart"/>
            <w:shd w:val="clear" w:color="auto" w:fill="auto"/>
            <w:vAlign w:val="center"/>
          </w:tcPr>
          <w:p w14:paraId="36889AA6">
            <w:pPr>
              <w:pStyle w:val="179"/>
            </w:pPr>
            <w:r>
              <w:rPr>
                <w:rFonts w:hint="eastAsia"/>
              </w:rPr>
              <w:t>0.2</w:t>
            </w:r>
          </w:p>
        </w:tc>
      </w:tr>
      <w:tr w14:paraId="2422E1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1D75ECE">
            <w:pPr>
              <w:pStyle w:val="179"/>
            </w:pPr>
          </w:p>
        </w:tc>
        <w:tc>
          <w:tcPr>
            <w:tcW w:w="1417" w:type="dxa"/>
            <w:vMerge w:val="continue"/>
            <w:shd w:val="clear" w:color="auto" w:fill="auto"/>
            <w:vAlign w:val="center"/>
          </w:tcPr>
          <w:p w14:paraId="5E5CD3BC">
            <w:pPr>
              <w:pStyle w:val="179"/>
            </w:pPr>
          </w:p>
        </w:tc>
        <w:tc>
          <w:tcPr>
            <w:tcW w:w="3828" w:type="dxa"/>
            <w:shd w:val="clear" w:color="auto" w:fill="auto"/>
            <w:vAlign w:val="center"/>
          </w:tcPr>
          <w:p w14:paraId="2A33B767">
            <w:pPr>
              <w:pStyle w:val="179"/>
            </w:pPr>
            <w:r>
              <w:rPr>
                <w:rFonts w:hint="eastAsia" w:hAnsi="宋体" w:cs="Arial"/>
                <w:snapToGrid w:val="0"/>
                <w:color w:val="000000"/>
                <w:szCs w:val="18"/>
                <w:lang w:bidi="ar"/>
              </w:rPr>
              <w:t>大型底栖无脊椎动物状况</w:t>
            </w:r>
          </w:p>
        </w:tc>
        <w:tc>
          <w:tcPr>
            <w:tcW w:w="1701" w:type="dxa"/>
            <w:shd w:val="clear" w:color="auto" w:fill="auto"/>
          </w:tcPr>
          <w:p w14:paraId="1D0FB7AC">
            <w:pPr>
              <w:pStyle w:val="179"/>
            </w:pPr>
            <w:r>
              <w:rPr>
                <w:rFonts w:hint="eastAsia" w:hAnsi="宋体" w:cs="Arial"/>
                <w:snapToGrid w:val="0"/>
                <w:color w:val="000000"/>
                <w:szCs w:val="18"/>
                <w:lang w:bidi="ar"/>
              </w:rPr>
              <w:t>必选指标</w:t>
            </w:r>
          </w:p>
        </w:tc>
        <w:tc>
          <w:tcPr>
            <w:tcW w:w="980" w:type="dxa"/>
            <w:vMerge w:val="continue"/>
            <w:shd w:val="clear" w:color="auto" w:fill="auto"/>
            <w:vAlign w:val="center"/>
          </w:tcPr>
          <w:p w14:paraId="7F05FF5F">
            <w:pPr>
              <w:pStyle w:val="179"/>
            </w:pPr>
          </w:p>
        </w:tc>
      </w:tr>
      <w:tr w14:paraId="06F416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6920FEE6">
            <w:pPr>
              <w:pStyle w:val="179"/>
            </w:pPr>
          </w:p>
        </w:tc>
        <w:tc>
          <w:tcPr>
            <w:tcW w:w="1417" w:type="dxa"/>
            <w:vMerge w:val="continue"/>
            <w:shd w:val="clear" w:color="auto" w:fill="auto"/>
            <w:vAlign w:val="center"/>
          </w:tcPr>
          <w:p w14:paraId="31DFA076">
            <w:pPr>
              <w:pStyle w:val="179"/>
            </w:pPr>
          </w:p>
        </w:tc>
        <w:tc>
          <w:tcPr>
            <w:tcW w:w="3828" w:type="dxa"/>
            <w:shd w:val="clear" w:color="auto" w:fill="auto"/>
            <w:vAlign w:val="center"/>
          </w:tcPr>
          <w:p w14:paraId="6B1B9FB6">
            <w:pPr>
              <w:pStyle w:val="179"/>
            </w:pPr>
            <w:r>
              <w:rPr>
                <w:rFonts w:hint="eastAsia" w:hAnsi="宋体" w:cs="Arial"/>
                <w:snapToGrid w:val="0"/>
                <w:color w:val="000000"/>
                <w:szCs w:val="18"/>
                <w:lang w:bidi="ar"/>
              </w:rPr>
              <w:t>外来物种入侵状况</w:t>
            </w:r>
          </w:p>
        </w:tc>
        <w:tc>
          <w:tcPr>
            <w:tcW w:w="1701" w:type="dxa"/>
            <w:shd w:val="clear" w:color="auto" w:fill="auto"/>
          </w:tcPr>
          <w:p w14:paraId="1DCB08F3">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11230143">
            <w:pPr>
              <w:pStyle w:val="179"/>
            </w:pPr>
          </w:p>
        </w:tc>
      </w:tr>
      <w:tr w14:paraId="4269A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D11BCF8">
            <w:pPr>
              <w:pStyle w:val="179"/>
            </w:pPr>
          </w:p>
        </w:tc>
        <w:tc>
          <w:tcPr>
            <w:tcW w:w="1417" w:type="dxa"/>
            <w:vMerge w:val="continue"/>
            <w:shd w:val="clear" w:color="auto" w:fill="auto"/>
            <w:vAlign w:val="center"/>
          </w:tcPr>
          <w:p w14:paraId="0C8B5435">
            <w:pPr>
              <w:pStyle w:val="179"/>
            </w:pPr>
          </w:p>
        </w:tc>
        <w:tc>
          <w:tcPr>
            <w:tcW w:w="3828" w:type="dxa"/>
            <w:shd w:val="clear" w:color="auto" w:fill="auto"/>
            <w:vAlign w:val="center"/>
          </w:tcPr>
          <w:p w14:paraId="582A2E20">
            <w:pPr>
              <w:pStyle w:val="179"/>
            </w:pPr>
            <w:r>
              <w:rPr>
                <w:rFonts w:hint="eastAsia" w:hAnsi="宋体" w:cs="Arial"/>
                <w:snapToGrid w:val="0"/>
                <w:color w:val="000000"/>
                <w:szCs w:val="18"/>
                <w:lang w:bidi="ar"/>
              </w:rPr>
              <w:t>大型水生植物状况</w:t>
            </w:r>
          </w:p>
        </w:tc>
        <w:tc>
          <w:tcPr>
            <w:tcW w:w="1701" w:type="dxa"/>
            <w:shd w:val="clear" w:color="auto" w:fill="auto"/>
          </w:tcPr>
          <w:p w14:paraId="6538564B">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3D535ED4">
            <w:pPr>
              <w:pStyle w:val="179"/>
            </w:pPr>
          </w:p>
        </w:tc>
      </w:tr>
      <w:tr w14:paraId="3CDCC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6B3F5EEE">
            <w:pPr>
              <w:pStyle w:val="179"/>
            </w:pPr>
          </w:p>
        </w:tc>
        <w:tc>
          <w:tcPr>
            <w:tcW w:w="1417" w:type="dxa"/>
            <w:vMerge w:val="continue"/>
            <w:shd w:val="clear" w:color="auto" w:fill="auto"/>
            <w:vAlign w:val="center"/>
          </w:tcPr>
          <w:p w14:paraId="7929CF63">
            <w:pPr>
              <w:pStyle w:val="179"/>
            </w:pPr>
          </w:p>
        </w:tc>
        <w:tc>
          <w:tcPr>
            <w:tcW w:w="3828" w:type="dxa"/>
            <w:shd w:val="clear" w:color="auto" w:fill="auto"/>
            <w:vAlign w:val="center"/>
          </w:tcPr>
          <w:p w14:paraId="5405FDC7">
            <w:pPr>
              <w:pStyle w:val="179"/>
            </w:pPr>
            <w:r>
              <w:rPr>
                <w:rFonts w:hint="eastAsia" w:hAnsi="宋体" w:cs="Arial"/>
                <w:snapToGrid w:val="0"/>
                <w:color w:val="000000"/>
                <w:szCs w:val="18"/>
                <w:lang w:bidi="ar"/>
              </w:rPr>
              <w:t>着生藻类群落状况</w:t>
            </w:r>
          </w:p>
        </w:tc>
        <w:tc>
          <w:tcPr>
            <w:tcW w:w="1701" w:type="dxa"/>
            <w:shd w:val="clear" w:color="auto" w:fill="auto"/>
          </w:tcPr>
          <w:p w14:paraId="04E59C08">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779F7F1F">
            <w:pPr>
              <w:pStyle w:val="179"/>
            </w:pPr>
          </w:p>
        </w:tc>
      </w:tr>
      <w:tr w14:paraId="38E2D6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7D9E87FD">
            <w:pPr>
              <w:pStyle w:val="179"/>
            </w:pPr>
          </w:p>
        </w:tc>
        <w:tc>
          <w:tcPr>
            <w:tcW w:w="1417" w:type="dxa"/>
            <w:vMerge w:val="continue"/>
            <w:shd w:val="clear" w:color="auto" w:fill="auto"/>
            <w:vAlign w:val="center"/>
          </w:tcPr>
          <w:p w14:paraId="45D40346">
            <w:pPr>
              <w:pStyle w:val="179"/>
            </w:pPr>
          </w:p>
        </w:tc>
        <w:tc>
          <w:tcPr>
            <w:tcW w:w="3828" w:type="dxa"/>
            <w:shd w:val="clear" w:color="auto" w:fill="auto"/>
            <w:vAlign w:val="center"/>
          </w:tcPr>
          <w:p w14:paraId="718E72C3">
            <w:pPr>
              <w:pStyle w:val="179"/>
            </w:pPr>
            <w:r>
              <w:rPr>
                <w:rFonts w:hint="eastAsia" w:hAnsi="宋体" w:cs="Arial"/>
                <w:snapToGrid w:val="0"/>
                <w:color w:val="000000"/>
                <w:szCs w:val="18"/>
                <w:lang w:bidi="ar"/>
              </w:rPr>
              <w:t>浮游植物密度</w:t>
            </w:r>
          </w:p>
        </w:tc>
        <w:tc>
          <w:tcPr>
            <w:tcW w:w="1701" w:type="dxa"/>
            <w:shd w:val="clear" w:color="auto" w:fill="auto"/>
          </w:tcPr>
          <w:p w14:paraId="00D596FC">
            <w:pPr>
              <w:pStyle w:val="179"/>
            </w:pPr>
            <w:r>
              <w:rPr>
                <w:rFonts w:hint="eastAsia" w:hAnsi="宋体" w:cs="Arial"/>
                <w:snapToGrid w:val="0"/>
                <w:color w:val="000000"/>
                <w:szCs w:val="18"/>
                <w:lang w:bidi="ar"/>
              </w:rPr>
              <w:t>备选指标</w:t>
            </w:r>
          </w:p>
        </w:tc>
        <w:tc>
          <w:tcPr>
            <w:tcW w:w="980" w:type="dxa"/>
            <w:vMerge w:val="continue"/>
            <w:shd w:val="clear" w:color="auto" w:fill="auto"/>
            <w:vAlign w:val="center"/>
          </w:tcPr>
          <w:p w14:paraId="1D0DE3A4">
            <w:pPr>
              <w:pStyle w:val="179"/>
            </w:pPr>
          </w:p>
        </w:tc>
      </w:tr>
      <w:tr w14:paraId="6A1EF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71597173">
            <w:pPr>
              <w:pStyle w:val="179"/>
            </w:pPr>
          </w:p>
        </w:tc>
        <w:tc>
          <w:tcPr>
            <w:tcW w:w="1417" w:type="dxa"/>
            <w:vMerge w:val="continue"/>
            <w:shd w:val="clear" w:color="auto" w:fill="auto"/>
            <w:vAlign w:val="center"/>
          </w:tcPr>
          <w:p w14:paraId="0F6241DD">
            <w:pPr>
              <w:pStyle w:val="179"/>
            </w:pPr>
          </w:p>
        </w:tc>
        <w:tc>
          <w:tcPr>
            <w:tcW w:w="3828" w:type="dxa"/>
            <w:shd w:val="clear" w:color="auto" w:fill="auto"/>
            <w:vAlign w:val="center"/>
          </w:tcPr>
          <w:p w14:paraId="47858324">
            <w:pPr>
              <w:pStyle w:val="179"/>
            </w:pPr>
            <w:r>
              <w:rPr>
                <w:rFonts w:hint="eastAsia" w:hAnsi="宋体" w:cs="Arial"/>
                <w:snapToGrid w:val="0"/>
                <w:color w:val="000000"/>
                <w:szCs w:val="18"/>
                <w:lang w:bidi="ar"/>
              </w:rPr>
              <w:t>水鸟多样性指数</w:t>
            </w:r>
          </w:p>
        </w:tc>
        <w:tc>
          <w:tcPr>
            <w:tcW w:w="1701" w:type="dxa"/>
            <w:shd w:val="clear" w:color="auto" w:fill="auto"/>
          </w:tcPr>
          <w:p w14:paraId="6804DD55">
            <w:pPr>
              <w:pStyle w:val="179"/>
            </w:pPr>
            <w:r>
              <w:rPr>
                <w:rFonts w:hint="eastAsia" w:hAnsi="宋体" w:cs="Arial"/>
                <w:snapToGrid w:val="0"/>
                <w:color w:val="000000"/>
                <w:szCs w:val="18"/>
                <w:lang w:bidi="ar"/>
              </w:rPr>
              <w:t>备选指标</w:t>
            </w:r>
          </w:p>
        </w:tc>
        <w:tc>
          <w:tcPr>
            <w:tcW w:w="980" w:type="dxa"/>
            <w:vMerge w:val="continue"/>
            <w:shd w:val="clear" w:color="auto" w:fill="auto"/>
            <w:vAlign w:val="center"/>
          </w:tcPr>
          <w:p w14:paraId="1DABFD3E">
            <w:pPr>
              <w:pStyle w:val="179"/>
            </w:pPr>
          </w:p>
        </w:tc>
      </w:tr>
      <w:tr w14:paraId="2D3373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40990544">
            <w:pPr>
              <w:pStyle w:val="179"/>
            </w:pPr>
          </w:p>
        </w:tc>
        <w:tc>
          <w:tcPr>
            <w:tcW w:w="1417" w:type="dxa"/>
            <w:vMerge w:val="restart"/>
            <w:shd w:val="clear" w:color="auto" w:fill="auto"/>
            <w:vAlign w:val="center"/>
          </w:tcPr>
          <w:p w14:paraId="496BCA15">
            <w:pPr>
              <w:pStyle w:val="179"/>
            </w:pPr>
            <w:r>
              <w:rPr>
                <w:rFonts w:hint="eastAsia"/>
              </w:rPr>
              <w:t>社会服务</w:t>
            </w:r>
          </w:p>
        </w:tc>
        <w:tc>
          <w:tcPr>
            <w:tcW w:w="3828" w:type="dxa"/>
            <w:shd w:val="clear" w:color="auto" w:fill="auto"/>
            <w:vAlign w:val="center"/>
          </w:tcPr>
          <w:p w14:paraId="4734734D">
            <w:pPr>
              <w:pStyle w:val="179"/>
            </w:pPr>
            <w:r>
              <w:rPr>
                <w:rFonts w:hint="eastAsia" w:hAnsi="宋体" w:cs="Arial"/>
                <w:snapToGrid w:val="0"/>
                <w:color w:val="000000"/>
                <w:szCs w:val="18"/>
                <w:lang w:bidi="ar"/>
              </w:rPr>
              <w:t>公众满意度</w:t>
            </w:r>
          </w:p>
        </w:tc>
        <w:tc>
          <w:tcPr>
            <w:tcW w:w="1701" w:type="dxa"/>
            <w:shd w:val="clear" w:color="auto" w:fill="auto"/>
          </w:tcPr>
          <w:p w14:paraId="42382B7C">
            <w:pPr>
              <w:pStyle w:val="179"/>
            </w:pPr>
            <w:r>
              <w:rPr>
                <w:rFonts w:hAnsi="宋体" w:cs="Arial"/>
                <w:snapToGrid w:val="0"/>
                <w:color w:val="000000"/>
                <w:szCs w:val="18"/>
                <w:lang w:eastAsia="en-US" w:bidi="ar"/>
              </w:rPr>
              <w:t>必选指标</w:t>
            </w:r>
          </w:p>
        </w:tc>
        <w:tc>
          <w:tcPr>
            <w:tcW w:w="980" w:type="dxa"/>
            <w:vMerge w:val="restart"/>
            <w:shd w:val="clear" w:color="auto" w:fill="auto"/>
            <w:vAlign w:val="center"/>
          </w:tcPr>
          <w:p w14:paraId="7FE91E11">
            <w:pPr>
              <w:pStyle w:val="179"/>
            </w:pPr>
            <w:r>
              <w:rPr>
                <w:rFonts w:hint="eastAsia"/>
              </w:rPr>
              <w:t>0.2</w:t>
            </w:r>
          </w:p>
        </w:tc>
      </w:tr>
      <w:tr w14:paraId="75DDC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9D763A4">
            <w:pPr>
              <w:pStyle w:val="179"/>
            </w:pPr>
          </w:p>
        </w:tc>
        <w:tc>
          <w:tcPr>
            <w:tcW w:w="1417" w:type="dxa"/>
            <w:vMerge w:val="continue"/>
            <w:shd w:val="clear" w:color="auto" w:fill="auto"/>
            <w:vAlign w:val="center"/>
          </w:tcPr>
          <w:p w14:paraId="47164493">
            <w:pPr>
              <w:pStyle w:val="179"/>
            </w:pPr>
          </w:p>
        </w:tc>
        <w:tc>
          <w:tcPr>
            <w:tcW w:w="3828" w:type="dxa"/>
            <w:shd w:val="clear" w:color="auto" w:fill="auto"/>
            <w:vAlign w:val="center"/>
          </w:tcPr>
          <w:p w14:paraId="3C518582">
            <w:pPr>
              <w:pStyle w:val="179"/>
            </w:pPr>
            <w:r>
              <w:rPr>
                <w:rFonts w:hint="eastAsia" w:hAnsi="宋体" w:cs="Arial"/>
                <w:snapToGrid w:val="0"/>
                <w:color w:val="000000"/>
                <w:szCs w:val="18"/>
                <w:lang w:bidi="ar"/>
              </w:rPr>
              <w:t>防洪（汛）达标率</w:t>
            </w:r>
          </w:p>
        </w:tc>
        <w:tc>
          <w:tcPr>
            <w:tcW w:w="1701" w:type="dxa"/>
            <w:shd w:val="clear" w:color="auto" w:fill="auto"/>
          </w:tcPr>
          <w:p w14:paraId="1E7B985B">
            <w:pPr>
              <w:pStyle w:val="179"/>
            </w:pPr>
            <w:r>
              <w:rPr>
                <w:rFonts w:hint="eastAsia" w:hAnsi="宋体" w:cs="Arial"/>
                <w:snapToGrid w:val="0"/>
                <w:color w:val="000000"/>
                <w:szCs w:val="18"/>
                <w:lang w:bidi="ar"/>
              </w:rPr>
              <w:t>必选指标</w:t>
            </w:r>
          </w:p>
        </w:tc>
        <w:tc>
          <w:tcPr>
            <w:tcW w:w="980" w:type="dxa"/>
            <w:vMerge w:val="continue"/>
            <w:shd w:val="clear" w:color="auto" w:fill="auto"/>
            <w:vAlign w:val="center"/>
          </w:tcPr>
          <w:p w14:paraId="0690A385">
            <w:pPr>
              <w:pStyle w:val="179"/>
            </w:pPr>
          </w:p>
        </w:tc>
      </w:tr>
      <w:tr w14:paraId="550E1F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8CA6CD3">
            <w:pPr>
              <w:pStyle w:val="179"/>
            </w:pPr>
          </w:p>
        </w:tc>
        <w:tc>
          <w:tcPr>
            <w:tcW w:w="1417" w:type="dxa"/>
            <w:vMerge w:val="continue"/>
            <w:shd w:val="clear" w:color="auto" w:fill="auto"/>
            <w:vAlign w:val="center"/>
          </w:tcPr>
          <w:p w14:paraId="68BDC520">
            <w:pPr>
              <w:pStyle w:val="179"/>
            </w:pPr>
          </w:p>
        </w:tc>
        <w:tc>
          <w:tcPr>
            <w:tcW w:w="3828" w:type="dxa"/>
            <w:shd w:val="clear" w:color="auto" w:fill="auto"/>
            <w:vAlign w:val="center"/>
          </w:tcPr>
          <w:p w14:paraId="53403ABC">
            <w:pPr>
              <w:pStyle w:val="179"/>
            </w:pPr>
            <w:r>
              <w:rPr>
                <w:rFonts w:hint="eastAsia" w:hAnsi="宋体" w:cs="Arial"/>
                <w:snapToGrid w:val="0"/>
                <w:color w:val="000000"/>
                <w:szCs w:val="18"/>
                <w:lang w:bidi="ar"/>
              </w:rPr>
              <w:t>岸线贯通程度</w:t>
            </w:r>
          </w:p>
        </w:tc>
        <w:tc>
          <w:tcPr>
            <w:tcW w:w="1701" w:type="dxa"/>
            <w:shd w:val="clear" w:color="auto" w:fill="auto"/>
          </w:tcPr>
          <w:p w14:paraId="621A1D87">
            <w:pPr>
              <w:pStyle w:val="179"/>
            </w:pPr>
            <w:r>
              <w:rPr>
                <w:rFonts w:hint="eastAsia" w:hAnsi="宋体" w:cs="Arial"/>
                <w:snapToGrid w:val="0"/>
                <w:color w:val="000000"/>
                <w:szCs w:val="18"/>
                <w:lang w:bidi="ar"/>
              </w:rPr>
              <w:t>特色指标</w:t>
            </w:r>
          </w:p>
        </w:tc>
        <w:tc>
          <w:tcPr>
            <w:tcW w:w="980" w:type="dxa"/>
            <w:vMerge w:val="continue"/>
            <w:shd w:val="clear" w:color="auto" w:fill="auto"/>
            <w:vAlign w:val="center"/>
          </w:tcPr>
          <w:p w14:paraId="1EEBBF14">
            <w:pPr>
              <w:pStyle w:val="179"/>
            </w:pPr>
          </w:p>
        </w:tc>
      </w:tr>
      <w:tr w14:paraId="7CA9FB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19DA9AE3">
            <w:pPr>
              <w:pStyle w:val="179"/>
            </w:pPr>
          </w:p>
        </w:tc>
        <w:tc>
          <w:tcPr>
            <w:tcW w:w="1417" w:type="dxa"/>
            <w:vMerge w:val="continue"/>
            <w:shd w:val="clear" w:color="auto" w:fill="auto"/>
            <w:vAlign w:val="center"/>
          </w:tcPr>
          <w:p w14:paraId="7274AAD6">
            <w:pPr>
              <w:pStyle w:val="179"/>
            </w:pPr>
          </w:p>
        </w:tc>
        <w:tc>
          <w:tcPr>
            <w:tcW w:w="3828" w:type="dxa"/>
            <w:shd w:val="clear" w:color="auto" w:fill="auto"/>
            <w:vAlign w:val="center"/>
          </w:tcPr>
          <w:p w14:paraId="00CAD2AD">
            <w:pPr>
              <w:pStyle w:val="179"/>
            </w:pPr>
            <w:r>
              <w:rPr>
                <w:rFonts w:hint="eastAsia" w:hAnsi="宋体" w:cs="Arial"/>
                <w:snapToGrid w:val="0"/>
                <w:color w:val="000000"/>
                <w:szCs w:val="18"/>
                <w:lang w:bidi="ar"/>
              </w:rPr>
              <w:t>供水保证程度</w:t>
            </w:r>
          </w:p>
        </w:tc>
        <w:tc>
          <w:tcPr>
            <w:tcW w:w="1701" w:type="dxa"/>
            <w:shd w:val="clear" w:color="auto" w:fill="auto"/>
          </w:tcPr>
          <w:p w14:paraId="0000DEF0">
            <w:pPr>
              <w:pStyle w:val="179"/>
            </w:pPr>
            <w:r>
              <w:rPr>
                <w:rFonts w:hint="eastAsia" w:hAnsi="宋体" w:cs="Arial"/>
                <w:snapToGrid w:val="0"/>
                <w:color w:val="000000"/>
                <w:szCs w:val="18"/>
                <w:lang w:bidi="ar"/>
              </w:rPr>
              <w:t>备选指标</w:t>
            </w:r>
          </w:p>
        </w:tc>
        <w:tc>
          <w:tcPr>
            <w:tcW w:w="980" w:type="dxa"/>
            <w:vMerge w:val="continue"/>
            <w:shd w:val="clear" w:color="auto" w:fill="auto"/>
            <w:vAlign w:val="center"/>
          </w:tcPr>
          <w:p w14:paraId="3C75577C">
            <w:pPr>
              <w:pStyle w:val="179"/>
            </w:pPr>
          </w:p>
        </w:tc>
      </w:tr>
      <w:tr w14:paraId="62258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0152FD5">
            <w:pPr>
              <w:pStyle w:val="179"/>
            </w:pPr>
          </w:p>
        </w:tc>
        <w:tc>
          <w:tcPr>
            <w:tcW w:w="1417" w:type="dxa"/>
            <w:vMerge w:val="continue"/>
            <w:shd w:val="clear" w:color="auto" w:fill="auto"/>
            <w:vAlign w:val="center"/>
          </w:tcPr>
          <w:p w14:paraId="67D8D36C">
            <w:pPr>
              <w:pStyle w:val="179"/>
            </w:pPr>
          </w:p>
        </w:tc>
        <w:tc>
          <w:tcPr>
            <w:tcW w:w="3828" w:type="dxa"/>
            <w:shd w:val="clear" w:color="auto" w:fill="auto"/>
            <w:vAlign w:val="center"/>
          </w:tcPr>
          <w:p w14:paraId="0433B64C">
            <w:pPr>
              <w:pStyle w:val="179"/>
            </w:pPr>
            <w:r>
              <w:rPr>
                <w:rFonts w:hint="eastAsia" w:hAnsi="宋体" w:cs="Arial"/>
                <w:snapToGrid w:val="0"/>
                <w:color w:val="000000"/>
                <w:szCs w:val="18"/>
                <w:lang w:bidi="ar"/>
              </w:rPr>
              <w:t>排涝工程达标率</w:t>
            </w:r>
          </w:p>
        </w:tc>
        <w:tc>
          <w:tcPr>
            <w:tcW w:w="1701" w:type="dxa"/>
            <w:shd w:val="clear" w:color="auto" w:fill="auto"/>
          </w:tcPr>
          <w:p w14:paraId="4EE52FD7">
            <w:pPr>
              <w:pStyle w:val="179"/>
            </w:pPr>
            <w:r>
              <w:rPr>
                <w:rFonts w:hint="eastAsia" w:hAnsi="宋体" w:cs="Arial"/>
                <w:snapToGrid w:val="0"/>
                <w:color w:val="000000"/>
                <w:szCs w:val="18"/>
                <w:lang w:bidi="ar"/>
              </w:rPr>
              <w:t>备选指标</w:t>
            </w:r>
          </w:p>
        </w:tc>
        <w:tc>
          <w:tcPr>
            <w:tcW w:w="980" w:type="dxa"/>
            <w:vMerge w:val="continue"/>
            <w:shd w:val="clear" w:color="auto" w:fill="auto"/>
            <w:vAlign w:val="center"/>
          </w:tcPr>
          <w:p w14:paraId="496927B7">
            <w:pPr>
              <w:pStyle w:val="179"/>
            </w:pPr>
          </w:p>
        </w:tc>
      </w:tr>
      <w:tr w14:paraId="663AE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46486D6">
            <w:pPr>
              <w:pStyle w:val="179"/>
            </w:pPr>
          </w:p>
        </w:tc>
        <w:tc>
          <w:tcPr>
            <w:tcW w:w="1417" w:type="dxa"/>
            <w:vMerge w:val="continue"/>
            <w:shd w:val="clear" w:color="auto" w:fill="auto"/>
            <w:vAlign w:val="center"/>
          </w:tcPr>
          <w:p w14:paraId="2F959BD5">
            <w:pPr>
              <w:pStyle w:val="179"/>
            </w:pPr>
          </w:p>
        </w:tc>
        <w:tc>
          <w:tcPr>
            <w:tcW w:w="3828" w:type="dxa"/>
            <w:shd w:val="clear" w:color="auto" w:fill="auto"/>
            <w:vAlign w:val="center"/>
          </w:tcPr>
          <w:p w14:paraId="1987F6EC">
            <w:pPr>
              <w:pStyle w:val="179"/>
            </w:pPr>
            <w:r>
              <w:rPr>
                <w:rFonts w:hint="eastAsia" w:hAnsi="宋体" w:cs="Arial"/>
                <w:snapToGrid w:val="0"/>
                <w:color w:val="000000"/>
                <w:szCs w:val="18"/>
                <w:lang w:bidi="ar"/>
              </w:rPr>
              <w:t>通航保证率</w:t>
            </w:r>
          </w:p>
        </w:tc>
        <w:tc>
          <w:tcPr>
            <w:tcW w:w="1701" w:type="dxa"/>
            <w:shd w:val="clear" w:color="auto" w:fill="auto"/>
          </w:tcPr>
          <w:p w14:paraId="10188C96">
            <w:pPr>
              <w:pStyle w:val="179"/>
            </w:pPr>
            <w:r>
              <w:rPr>
                <w:rFonts w:hint="eastAsia" w:hAnsi="宋体" w:cs="Arial"/>
                <w:snapToGrid w:val="0"/>
                <w:color w:val="000000"/>
                <w:szCs w:val="18"/>
                <w:lang w:bidi="ar"/>
              </w:rPr>
              <w:t>备选指标</w:t>
            </w:r>
          </w:p>
        </w:tc>
        <w:tc>
          <w:tcPr>
            <w:tcW w:w="980" w:type="dxa"/>
            <w:vMerge w:val="continue"/>
            <w:shd w:val="clear" w:color="auto" w:fill="auto"/>
            <w:vAlign w:val="center"/>
          </w:tcPr>
          <w:p w14:paraId="18D60999">
            <w:pPr>
              <w:pStyle w:val="179"/>
            </w:pPr>
          </w:p>
        </w:tc>
      </w:tr>
    </w:tbl>
    <w:p w14:paraId="08638E10">
      <w:pPr>
        <w:pStyle w:val="113"/>
        <w:spacing w:before="156" w:after="156"/>
      </w:pPr>
      <w:r>
        <w:rPr>
          <w:rFonts w:hint="eastAsia"/>
        </w:rPr>
        <w:t>河湖健康评价指标体系（湖泊）</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08"/>
        <w:gridCol w:w="1417"/>
        <w:gridCol w:w="3828"/>
        <w:gridCol w:w="1701"/>
        <w:gridCol w:w="980"/>
      </w:tblGrid>
      <w:tr w14:paraId="2F18D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1408" w:type="dxa"/>
            <w:tcBorders>
              <w:top w:val="single" w:color="auto" w:sz="8" w:space="0"/>
              <w:bottom w:val="single" w:color="auto" w:sz="8" w:space="0"/>
            </w:tcBorders>
            <w:shd w:val="clear" w:color="auto" w:fill="auto"/>
            <w:vAlign w:val="center"/>
          </w:tcPr>
          <w:p w14:paraId="01BB21EA">
            <w:pPr>
              <w:pStyle w:val="179"/>
            </w:pPr>
            <w:r>
              <w:rPr>
                <w:rFonts w:hAnsi="宋体" w:cs="Arial"/>
                <w:snapToGrid w:val="0"/>
                <w:color w:val="000000"/>
                <w:szCs w:val="18"/>
                <w:lang w:eastAsia="en-US" w:bidi="ar"/>
              </w:rPr>
              <w:t>目标层</w:t>
            </w:r>
          </w:p>
        </w:tc>
        <w:tc>
          <w:tcPr>
            <w:tcW w:w="1417" w:type="dxa"/>
            <w:tcBorders>
              <w:top w:val="single" w:color="auto" w:sz="8" w:space="0"/>
              <w:bottom w:val="single" w:color="auto" w:sz="8" w:space="0"/>
            </w:tcBorders>
            <w:shd w:val="clear" w:color="auto" w:fill="auto"/>
            <w:vAlign w:val="center"/>
          </w:tcPr>
          <w:p w14:paraId="0310C310">
            <w:pPr>
              <w:pStyle w:val="179"/>
            </w:pPr>
            <w:r>
              <w:rPr>
                <w:rFonts w:hAnsi="宋体" w:cs="Arial"/>
                <w:snapToGrid w:val="0"/>
                <w:color w:val="000000"/>
                <w:szCs w:val="18"/>
                <w:lang w:eastAsia="en-US" w:bidi="ar"/>
              </w:rPr>
              <w:t>准则层</w:t>
            </w:r>
          </w:p>
        </w:tc>
        <w:tc>
          <w:tcPr>
            <w:tcW w:w="3828" w:type="dxa"/>
            <w:tcBorders>
              <w:top w:val="single" w:color="auto" w:sz="8" w:space="0"/>
              <w:bottom w:val="single" w:color="auto" w:sz="8" w:space="0"/>
            </w:tcBorders>
            <w:shd w:val="clear" w:color="auto" w:fill="auto"/>
            <w:vAlign w:val="center"/>
          </w:tcPr>
          <w:p w14:paraId="3517E102">
            <w:pPr>
              <w:pStyle w:val="179"/>
            </w:pPr>
            <w:r>
              <w:rPr>
                <w:rFonts w:hAnsi="宋体" w:cs="Arial"/>
                <w:snapToGrid w:val="0"/>
                <w:color w:val="000000"/>
                <w:szCs w:val="18"/>
                <w:lang w:eastAsia="en-US" w:bidi="ar"/>
              </w:rPr>
              <w:t>指标层</w:t>
            </w:r>
          </w:p>
        </w:tc>
        <w:tc>
          <w:tcPr>
            <w:tcW w:w="1701" w:type="dxa"/>
            <w:tcBorders>
              <w:top w:val="single" w:color="auto" w:sz="8" w:space="0"/>
              <w:bottom w:val="single" w:color="auto" w:sz="8" w:space="0"/>
            </w:tcBorders>
            <w:shd w:val="clear" w:color="auto" w:fill="auto"/>
          </w:tcPr>
          <w:p w14:paraId="701FC9EF">
            <w:pPr>
              <w:pStyle w:val="179"/>
            </w:pPr>
            <w:r>
              <w:rPr>
                <w:rFonts w:hAnsi="宋体" w:cs="Arial"/>
                <w:snapToGrid w:val="0"/>
                <w:color w:val="000000"/>
                <w:szCs w:val="18"/>
                <w:lang w:eastAsia="en-US" w:bidi="ar"/>
              </w:rPr>
              <w:t>指标类型</w:t>
            </w:r>
          </w:p>
        </w:tc>
        <w:tc>
          <w:tcPr>
            <w:tcW w:w="980" w:type="dxa"/>
            <w:tcBorders>
              <w:top w:val="single" w:color="auto" w:sz="8" w:space="0"/>
              <w:bottom w:val="single" w:color="auto" w:sz="8" w:space="0"/>
            </w:tcBorders>
            <w:shd w:val="clear" w:color="auto" w:fill="auto"/>
          </w:tcPr>
          <w:p w14:paraId="0E92C193">
            <w:pPr>
              <w:pStyle w:val="179"/>
            </w:pPr>
            <w:r>
              <w:rPr>
                <w:rFonts w:hAnsi="宋体" w:cs="Arial"/>
                <w:snapToGrid w:val="0"/>
                <w:color w:val="000000"/>
                <w:szCs w:val="18"/>
                <w:lang w:eastAsia="en-US" w:bidi="ar"/>
              </w:rPr>
              <w:t>权重</w:t>
            </w:r>
          </w:p>
        </w:tc>
      </w:tr>
      <w:tr w14:paraId="68FCD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restart"/>
            <w:tcBorders>
              <w:top w:val="single" w:color="auto" w:sz="8" w:space="0"/>
            </w:tcBorders>
            <w:shd w:val="clear" w:color="auto" w:fill="auto"/>
            <w:vAlign w:val="center"/>
          </w:tcPr>
          <w:p w14:paraId="684996F5">
            <w:pPr>
              <w:pStyle w:val="179"/>
            </w:pPr>
            <w:r>
              <w:rPr>
                <w:rFonts w:hint="eastAsia"/>
              </w:rPr>
              <w:t>健康状况</w:t>
            </w:r>
          </w:p>
        </w:tc>
        <w:tc>
          <w:tcPr>
            <w:tcW w:w="1417" w:type="dxa"/>
            <w:vMerge w:val="restart"/>
            <w:tcBorders>
              <w:top w:val="single" w:color="auto" w:sz="8" w:space="0"/>
            </w:tcBorders>
            <w:shd w:val="clear" w:color="auto" w:fill="auto"/>
            <w:vAlign w:val="center"/>
          </w:tcPr>
          <w:p w14:paraId="6A312E29">
            <w:pPr>
              <w:pStyle w:val="179"/>
            </w:pPr>
            <w:r>
              <w:rPr>
                <w:rFonts w:hint="eastAsia"/>
              </w:rPr>
              <w:t>水岸空间</w:t>
            </w:r>
          </w:p>
        </w:tc>
        <w:tc>
          <w:tcPr>
            <w:tcW w:w="3828" w:type="dxa"/>
            <w:tcBorders>
              <w:top w:val="single" w:color="auto" w:sz="8" w:space="0"/>
            </w:tcBorders>
            <w:shd w:val="clear" w:color="auto" w:fill="auto"/>
            <w:vAlign w:val="center"/>
          </w:tcPr>
          <w:p w14:paraId="7BC4D014">
            <w:pPr>
              <w:pStyle w:val="179"/>
              <w:rPr>
                <w:rFonts w:hAnsi="宋体" w:cs="Arial"/>
                <w:snapToGrid w:val="0"/>
                <w:color w:val="000000"/>
                <w:szCs w:val="18"/>
                <w:lang w:bidi="ar"/>
              </w:rPr>
            </w:pPr>
            <w:r>
              <w:rPr>
                <w:rFonts w:hint="eastAsia" w:hAnsi="宋体" w:cs="Arial"/>
                <w:snapToGrid w:val="0"/>
                <w:color w:val="000000"/>
                <w:szCs w:val="18"/>
                <w:lang w:bidi="ar"/>
              </w:rPr>
              <w:t>水域岸线完整性</w:t>
            </w:r>
          </w:p>
        </w:tc>
        <w:tc>
          <w:tcPr>
            <w:tcW w:w="1701" w:type="dxa"/>
            <w:tcBorders>
              <w:top w:val="single" w:color="auto" w:sz="8" w:space="0"/>
            </w:tcBorders>
            <w:shd w:val="clear" w:color="auto" w:fill="auto"/>
          </w:tcPr>
          <w:p w14:paraId="486F92C4">
            <w:pPr>
              <w:pStyle w:val="179"/>
              <w:rPr>
                <w:rFonts w:hAnsi="宋体" w:cs="Arial"/>
                <w:snapToGrid w:val="0"/>
                <w:color w:val="000000"/>
                <w:szCs w:val="18"/>
                <w:lang w:bidi="ar"/>
              </w:rPr>
            </w:pPr>
            <w:r>
              <w:rPr>
                <w:rFonts w:hAnsi="宋体" w:cs="Arial"/>
                <w:snapToGrid w:val="0"/>
                <w:color w:val="000000"/>
                <w:szCs w:val="18"/>
                <w:lang w:bidi="ar"/>
              </w:rPr>
              <w:t>必选指标</w:t>
            </w:r>
          </w:p>
        </w:tc>
        <w:tc>
          <w:tcPr>
            <w:tcW w:w="980" w:type="dxa"/>
            <w:vMerge w:val="restart"/>
            <w:tcBorders>
              <w:top w:val="single" w:color="auto" w:sz="8" w:space="0"/>
            </w:tcBorders>
            <w:shd w:val="clear" w:color="auto" w:fill="auto"/>
            <w:vAlign w:val="center"/>
          </w:tcPr>
          <w:p w14:paraId="7B5E3AA6">
            <w:pPr>
              <w:pStyle w:val="179"/>
            </w:pPr>
            <w:r>
              <w:rPr>
                <w:rFonts w:hint="eastAsia"/>
              </w:rPr>
              <w:t>0.3</w:t>
            </w:r>
          </w:p>
        </w:tc>
      </w:tr>
      <w:tr w14:paraId="11CCF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47BCFBE8">
            <w:pPr>
              <w:pStyle w:val="179"/>
            </w:pPr>
          </w:p>
        </w:tc>
        <w:tc>
          <w:tcPr>
            <w:tcW w:w="1417" w:type="dxa"/>
            <w:vMerge w:val="continue"/>
            <w:shd w:val="clear" w:color="auto" w:fill="auto"/>
            <w:vAlign w:val="center"/>
          </w:tcPr>
          <w:p w14:paraId="3818CBD9">
            <w:pPr>
              <w:pStyle w:val="179"/>
            </w:pPr>
          </w:p>
        </w:tc>
        <w:tc>
          <w:tcPr>
            <w:tcW w:w="3828" w:type="dxa"/>
            <w:shd w:val="clear" w:color="auto" w:fill="auto"/>
            <w:vAlign w:val="center"/>
          </w:tcPr>
          <w:p w14:paraId="2A511222">
            <w:pPr>
              <w:pStyle w:val="179"/>
              <w:rPr>
                <w:rFonts w:hAnsi="宋体" w:cs="Arial"/>
                <w:snapToGrid w:val="0"/>
                <w:color w:val="000000"/>
                <w:szCs w:val="18"/>
                <w:lang w:bidi="ar"/>
              </w:rPr>
            </w:pPr>
            <w:r>
              <w:rPr>
                <w:rFonts w:hint="eastAsia" w:hAnsi="宋体" w:cs="Arial"/>
                <w:snapToGrid w:val="0"/>
                <w:color w:val="000000"/>
                <w:szCs w:val="18"/>
                <w:lang w:bidi="ar"/>
              </w:rPr>
              <w:t>湖泊水面面积保有率</w:t>
            </w:r>
          </w:p>
        </w:tc>
        <w:tc>
          <w:tcPr>
            <w:tcW w:w="1701" w:type="dxa"/>
            <w:shd w:val="clear" w:color="auto" w:fill="auto"/>
          </w:tcPr>
          <w:p w14:paraId="03317514">
            <w:pPr>
              <w:pStyle w:val="179"/>
              <w:rPr>
                <w:rFonts w:hAnsi="宋体" w:cs="Arial"/>
                <w:snapToGrid w:val="0"/>
                <w:color w:val="000000"/>
                <w:szCs w:val="18"/>
                <w:lang w:bidi="ar"/>
              </w:rPr>
            </w:pPr>
            <w:r>
              <w:rPr>
                <w:rFonts w:hint="eastAsia" w:hAnsi="宋体" w:cs="Arial"/>
                <w:snapToGrid w:val="0"/>
                <w:color w:val="000000"/>
                <w:szCs w:val="18"/>
                <w:lang w:bidi="ar"/>
              </w:rPr>
              <w:t>必选指标</w:t>
            </w:r>
          </w:p>
        </w:tc>
        <w:tc>
          <w:tcPr>
            <w:tcW w:w="980" w:type="dxa"/>
            <w:vMerge w:val="continue"/>
            <w:shd w:val="clear" w:color="auto" w:fill="auto"/>
            <w:vAlign w:val="center"/>
          </w:tcPr>
          <w:p w14:paraId="1B6521C3">
            <w:pPr>
              <w:pStyle w:val="179"/>
            </w:pPr>
          </w:p>
        </w:tc>
      </w:tr>
      <w:tr w14:paraId="18717C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7E3C444B">
            <w:pPr>
              <w:pStyle w:val="179"/>
            </w:pPr>
          </w:p>
        </w:tc>
        <w:tc>
          <w:tcPr>
            <w:tcW w:w="1417" w:type="dxa"/>
            <w:vMerge w:val="continue"/>
            <w:shd w:val="clear" w:color="auto" w:fill="auto"/>
            <w:vAlign w:val="center"/>
          </w:tcPr>
          <w:p w14:paraId="6914F5F1">
            <w:pPr>
              <w:pStyle w:val="179"/>
            </w:pPr>
          </w:p>
        </w:tc>
        <w:tc>
          <w:tcPr>
            <w:tcW w:w="3828" w:type="dxa"/>
            <w:shd w:val="clear" w:color="auto" w:fill="auto"/>
            <w:vAlign w:val="center"/>
          </w:tcPr>
          <w:p w14:paraId="642C12C3">
            <w:pPr>
              <w:pStyle w:val="179"/>
              <w:rPr>
                <w:rFonts w:hAnsi="宋体" w:cs="Arial"/>
                <w:snapToGrid w:val="0"/>
                <w:color w:val="000000"/>
                <w:szCs w:val="18"/>
                <w:lang w:bidi="ar"/>
              </w:rPr>
            </w:pPr>
            <w:r>
              <w:rPr>
                <w:rFonts w:hint="eastAsia" w:hAnsi="宋体" w:cs="Arial"/>
                <w:snapToGrid w:val="0"/>
                <w:color w:val="000000"/>
                <w:szCs w:val="18"/>
                <w:lang w:bidi="ar"/>
              </w:rPr>
              <w:t>河湖连通性</w:t>
            </w:r>
          </w:p>
        </w:tc>
        <w:tc>
          <w:tcPr>
            <w:tcW w:w="1701" w:type="dxa"/>
            <w:shd w:val="clear" w:color="auto" w:fill="auto"/>
          </w:tcPr>
          <w:p w14:paraId="09D8B87B">
            <w:pPr>
              <w:pStyle w:val="179"/>
              <w:rPr>
                <w:rFonts w:hAnsi="宋体" w:cs="Arial"/>
                <w:snapToGrid w:val="0"/>
                <w:color w:val="000000"/>
                <w:szCs w:val="18"/>
                <w:lang w:bidi="ar"/>
              </w:rPr>
            </w:pPr>
            <w:r>
              <w:rPr>
                <w:rFonts w:hint="eastAsia" w:hAnsi="宋体" w:cs="Arial"/>
                <w:snapToGrid w:val="0"/>
                <w:color w:val="000000"/>
                <w:szCs w:val="18"/>
                <w:lang w:bidi="ar"/>
              </w:rPr>
              <w:t>必选</w:t>
            </w:r>
            <w:r>
              <w:rPr>
                <w:rFonts w:hAnsi="宋体" w:cs="Arial"/>
                <w:snapToGrid w:val="0"/>
                <w:color w:val="000000"/>
                <w:szCs w:val="18"/>
                <w:lang w:bidi="ar"/>
              </w:rPr>
              <w:t>指标</w:t>
            </w:r>
          </w:p>
        </w:tc>
        <w:tc>
          <w:tcPr>
            <w:tcW w:w="980" w:type="dxa"/>
            <w:vMerge w:val="continue"/>
            <w:shd w:val="clear" w:color="auto" w:fill="auto"/>
            <w:vAlign w:val="center"/>
          </w:tcPr>
          <w:p w14:paraId="5A2A00E7">
            <w:pPr>
              <w:pStyle w:val="179"/>
            </w:pPr>
          </w:p>
        </w:tc>
      </w:tr>
      <w:tr w14:paraId="3C972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4D27639">
            <w:pPr>
              <w:pStyle w:val="179"/>
            </w:pPr>
          </w:p>
        </w:tc>
        <w:tc>
          <w:tcPr>
            <w:tcW w:w="1417" w:type="dxa"/>
            <w:vMerge w:val="continue"/>
            <w:shd w:val="clear" w:color="auto" w:fill="auto"/>
            <w:vAlign w:val="center"/>
          </w:tcPr>
          <w:p w14:paraId="290E58A7">
            <w:pPr>
              <w:pStyle w:val="179"/>
            </w:pPr>
          </w:p>
        </w:tc>
        <w:tc>
          <w:tcPr>
            <w:tcW w:w="3828" w:type="dxa"/>
            <w:shd w:val="clear" w:color="auto" w:fill="auto"/>
            <w:vAlign w:val="center"/>
          </w:tcPr>
          <w:p w14:paraId="266BC062">
            <w:pPr>
              <w:pStyle w:val="179"/>
              <w:rPr>
                <w:rFonts w:hAnsi="宋体" w:cs="Arial"/>
                <w:snapToGrid w:val="0"/>
                <w:color w:val="000000"/>
                <w:szCs w:val="18"/>
                <w:lang w:bidi="ar"/>
              </w:rPr>
            </w:pPr>
            <w:r>
              <w:rPr>
                <w:rFonts w:hint="eastAsia" w:hAnsi="宋体" w:cs="Arial"/>
                <w:snapToGrid w:val="0"/>
                <w:color w:val="000000"/>
                <w:szCs w:val="18"/>
                <w:lang w:bidi="ar"/>
              </w:rPr>
              <w:t>岸线自然状况</w:t>
            </w:r>
          </w:p>
        </w:tc>
        <w:tc>
          <w:tcPr>
            <w:tcW w:w="1701" w:type="dxa"/>
            <w:shd w:val="clear" w:color="auto" w:fill="auto"/>
          </w:tcPr>
          <w:p w14:paraId="0EC02E8B">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7DC65426">
            <w:pPr>
              <w:pStyle w:val="179"/>
            </w:pPr>
          </w:p>
        </w:tc>
      </w:tr>
      <w:tr w14:paraId="10BF90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0D6D7A2B">
            <w:pPr>
              <w:pStyle w:val="179"/>
            </w:pPr>
          </w:p>
        </w:tc>
        <w:tc>
          <w:tcPr>
            <w:tcW w:w="1417" w:type="dxa"/>
            <w:vMerge w:val="restart"/>
            <w:shd w:val="clear" w:color="auto" w:fill="auto"/>
            <w:vAlign w:val="center"/>
          </w:tcPr>
          <w:p w14:paraId="3BF47539">
            <w:pPr>
              <w:pStyle w:val="179"/>
            </w:pPr>
            <w:r>
              <w:rPr>
                <w:rFonts w:hint="eastAsia"/>
              </w:rPr>
              <w:t>水量水质</w:t>
            </w:r>
          </w:p>
        </w:tc>
        <w:tc>
          <w:tcPr>
            <w:tcW w:w="3828" w:type="dxa"/>
            <w:shd w:val="clear" w:color="auto" w:fill="auto"/>
            <w:vAlign w:val="center"/>
          </w:tcPr>
          <w:p w14:paraId="2C41EEFD">
            <w:pPr>
              <w:pStyle w:val="179"/>
              <w:rPr>
                <w:rFonts w:hAnsi="宋体" w:cs="Arial"/>
                <w:snapToGrid w:val="0"/>
                <w:color w:val="000000"/>
                <w:szCs w:val="18"/>
                <w:lang w:bidi="ar"/>
              </w:rPr>
            </w:pPr>
            <w:r>
              <w:rPr>
                <w:rFonts w:hint="eastAsia" w:hAnsi="宋体" w:cs="Arial"/>
                <w:snapToGrid w:val="0"/>
                <w:color w:val="000000"/>
                <w:szCs w:val="18"/>
                <w:lang w:bidi="ar"/>
              </w:rPr>
              <w:t>水质优劣程度</w:t>
            </w:r>
          </w:p>
        </w:tc>
        <w:tc>
          <w:tcPr>
            <w:tcW w:w="1701" w:type="dxa"/>
            <w:shd w:val="clear" w:color="auto" w:fill="auto"/>
          </w:tcPr>
          <w:p w14:paraId="787A2D3C">
            <w:pPr>
              <w:pStyle w:val="179"/>
              <w:rPr>
                <w:rFonts w:hAnsi="宋体" w:cs="Arial"/>
                <w:snapToGrid w:val="0"/>
                <w:color w:val="000000"/>
                <w:szCs w:val="18"/>
                <w:lang w:bidi="ar"/>
              </w:rPr>
            </w:pPr>
            <w:r>
              <w:rPr>
                <w:rFonts w:hAnsi="宋体" w:cs="Arial"/>
                <w:snapToGrid w:val="0"/>
                <w:color w:val="000000"/>
                <w:szCs w:val="18"/>
                <w:lang w:bidi="ar"/>
              </w:rPr>
              <w:t>必选指标</w:t>
            </w:r>
          </w:p>
        </w:tc>
        <w:tc>
          <w:tcPr>
            <w:tcW w:w="980" w:type="dxa"/>
            <w:vMerge w:val="restart"/>
            <w:shd w:val="clear" w:color="auto" w:fill="auto"/>
            <w:vAlign w:val="center"/>
          </w:tcPr>
          <w:p w14:paraId="02264206">
            <w:pPr>
              <w:pStyle w:val="179"/>
            </w:pPr>
            <w:r>
              <w:rPr>
                <w:rFonts w:hint="eastAsia"/>
              </w:rPr>
              <w:t>0.3</w:t>
            </w:r>
          </w:p>
        </w:tc>
      </w:tr>
      <w:tr w14:paraId="30C5F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028EA5D">
            <w:pPr>
              <w:pStyle w:val="179"/>
            </w:pPr>
          </w:p>
        </w:tc>
        <w:tc>
          <w:tcPr>
            <w:tcW w:w="1417" w:type="dxa"/>
            <w:vMerge w:val="continue"/>
            <w:shd w:val="clear" w:color="auto" w:fill="auto"/>
            <w:vAlign w:val="center"/>
          </w:tcPr>
          <w:p w14:paraId="5CB3B6B8">
            <w:pPr>
              <w:pStyle w:val="179"/>
            </w:pPr>
          </w:p>
        </w:tc>
        <w:tc>
          <w:tcPr>
            <w:tcW w:w="3828" w:type="dxa"/>
            <w:shd w:val="clear" w:color="auto" w:fill="auto"/>
            <w:vAlign w:val="center"/>
          </w:tcPr>
          <w:p w14:paraId="75758EE0">
            <w:pPr>
              <w:pStyle w:val="179"/>
              <w:rPr>
                <w:rFonts w:hAnsi="宋体" w:cs="Arial"/>
                <w:snapToGrid w:val="0"/>
                <w:color w:val="000000"/>
                <w:szCs w:val="18"/>
                <w:lang w:bidi="ar"/>
              </w:rPr>
            </w:pPr>
            <w:r>
              <w:rPr>
                <w:rFonts w:hint="eastAsia" w:hAnsi="宋体" w:cs="Arial"/>
                <w:snapToGrid w:val="0"/>
                <w:color w:val="000000"/>
                <w:szCs w:val="18"/>
                <w:lang w:bidi="ar"/>
              </w:rPr>
              <w:t>营养状态</w:t>
            </w:r>
          </w:p>
        </w:tc>
        <w:tc>
          <w:tcPr>
            <w:tcW w:w="1701" w:type="dxa"/>
            <w:shd w:val="clear" w:color="auto" w:fill="auto"/>
          </w:tcPr>
          <w:p w14:paraId="39F72601">
            <w:pPr>
              <w:pStyle w:val="179"/>
              <w:rPr>
                <w:rFonts w:hAnsi="宋体" w:cs="Arial"/>
                <w:snapToGrid w:val="0"/>
                <w:color w:val="000000"/>
                <w:szCs w:val="18"/>
                <w:lang w:bidi="ar"/>
              </w:rPr>
            </w:pPr>
            <w:r>
              <w:rPr>
                <w:rFonts w:hint="eastAsia" w:hAnsi="宋体" w:cs="Arial"/>
                <w:snapToGrid w:val="0"/>
                <w:color w:val="000000"/>
                <w:szCs w:val="18"/>
                <w:lang w:bidi="ar"/>
              </w:rPr>
              <w:t>必选指标</w:t>
            </w:r>
          </w:p>
        </w:tc>
        <w:tc>
          <w:tcPr>
            <w:tcW w:w="980" w:type="dxa"/>
            <w:vMerge w:val="continue"/>
            <w:shd w:val="clear" w:color="auto" w:fill="auto"/>
            <w:vAlign w:val="center"/>
          </w:tcPr>
          <w:p w14:paraId="5979CD4D">
            <w:pPr>
              <w:pStyle w:val="179"/>
            </w:pPr>
          </w:p>
        </w:tc>
      </w:tr>
      <w:tr w14:paraId="1F1A7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3532E104">
            <w:pPr>
              <w:pStyle w:val="179"/>
            </w:pPr>
          </w:p>
        </w:tc>
        <w:tc>
          <w:tcPr>
            <w:tcW w:w="1417" w:type="dxa"/>
            <w:vMerge w:val="continue"/>
            <w:shd w:val="clear" w:color="auto" w:fill="auto"/>
            <w:vAlign w:val="center"/>
          </w:tcPr>
          <w:p w14:paraId="7BEF202E">
            <w:pPr>
              <w:pStyle w:val="179"/>
            </w:pPr>
          </w:p>
        </w:tc>
        <w:tc>
          <w:tcPr>
            <w:tcW w:w="3828" w:type="dxa"/>
            <w:shd w:val="clear" w:color="auto" w:fill="auto"/>
            <w:vAlign w:val="center"/>
          </w:tcPr>
          <w:p w14:paraId="1FB27ABA">
            <w:pPr>
              <w:pStyle w:val="179"/>
              <w:rPr>
                <w:rFonts w:hAnsi="宋体" w:cs="Arial"/>
                <w:snapToGrid w:val="0"/>
                <w:color w:val="000000"/>
                <w:szCs w:val="18"/>
                <w:lang w:bidi="ar"/>
              </w:rPr>
            </w:pPr>
            <w:r>
              <w:rPr>
                <w:rFonts w:hint="eastAsia" w:hAnsi="宋体" w:cs="Arial"/>
                <w:snapToGrid w:val="0"/>
                <w:color w:val="000000"/>
                <w:szCs w:val="18"/>
                <w:lang w:bidi="ar"/>
              </w:rPr>
              <w:t>生态流量（水位）满足程度</w:t>
            </w:r>
          </w:p>
        </w:tc>
        <w:tc>
          <w:tcPr>
            <w:tcW w:w="1701" w:type="dxa"/>
            <w:shd w:val="clear" w:color="auto" w:fill="auto"/>
          </w:tcPr>
          <w:p w14:paraId="1D1AE858">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2C504958">
            <w:pPr>
              <w:pStyle w:val="179"/>
            </w:pPr>
          </w:p>
        </w:tc>
      </w:tr>
      <w:tr w14:paraId="325A7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4A6DDC1">
            <w:pPr>
              <w:pStyle w:val="179"/>
            </w:pPr>
          </w:p>
        </w:tc>
        <w:tc>
          <w:tcPr>
            <w:tcW w:w="1417" w:type="dxa"/>
            <w:vMerge w:val="continue"/>
            <w:shd w:val="clear" w:color="auto" w:fill="auto"/>
            <w:vAlign w:val="center"/>
          </w:tcPr>
          <w:p w14:paraId="209625BC">
            <w:pPr>
              <w:pStyle w:val="179"/>
            </w:pPr>
          </w:p>
        </w:tc>
        <w:tc>
          <w:tcPr>
            <w:tcW w:w="3828" w:type="dxa"/>
            <w:shd w:val="clear" w:color="auto" w:fill="auto"/>
            <w:vAlign w:val="center"/>
          </w:tcPr>
          <w:p w14:paraId="3B3250FF">
            <w:pPr>
              <w:pStyle w:val="179"/>
              <w:rPr>
                <w:rFonts w:hAnsi="宋体" w:cs="Arial"/>
                <w:snapToGrid w:val="0"/>
                <w:color w:val="000000"/>
                <w:szCs w:val="18"/>
                <w:lang w:bidi="ar"/>
              </w:rPr>
            </w:pPr>
            <w:r>
              <w:rPr>
                <w:rFonts w:hint="eastAsia" w:hAnsi="宋体" w:cs="Arial"/>
                <w:snapToGrid w:val="0"/>
                <w:color w:val="000000"/>
                <w:szCs w:val="18"/>
                <w:lang w:bidi="ar"/>
              </w:rPr>
              <w:t>地表水资源开发利用率</w:t>
            </w:r>
          </w:p>
        </w:tc>
        <w:tc>
          <w:tcPr>
            <w:tcW w:w="1701" w:type="dxa"/>
            <w:shd w:val="clear" w:color="auto" w:fill="auto"/>
          </w:tcPr>
          <w:p w14:paraId="145A2D37">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62856401">
            <w:pPr>
              <w:pStyle w:val="179"/>
            </w:pPr>
          </w:p>
        </w:tc>
      </w:tr>
      <w:tr w14:paraId="043AB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28A7074">
            <w:pPr>
              <w:pStyle w:val="179"/>
            </w:pPr>
          </w:p>
        </w:tc>
        <w:tc>
          <w:tcPr>
            <w:tcW w:w="1417" w:type="dxa"/>
            <w:vMerge w:val="continue"/>
            <w:shd w:val="clear" w:color="auto" w:fill="auto"/>
            <w:vAlign w:val="center"/>
          </w:tcPr>
          <w:p w14:paraId="2408ED08">
            <w:pPr>
              <w:pStyle w:val="179"/>
            </w:pPr>
          </w:p>
        </w:tc>
        <w:tc>
          <w:tcPr>
            <w:tcW w:w="3828" w:type="dxa"/>
            <w:shd w:val="clear" w:color="auto" w:fill="auto"/>
            <w:vAlign w:val="center"/>
          </w:tcPr>
          <w:p w14:paraId="057A0C0C">
            <w:pPr>
              <w:pStyle w:val="179"/>
              <w:rPr>
                <w:rFonts w:hAnsi="宋体" w:cs="Arial"/>
                <w:snapToGrid w:val="0"/>
                <w:color w:val="000000"/>
                <w:szCs w:val="18"/>
                <w:lang w:bidi="ar"/>
              </w:rPr>
            </w:pPr>
            <w:r>
              <w:rPr>
                <w:rFonts w:hint="eastAsia" w:hAnsi="宋体" w:cs="Arial"/>
                <w:snapToGrid w:val="0"/>
                <w:color w:val="000000"/>
                <w:szCs w:val="18"/>
                <w:lang w:bidi="ar"/>
              </w:rPr>
              <w:t>底泥污染状况</w:t>
            </w:r>
          </w:p>
        </w:tc>
        <w:tc>
          <w:tcPr>
            <w:tcW w:w="1701" w:type="dxa"/>
            <w:shd w:val="clear" w:color="auto" w:fill="auto"/>
          </w:tcPr>
          <w:p w14:paraId="362CEE6B">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74C35257">
            <w:pPr>
              <w:pStyle w:val="179"/>
            </w:pPr>
          </w:p>
        </w:tc>
      </w:tr>
      <w:tr w14:paraId="67D59F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A2718E1">
            <w:pPr>
              <w:pStyle w:val="179"/>
            </w:pPr>
          </w:p>
        </w:tc>
        <w:tc>
          <w:tcPr>
            <w:tcW w:w="1417" w:type="dxa"/>
            <w:vMerge w:val="continue"/>
            <w:shd w:val="clear" w:color="auto" w:fill="auto"/>
            <w:vAlign w:val="center"/>
          </w:tcPr>
          <w:p w14:paraId="28F25E99">
            <w:pPr>
              <w:pStyle w:val="179"/>
            </w:pPr>
          </w:p>
        </w:tc>
        <w:tc>
          <w:tcPr>
            <w:tcW w:w="3828" w:type="dxa"/>
            <w:shd w:val="clear" w:color="auto" w:fill="auto"/>
            <w:vAlign w:val="center"/>
          </w:tcPr>
          <w:p w14:paraId="7523D01F">
            <w:pPr>
              <w:pStyle w:val="179"/>
              <w:rPr>
                <w:rFonts w:hAnsi="宋体" w:cs="Arial"/>
                <w:snapToGrid w:val="0"/>
                <w:color w:val="000000"/>
                <w:szCs w:val="18"/>
                <w:lang w:bidi="ar"/>
              </w:rPr>
            </w:pPr>
            <w:r>
              <w:rPr>
                <w:rFonts w:hint="eastAsia" w:hAnsi="宋体" w:cs="Arial"/>
                <w:snapToGrid w:val="0"/>
                <w:color w:val="000000"/>
                <w:szCs w:val="18"/>
                <w:lang w:bidi="ar"/>
              </w:rPr>
              <w:t>水体清澈程度</w:t>
            </w:r>
          </w:p>
        </w:tc>
        <w:tc>
          <w:tcPr>
            <w:tcW w:w="1701" w:type="dxa"/>
            <w:shd w:val="clear" w:color="auto" w:fill="auto"/>
          </w:tcPr>
          <w:p w14:paraId="79F42C78">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275AF780">
            <w:pPr>
              <w:pStyle w:val="179"/>
            </w:pPr>
          </w:p>
        </w:tc>
      </w:tr>
      <w:tr w14:paraId="138876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5C1C6924">
            <w:pPr>
              <w:pStyle w:val="179"/>
            </w:pPr>
          </w:p>
        </w:tc>
        <w:tc>
          <w:tcPr>
            <w:tcW w:w="1417" w:type="dxa"/>
            <w:vMerge w:val="continue"/>
            <w:shd w:val="clear" w:color="auto" w:fill="auto"/>
            <w:vAlign w:val="center"/>
          </w:tcPr>
          <w:p w14:paraId="48FA65CA">
            <w:pPr>
              <w:pStyle w:val="179"/>
            </w:pPr>
          </w:p>
        </w:tc>
        <w:tc>
          <w:tcPr>
            <w:tcW w:w="3828" w:type="dxa"/>
            <w:shd w:val="clear" w:color="auto" w:fill="auto"/>
            <w:vAlign w:val="center"/>
          </w:tcPr>
          <w:p w14:paraId="491FDCCF">
            <w:pPr>
              <w:pStyle w:val="179"/>
              <w:rPr>
                <w:rFonts w:hAnsi="宋体" w:cs="Arial"/>
                <w:snapToGrid w:val="0"/>
                <w:color w:val="000000"/>
                <w:szCs w:val="18"/>
                <w:lang w:bidi="ar"/>
              </w:rPr>
            </w:pPr>
            <w:r>
              <w:rPr>
                <w:rFonts w:hint="eastAsia" w:hAnsi="宋体" w:cs="Arial"/>
                <w:snapToGrid w:val="0"/>
                <w:color w:val="000000"/>
                <w:szCs w:val="18"/>
                <w:lang w:bidi="ar"/>
              </w:rPr>
              <w:t>水体自净能力</w:t>
            </w:r>
          </w:p>
        </w:tc>
        <w:tc>
          <w:tcPr>
            <w:tcW w:w="1701" w:type="dxa"/>
            <w:shd w:val="clear" w:color="auto" w:fill="auto"/>
          </w:tcPr>
          <w:p w14:paraId="6666D6A6">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12459C43">
            <w:pPr>
              <w:pStyle w:val="179"/>
            </w:pPr>
          </w:p>
        </w:tc>
      </w:tr>
      <w:tr w14:paraId="11991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75419239">
            <w:pPr>
              <w:pStyle w:val="179"/>
            </w:pPr>
          </w:p>
        </w:tc>
        <w:tc>
          <w:tcPr>
            <w:tcW w:w="1417" w:type="dxa"/>
            <w:vMerge w:val="restart"/>
            <w:shd w:val="clear" w:color="auto" w:fill="auto"/>
            <w:vAlign w:val="center"/>
          </w:tcPr>
          <w:p w14:paraId="6F937E0E">
            <w:pPr>
              <w:pStyle w:val="179"/>
            </w:pPr>
            <w:r>
              <w:rPr>
                <w:rFonts w:hint="eastAsia"/>
              </w:rPr>
              <w:t>水生生物</w:t>
            </w:r>
          </w:p>
        </w:tc>
        <w:tc>
          <w:tcPr>
            <w:tcW w:w="3828" w:type="dxa"/>
            <w:shd w:val="clear" w:color="auto" w:fill="auto"/>
            <w:vAlign w:val="center"/>
          </w:tcPr>
          <w:p w14:paraId="0857C7EA">
            <w:pPr>
              <w:pStyle w:val="179"/>
              <w:rPr>
                <w:rFonts w:hAnsi="宋体" w:cs="Arial"/>
                <w:snapToGrid w:val="0"/>
                <w:color w:val="000000"/>
                <w:szCs w:val="18"/>
                <w:lang w:bidi="ar"/>
              </w:rPr>
            </w:pPr>
            <w:r>
              <w:rPr>
                <w:rFonts w:hint="eastAsia" w:hAnsi="宋体" w:cs="Arial"/>
                <w:snapToGrid w:val="0"/>
                <w:color w:val="000000"/>
                <w:szCs w:val="18"/>
                <w:lang w:bidi="ar"/>
              </w:rPr>
              <w:t>鱼类状况</w:t>
            </w:r>
          </w:p>
        </w:tc>
        <w:tc>
          <w:tcPr>
            <w:tcW w:w="1701" w:type="dxa"/>
            <w:shd w:val="clear" w:color="auto" w:fill="auto"/>
          </w:tcPr>
          <w:p w14:paraId="2A9D13FB">
            <w:pPr>
              <w:pStyle w:val="179"/>
              <w:rPr>
                <w:rFonts w:hAnsi="宋体" w:cs="Arial"/>
                <w:snapToGrid w:val="0"/>
                <w:color w:val="000000"/>
                <w:szCs w:val="18"/>
                <w:lang w:bidi="ar"/>
              </w:rPr>
            </w:pPr>
            <w:r>
              <w:rPr>
                <w:rFonts w:hAnsi="宋体" w:cs="Arial"/>
                <w:snapToGrid w:val="0"/>
                <w:color w:val="000000"/>
                <w:szCs w:val="18"/>
                <w:lang w:bidi="ar"/>
              </w:rPr>
              <w:t>必选指标</w:t>
            </w:r>
          </w:p>
        </w:tc>
        <w:tc>
          <w:tcPr>
            <w:tcW w:w="980" w:type="dxa"/>
            <w:vMerge w:val="restart"/>
            <w:shd w:val="clear" w:color="auto" w:fill="auto"/>
            <w:vAlign w:val="center"/>
          </w:tcPr>
          <w:p w14:paraId="671451F5">
            <w:pPr>
              <w:pStyle w:val="179"/>
            </w:pPr>
            <w:r>
              <w:rPr>
                <w:rFonts w:hint="eastAsia"/>
              </w:rPr>
              <w:t>0.2</w:t>
            </w:r>
          </w:p>
        </w:tc>
      </w:tr>
      <w:tr w14:paraId="3850D1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386E3530">
            <w:pPr>
              <w:pStyle w:val="179"/>
            </w:pPr>
          </w:p>
        </w:tc>
        <w:tc>
          <w:tcPr>
            <w:tcW w:w="1417" w:type="dxa"/>
            <w:vMerge w:val="continue"/>
            <w:shd w:val="clear" w:color="auto" w:fill="auto"/>
            <w:vAlign w:val="center"/>
          </w:tcPr>
          <w:p w14:paraId="76FB5112">
            <w:pPr>
              <w:pStyle w:val="179"/>
            </w:pPr>
          </w:p>
        </w:tc>
        <w:tc>
          <w:tcPr>
            <w:tcW w:w="3828" w:type="dxa"/>
            <w:shd w:val="clear" w:color="auto" w:fill="auto"/>
            <w:vAlign w:val="center"/>
          </w:tcPr>
          <w:p w14:paraId="22620931">
            <w:pPr>
              <w:pStyle w:val="179"/>
              <w:rPr>
                <w:rFonts w:hAnsi="宋体" w:cs="Arial"/>
                <w:snapToGrid w:val="0"/>
                <w:color w:val="000000"/>
                <w:szCs w:val="18"/>
                <w:lang w:bidi="ar"/>
              </w:rPr>
            </w:pPr>
            <w:r>
              <w:rPr>
                <w:rFonts w:hint="eastAsia" w:hAnsi="宋体" w:cs="Arial"/>
                <w:snapToGrid w:val="0"/>
                <w:color w:val="000000"/>
                <w:szCs w:val="18"/>
                <w:lang w:bidi="ar"/>
              </w:rPr>
              <w:t>浮游植物密度</w:t>
            </w:r>
          </w:p>
        </w:tc>
        <w:tc>
          <w:tcPr>
            <w:tcW w:w="1701" w:type="dxa"/>
            <w:shd w:val="clear" w:color="auto" w:fill="auto"/>
          </w:tcPr>
          <w:p w14:paraId="260754C6">
            <w:pPr>
              <w:pStyle w:val="179"/>
              <w:rPr>
                <w:rFonts w:hAnsi="宋体" w:cs="Arial"/>
                <w:snapToGrid w:val="0"/>
                <w:color w:val="000000"/>
                <w:szCs w:val="18"/>
                <w:lang w:bidi="ar"/>
              </w:rPr>
            </w:pPr>
            <w:r>
              <w:rPr>
                <w:rFonts w:hint="eastAsia" w:hAnsi="宋体" w:cs="Arial"/>
                <w:snapToGrid w:val="0"/>
                <w:color w:val="000000"/>
                <w:szCs w:val="18"/>
                <w:lang w:bidi="ar"/>
              </w:rPr>
              <w:t>必选指标</w:t>
            </w:r>
          </w:p>
        </w:tc>
        <w:tc>
          <w:tcPr>
            <w:tcW w:w="980" w:type="dxa"/>
            <w:vMerge w:val="continue"/>
            <w:shd w:val="clear" w:color="auto" w:fill="auto"/>
            <w:vAlign w:val="center"/>
          </w:tcPr>
          <w:p w14:paraId="024BFDB6">
            <w:pPr>
              <w:pStyle w:val="179"/>
            </w:pPr>
          </w:p>
        </w:tc>
      </w:tr>
      <w:tr w14:paraId="1CFDB5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408" w:type="dxa"/>
            <w:vMerge w:val="continue"/>
            <w:shd w:val="clear" w:color="auto" w:fill="auto"/>
            <w:vAlign w:val="center"/>
          </w:tcPr>
          <w:p w14:paraId="0F711129">
            <w:pPr>
              <w:pStyle w:val="179"/>
            </w:pPr>
          </w:p>
        </w:tc>
        <w:tc>
          <w:tcPr>
            <w:tcW w:w="1417" w:type="dxa"/>
            <w:vMerge w:val="continue"/>
            <w:shd w:val="clear" w:color="auto" w:fill="auto"/>
            <w:vAlign w:val="center"/>
          </w:tcPr>
          <w:p w14:paraId="7FABFACD">
            <w:pPr>
              <w:pStyle w:val="179"/>
            </w:pPr>
          </w:p>
        </w:tc>
        <w:tc>
          <w:tcPr>
            <w:tcW w:w="3828" w:type="dxa"/>
            <w:shd w:val="clear" w:color="auto" w:fill="auto"/>
            <w:vAlign w:val="center"/>
          </w:tcPr>
          <w:p w14:paraId="03C1916C">
            <w:pPr>
              <w:pStyle w:val="179"/>
              <w:rPr>
                <w:rFonts w:hAnsi="宋体" w:cs="Arial"/>
                <w:snapToGrid w:val="0"/>
                <w:color w:val="000000"/>
                <w:szCs w:val="18"/>
                <w:lang w:bidi="ar"/>
              </w:rPr>
            </w:pPr>
            <w:r>
              <w:rPr>
                <w:rFonts w:hint="eastAsia" w:hAnsi="宋体" w:cs="Arial"/>
                <w:snapToGrid w:val="0"/>
                <w:color w:val="000000"/>
                <w:szCs w:val="18"/>
                <w:lang w:bidi="ar"/>
              </w:rPr>
              <w:t>大型底栖无脊椎动物状况</w:t>
            </w:r>
          </w:p>
        </w:tc>
        <w:tc>
          <w:tcPr>
            <w:tcW w:w="1701" w:type="dxa"/>
            <w:shd w:val="clear" w:color="auto" w:fill="auto"/>
          </w:tcPr>
          <w:p w14:paraId="33F494F5">
            <w:pPr>
              <w:pStyle w:val="179"/>
              <w:rPr>
                <w:rFonts w:hAnsi="宋体" w:cs="Arial"/>
                <w:snapToGrid w:val="0"/>
                <w:color w:val="000000"/>
                <w:szCs w:val="18"/>
                <w:lang w:bidi="ar"/>
              </w:rPr>
            </w:pPr>
            <w:r>
              <w:rPr>
                <w:rFonts w:hint="eastAsia" w:hAnsi="宋体" w:cs="Arial"/>
                <w:snapToGrid w:val="0"/>
                <w:color w:val="000000"/>
                <w:szCs w:val="18"/>
                <w:lang w:bidi="ar"/>
              </w:rPr>
              <w:t>必选指标</w:t>
            </w:r>
          </w:p>
        </w:tc>
        <w:tc>
          <w:tcPr>
            <w:tcW w:w="980" w:type="dxa"/>
            <w:vMerge w:val="continue"/>
            <w:shd w:val="clear" w:color="auto" w:fill="auto"/>
            <w:vAlign w:val="center"/>
          </w:tcPr>
          <w:p w14:paraId="490341BC">
            <w:pPr>
              <w:pStyle w:val="179"/>
            </w:pPr>
          </w:p>
        </w:tc>
      </w:tr>
      <w:tr w14:paraId="1DC78B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4C1A2859">
            <w:pPr>
              <w:pStyle w:val="179"/>
            </w:pPr>
          </w:p>
        </w:tc>
        <w:tc>
          <w:tcPr>
            <w:tcW w:w="1417" w:type="dxa"/>
            <w:vMerge w:val="continue"/>
            <w:shd w:val="clear" w:color="auto" w:fill="auto"/>
            <w:vAlign w:val="center"/>
          </w:tcPr>
          <w:p w14:paraId="228AC01E">
            <w:pPr>
              <w:pStyle w:val="179"/>
            </w:pPr>
          </w:p>
        </w:tc>
        <w:tc>
          <w:tcPr>
            <w:tcW w:w="3828" w:type="dxa"/>
            <w:shd w:val="clear" w:color="auto" w:fill="auto"/>
            <w:vAlign w:val="center"/>
          </w:tcPr>
          <w:p w14:paraId="3FF8F3F3">
            <w:pPr>
              <w:pStyle w:val="179"/>
              <w:rPr>
                <w:rFonts w:hAnsi="宋体" w:cs="Arial"/>
                <w:snapToGrid w:val="0"/>
                <w:color w:val="000000"/>
                <w:szCs w:val="18"/>
                <w:lang w:bidi="ar"/>
              </w:rPr>
            </w:pPr>
            <w:r>
              <w:rPr>
                <w:rFonts w:hint="eastAsia" w:hAnsi="宋体" w:cs="Arial"/>
                <w:snapToGrid w:val="0"/>
                <w:color w:val="000000"/>
                <w:szCs w:val="18"/>
                <w:lang w:bidi="ar"/>
              </w:rPr>
              <w:t>外来物种入侵状况</w:t>
            </w:r>
          </w:p>
        </w:tc>
        <w:tc>
          <w:tcPr>
            <w:tcW w:w="1701" w:type="dxa"/>
            <w:shd w:val="clear" w:color="auto" w:fill="auto"/>
          </w:tcPr>
          <w:p w14:paraId="4CB37BD5">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1CA269F5">
            <w:pPr>
              <w:pStyle w:val="179"/>
            </w:pPr>
          </w:p>
        </w:tc>
      </w:tr>
      <w:tr w14:paraId="1A4A47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0B4879D3">
            <w:pPr>
              <w:pStyle w:val="179"/>
            </w:pPr>
          </w:p>
        </w:tc>
        <w:tc>
          <w:tcPr>
            <w:tcW w:w="1417" w:type="dxa"/>
            <w:vMerge w:val="continue"/>
            <w:shd w:val="clear" w:color="auto" w:fill="auto"/>
            <w:vAlign w:val="center"/>
          </w:tcPr>
          <w:p w14:paraId="767654E9">
            <w:pPr>
              <w:pStyle w:val="179"/>
            </w:pPr>
          </w:p>
        </w:tc>
        <w:tc>
          <w:tcPr>
            <w:tcW w:w="3828" w:type="dxa"/>
            <w:shd w:val="clear" w:color="auto" w:fill="auto"/>
            <w:vAlign w:val="center"/>
          </w:tcPr>
          <w:p w14:paraId="34A476DD">
            <w:pPr>
              <w:pStyle w:val="179"/>
              <w:rPr>
                <w:rFonts w:hAnsi="宋体" w:cs="Arial"/>
                <w:snapToGrid w:val="0"/>
                <w:color w:val="000000"/>
                <w:szCs w:val="18"/>
                <w:lang w:bidi="ar"/>
              </w:rPr>
            </w:pPr>
            <w:bookmarkStart w:id="49" w:name="_Hlk242776281"/>
            <w:r>
              <w:rPr>
                <w:rFonts w:hint="eastAsia" w:hAnsi="宋体" w:cs="Arial"/>
                <w:snapToGrid w:val="0"/>
                <w:color w:val="000000"/>
                <w:szCs w:val="18"/>
                <w:lang w:bidi="ar"/>
              </w:rPr>
              <w:t>水生维管植物覆盖度</w:t>
            </w:r>
            <w:bookmarkEnd w:id="49"/>
          </w:p>
        </w:tc>
        <w:tc>
          <w:tcPr>
            <w:tcW w:w="1701" w:type="dxa"/>
            <w:shd w:val="clear" w:color="auto" w:fill="auto"/>
          </w:tcPr>
          <w:p w14:paraId="2470DED1">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1920CC4C">
            <w:pPr>
              <w:pStyle w:val="179"/>
            </w:pPr>
          </w:p>
        </w:tc>
      </w:tr>
      <w:tr w14:paraId="68E76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E9EC1BF">
            <w:pPr>
              <w:pStyle w:val="179"/>
            </w:pPr>
          </w:p>
        </w:tc>
        <w:tc>
          <w:tcPr>
            <w:tcW w:w="1417" w:type="dxa"/>
            <w:vMerge w:val="continue"/>
            <w:shd w:val="clear" w:color="auto" w:fill="auto"/>
            <w:vAlign w:val="center"/>
          </w:tcPr>
          <w:p w14:paraId="1B7B95A1">
            <w:pPr>
              <w:pStyle w:val="179"/>
            </w:pPr>
          </w:p>
        </w:tc>
        <w:tc>
          <w:tcPr>
            <w:tcW w:w="3828" w:type="dxa"/>
            <w:shd w:val="clear" w:color="auto" w:fill="auto"/>
            <w:vAlign w:val="center"/>
          </w:tcPr>
          <w:p w14:paraId="6F2801C6">
            <w:pPr>
              <w:pStyle w:val="179"/>
              <w:rPr>
                <w:rFonts w:hAnsi="宋体" w:cs="Arial"/>
                <w:snapToGrid w:val="0"/>
                <w:color w:val="000000"/>
                <w:szCs w:val="18"/>
                <w:lang w:bidi="ar"/>
              </w:rPr>
            </w:pPr>
            <w:r>
              <w:rPr>
                <w:rFonts w:hint="eastAsia" w:hAnsi="宋体" w:cs="Arial"/>
                <w:snapToGrid w:val="0"/>
                <w:color w:val="000000"/>
                <w:szCs w:val="18"/>
                <w:lang w:bidi="ar"/>
              </w:rPr>
              <w:t>水鸟多样性指数</w:t>
            </w:r>
          </w:p>
        </w:tc>
        <w:tc>
          <w:tcPr>
            <w:tcW w:w="1701" w:type="dxa"/>
            <w:shd w:val="clear" w:color="auto" w:fill="auto"/>
          </w:tcPr>
          <w:p w14:paraId="6CD90349">
            <w:pPr>
              <w:pStyle w:val="179"/>
              <w:rPr>
                <w:rFonts w:hAnsi="宋体" w:cs="Arial"/>
                <w:snapToGrid w:val="0"/>
                <w:color w:val="000000"/>
                <w:szCs w:val="18"/>
                <w:lang w:bidi="ar"/>
              </w:rPr>
            </w:pPr>
            <w:r>
              <w:rPr>
                <w:rFonts w:hint="eastAsia" w:hAnsi="宋体" w:cs="Arial"/>
                <w:snapToGrid w:val="0"/>
                <w:color w:val="000000"/>
                <w:szCs w:val="18"/>
                <w:lang w:bidi="ar"/>
              </w:rPr>
              <w:t>备选指标</w:t>
            </w:r>
          </w:p>
        </w:tc>
        <w:tc>
          <w:tcPr>
            <w:tcW w:w="980" w:type="dxa"/>
            <w:vMerge w:val="continue"/>
            <w:shd w:val="clear" w:color="auto" w:fill="auto"/>
            <w:vAlign w:val="center"/>
          </w:tcPr>
          <w:p w14:paraId="5C5FF92F">
            <w:pPr>
              <w:pStyle w:val="179"/>
            </w:pPr>
          </w:p>
        </w:tc>
      </w:tr>
      <w:tr w14:paraId="26E69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119BD337">
            <w:pPr>
              <w:pStyle w:val="179"/>
            </w:pPr>
          </w:p>
        </w:tc>
        <w:tc>
          <w:tcPr>
            <w:tcW w:w="1417" w:type="dxa"/>
            <w:vMerge w:val="continue"/>
            <w:shd w:val="clear" w:color="auto" w:fill="auto"/>
            <w:vAlign w:val="center"/>
          </w:tcPr>
          <w:p w14:paraId="22028CC5">
            <w:pPr>
              <w:pStyle w:val="179"/>
            </w:pPr>
          </w:p>
        </w:tc>
        <w:tc>
          <w:tcPr>
            <w:tcW w:w="3828" w:type="dxa"/>
            <w:shd w:val="clear" w:color="auto" w:fill="auto"/>
            <w:vAlign w:val="center"/>
          </w:tcPr>
          <w:p w14:paraId="56DF2659">
            <w:pPr>
              <w:pStyle w:val="179"/>
              <w:rPr>
                <w:rFonts w:hAnsi="宋体" w:cs="Arial"/>
                <w:snapToGrid w:val="0"/>
                <w:color w:val="000000"/>
                <w:szCs w:val="18"/>
                <w:lang w:bidi="ar"/>
              </w:rPr>
            </w:pPr>
            <w:r>
              <w:rPr>
                <w:rFonts w:hint="eastAsia" w:hAnsi="宋体" w:cs="Arial"/>
                <w:snapToGrid w:val="0"/>
                <w:color w:val="000000"/>
                <w:szCs w:val="18"/>
                <w:lang w:bidi="ar"/>
              </w:rPr>
              <w:t>浮游动物状况</w:t>
            </w:r>
          </w:p>
        </w:tc>
        <w:tc>
          <w:tcPr>
            <w:tcW w:w="1701" w:type="dxa"/>
            <w:shd w:val="clear" w:color="auto" w:fill="auto"/>
          </w:tcPr>
          <w:p w14:paraId="49CF1ACB">
            <w:pPr>
              <w:pStyle w:val="179"/>
              <w:rPr>
                <w:rFonts w:hAnsi="宋体" w:cs="Arial"/>
                <w:snapToGrid w:val="0"/>
                <w:color w:val="000000"/>
                <w:szCs w:val="18"/>
                <w:lang w:bidi="ar"/>
              </w:rPr>
            </w:pPr>
            <w:r>
              <w:rPr>
                <w:rFonts w:hint="eastAsia" w:hAnsi="宋体" w:cs="Arial"/>
                <w:snapToGrid w:val="0"/>
                <w:color w:val="000000"/>
                <w:szCs w:val="18"/>
                <w:lang w:bidi="ar"/>
              </w:rPr>
              <w:t>备选指标</w:t>
            </w:r>
          </w:p>
        </w:tc>
        <w:tc>
          <w:tcPr>
            <w:tcW w:w="980" w:type="dxa"/>
            <w:vMerge w:val="continue"/>
            <w:shd w:val="clear" w:color="auto" w:fill="auto"/>
            <w:vAlign w:val="center"/>
          </w:tcPr>
          <w:p w14:paraId="2943BE41">
            <w:pPr>
              <w:pStyle w:val="179"/>
            </w:pPr>
          </w:p>
        </w:tc>
      </w:tr>
      <w:tr w14:paraId="0EE4F5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77EE3FEA">
            <w:pPr>
              <w:pStyle w:val="179"/>
            </w:pPr>
          </w:p>
        </w:tc>
        <w:tc>
          <w:tcPr>
            <w:tcW w:w="1417" w:type="dxa"/>
            <w:vMerge w:val="restart"/>
            <w:shd w:val="clear" w:color="auto" w:fill="auto"/>
            <w:vAlign w:val="center"/>
          </w:tcPr>
          <w:p w14:paraId="0A16E394">
            <w:pPr>
              <w:pStyle w:val="179"/>
            </w:pPr>
            <w:r>
              <w:rPr>
                <w:rFonts w:hint="eastAsia"/>
              </w:rPr>
              <w:t>社会服务</w:t>
            </w:r>
          </w:p>
        </w:tc>
        <w:tc>
          <w:tcPr>
            <w:tcW w:w="3828" w:type="dxa"/>
            <w:shd w:val="clear" w:color="auto" w:fill="auto"/>
            <w:vAlign w:val="center"/>
          </w:tcPr>
          <w:p w14:paraId="2B256A13">
            <w:pPr>
              <w:pStyle w:val="179"/>
              <w:rPr>
                <w:rFonts w:hAnsi="宋体" w:cs="Arial"/>
                <w:snapToGrid w:val="0"/>
                <w:color w:val="000000"/>
                <w:szCs w:val="18"/>
                <w:lang w:bidi="ar"/>
              </w:rPr>
            </w:pPr>
            <w:r>
              <w:rPr>
                <w:rFonts w:hint="eastAsia" w:hAnsi="宋体" w:cs="Arial"/>
                <w:snapToGrid w:val="0"/>
                <w:color w:val="000000"/>
                <w:szCs w:val="18"/>
                <w:lang w:bidi="ar"/>
              </w:rPr>
              <w:t>公众满意度</w:t>
            </w:r>
          </w:p>
        </w:tc>
        <w:tc>
          <w:tcPr>
            <w:tcW w:w="1701" w:type="dxa"/>
            <w:shd w:val="clear" w:color="auto" w:fill="auto"/>
          </w:tcPr>
          <w:p w14:paraId="5563356A">
            <w:pPr>
              <w:pStyle w:val="179"/>
              <w:rPr>
                <w:rFonts w:hAnsi="宋体" w:cs="Arial"/>
                <w:snapToGrid w:val="0"/>
                <w:color w:val="000000"/>
                <w:szCs w:val="18"/>
                <w:lang w:bidi="ar"/>
              </w:rPr>
            </w:pPr>
            <w:r>
              <w:rPr>
                <w:rFonts w:hAnsi="宋体" w:cs="Arial"/>
                <w:snapToGrid w:val="0"/>
                <w:color w:val="000000"/>
                <w:szCs w:val="18"/>
                <w:lang w:bidi="ar"/>
              </w:rPr>
              <w:t>必选指标</w:t>
            </w:r>
          </w:p>
        </w:tc>
        <w:tc>
          <w:tcPr>
            <w:tcW w:w="980" w:type="dxa"/>
            <w:vMerge w:val="restart"/>
            <w:shd w:val="clear" w:color="auto" w:fill="auto"/>
            <w:vAlign w:val="center"/>
          </w:tcPr>
          <w:p w14:paraId="5A050D88">
            <w:pPr>
              <w:pStyle w:val="179"/>
            </w:pPr>
            <w:r>
              <w:rPr>
                <w:rFonts w:hint="eastAsia"/>
              </w:rPr>
              <w:t>0.2</w:t>
            </w:r>
          </w:p>
        </w:tc>
      </w:tr>
      <w:tr w14:paraId="71569D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009A8524">
            <w:pPr>
              <w:pStyle w:val="179"/>
            </w:pPr>
          </w:p>
        </w:tc>
        <w:tc>
          <w:tcPr>
            <w:tcW w:w="1417" w:type="dxa"/>
            <w:vMerge w:val="continue"/>
            <w:shd w:val="clear" w:color="auto" w:fill="auto"/>
            <w:vAlign w:val="center"/>
          </w:tcPr>
          <w:p w14:paraId="42F26223">
            <w:pPr>
              <w:pStyle w:val="179"/>
            </w:pPr>
          </w:p>
        </w:tc>
        <w:tc>
          <w:tcPr>
            <w:tcW w:w="3828" w:type="dxa"/>
            <w:shd w:val="clear" w:color="auto" w:fill="auto"/>
            <w:vAlign w:val="center"/>
          </w:tcPr>
          <w:p w14:paraId="67ABAB0F">
            <w:pPr>
              <w:pStyle w:val="179"/>
              <w:rPr>
                <w:rFonts w:hAnsi="宋体" w:cs="Arial"/>
                <w:snapToGrid w:val="0"/>
                <w:color w:val="000000"/>
                <w:szCs w:val="18"/>
                <w:lang w:bidi="ar"/>
              </w:rPr>
            </w:pPr>
            <w:r>
              <w:rPr>
                <w:rFonts w:hint="eastAsia" w:hAnsi="宋体" w:cs="Arial"/>
                <w:snapToGrid w:val="0"/>
                <w:color w:val="000000"/>
                <w:szCs w:val="18"/>
                <w:lang w:bidi="ar"/>
              </w:rPr>
              <w:t>防洪（汛）达标率</w:t>
            </w:r>
          </w:p>
        </w:tc>
        <w:tc>
          <w:tcPr>
            <w:tcW w:w="1701" w:type="dxa"/>
            <w:shd w:val="clear" w:color="auto" w:fill="auto"/>
          </w:tcPr>
          <w:p w14:paraId="3FCE5BA8">
            <w:pPr>
              <w:pStyle w:val="179"/>
              <w:rPr>
                <w:rFonts w:hAnsi="宋体" w:cs="Arial"/>
                <w:snapToGrid w:val="0"/>
                <w:color w:val="000000"/>
                <w:szCs w:val="18"/>
                <w:lang w:bidi="ar"/>
              </w:rPr>
            </w:pPr>
            <w:r>
              <w:rPr>
                <w:rFonts w:hint="eastAsia" w:hAnsi="宋体" w:cs="Arial"/>
                <w:snapToGrid w:val="0"/>
                <w:color w:val="000000"/>
                <w:szCs w:val="18"/>
                <w:lang w:bidi="ar"/>
              </w:rPr>
              <w:t>必选指标</w:t>
            </w:r>
          </w:p>
        </w:tc>
        <w:tc>
          <w:tcPr>
            <w:tcW w:w="980" w:type="dxa"/>
            <w:vMerge w:val="continue"/>
            <w:shd w:val="clear" w:color="auto" w:fill="auto"/>
            <w:vAlign w:val="center"/>
          </w:tcPr>
          <w:p w14:paraId="6A9F0383">
            <w:pPr>
              <w:pStyle w:val="179"/>
            </w:pPr>
          </w:p>
        </w:tc>
      </w:tr>
      <w:tr w14:paraId="013C4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22E004C1">
            <w:pPr>
              <w:pStyle w:val="179"/>
            </w:pPr>
          </w:p>
        </w:tc>
        <w:tc>
          <w:tcPr>
            <w:tcW w:w="1417" w:type="dxa"/>
            <w:vMerge w:val="continue"/>
            <w:shd w:val="clear" w:color="auto" w:fill="auto"/>
            <w:vAlign w:val="center"/>
          </w:tcPr>
          <w:p w14:paraId="07231F48">
            <w:pPr>
              <w:pStyle w:val="179"/>
            </w:pPr>
          </w:p>
        </w:tc>
        <w:tc>
          <w:tcPr>
            <w:tcW w:w="3828" w:type="dxa"/>
            <w:shd w:val="clear" w:color="auto" w:fill="auto"/>
            <w:vAlign w:val="center"/>
          </w:tcPr>
          <w:p w14:paraId="6973C55A">
            <w:pPr>
              <w:pStyle w:val="179"/>
              <w:rPr>
                <w:rFonts w:hAnsi="宋体" w:cs="Arial"/>
                <w:snapToGrid w:val="0"/>
                <w:color w:val="000000"/>
                <w:szCs w:val="18"/>
                <w:lang w:bidi="ar"/>
              </w:rPr>
            </w:pPr>
            <w:r>
              <w:rPr>
                <w:rFonts w:hint="eastAsia" w:hAnsi="宋体" w:cs="Arial"/>
                <w:snapToGrid w:val="0"/>
                <w:color w:val="000000"/>
                <w:szCs w:val="18"/>
                <w:lang w:bidi="ar"/>
              </w:rPr>
              <w:t>岸线贯通程度</w:t>
            </w:r>
          </w:p>
        </w:tc>
        <w:tc>
          <w:tcPr>
            <w:tcW w:w="1701" w:type="dxa"/>
            <w:shd w:val="clear" w:color="auto" w:fill="auto"/>
          </w:tcPr>
          <w:p w14:paraId="1966F061">
            <w:pPr>
              <w:pStyle w:val="179"/>
              <w:rPr>
                <w:rFonts w:hAnsi="宋体" w:cs="Arial"/>
                <w:snapToGrid w:val="0"/>
                <w:color w:val="000000"/>
                <w:szCs w:val="18"/>
                <w:lang w:bidi="ar"/>
              </w:rPr>
            </w:pPr>
            <w:r>
              <w:rPr>
                <w:rFonts w:hint="eastAsia" w:hAnsi="宋体" w:cs="Arial"/>
                <w:snapToGrid w:val="0"/>
                <w:color w:val="000000"/>
                <w:szCs w:val="18"/>
                <w:lang w:bidi="ar"/>
              </w:rPr>
              <w:t>特色指标</w:t>
            </w:r>
          </w:p>
        </w:tc>
        <w:tc>
          <w:tcPr>
            <w:tcW w:w="980" w:type="dxa"/>
            <w:vMerge w:val="continue"/>
            <w:shd w:val="clear" w:color="auto" w:fill="auto"/>
            <w:vAlign w:val="center"/>
          </w:tcPr>
          <w:p w14:paraId="1D20752F">
            <w:pPr>
              <w:pStyle w:val="179"/>
            </w:pPr>
          </w:p>
        </w:tc>
      </w:tr>
      <w:tr w14:paraId="3E8535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012AC135">
            <w:pPr>
              <w:pStyle w:val="179"/>
            </w:pPr>
          </w:p>
        </w:tc>
        <w:tc>
          <w:tcPr>
            <w:tcW w:w="1417" w:type="dxa"/>
            <w:vMerge w:val="continue"/>
            <w:shd w:val="clear" w:color="auto" w:fill="auto"/>
            <w:vAlign w:val="center"/>
          </w:tcPr>
          <w:p w14:paraId="6042BA16">
            <w:pPr>
              <w:pStyle w:val="179"/>
            </w:pPr>
          </w:p>
        </w:tc>
        <w:tc>
          <w:tcPr>
            <w:tcW w:w="3828" w:type="dxa"/>
            <w:shd w:val="clear" w:color="auto" w:fill="auto"/>
            <w:vAlign w:val="center"/>
          </w:tcPr>
          <w:p w14:paraId="7AE9CD4B">
            <w:pPr>
              <w:pStyle w:val="179"/>
              <w:rPr>
                <w:rFonts w:hAnsi="宋体" w:cs="Arial"/>
                <w:snapToGrid w:val="0"/>
                <w:color w:val="000000"/>
                <w:szCs w:val="18"/>
                <w:lang w:bidi="ar"/>
              </w:rPr>
            </w:pPr>
            <w:r>
              <w:rPr>
                <w:rFonts w:hint="eastAsia" w:hAnsi="宋体" w:cs="Arial"/>
                <w:snapToGrid w:val="0"/>
                <w:color w:val="000000"/>
                <w:szCs w:val="18"/>
                <w:lang w:bidi="ar"/>
              </w:rPr>
              <w:t>供水保证程度</w:t>
            </w:r>
          </w:p>
        </w:tc>
        <w:tc>
          <w:tcPr>
            <w:tcW w:w="1701" w:type="dxa"/>
            <w:shd w:val="clear" w:color="auto" w:fill="auto"/>
          </w:tcPr>
          <w:p w14:paraId="7675AC08">
            <w:pPr>
              <w:pStyle w:val="179"/>
              <w:rPr>
                <w:rFonts w:hAnsi="宋体" w:cs="Arial"/>
                <w:snapToGrid w:val="0"/>
                <w:color w:val="000000"/>
                <w:szCs w:val="18"/>
                <w:lang w:bidi="ar"/>
              </w:rPr>
            </w:pPr>
            <w:r>
              <w:rPr>
                <w:rFonts w:hint="eastAsia" w:hAnsi="宋体" w:cs="Arial"/>
                <w:snapToGrid w:val="0"/>
                <w:color w:val="000000"/>
                <w:szCs w:val="18"/>
                <w:lang w:bidi="ar"/>
              </w:rPr>
              <w:t>备选指标</w:t>
            </w:r>
          </w:p>
        </w:tc>
        <w:tc>
          <w:tcPr>
            <w:tcW w:w="980" w:type="dxa"/>
            <w:vMerge w:val="continue"/>
            <w:shd w:val="clear" w:color="auto" w:fill="auto"/>
            <w:vAlign w:val="center"/>
          </w:tcPr>
          <w:p w14:paraId="1B559D6E">
            <w:pPr>
              <w:pStyle w:val="179"/>
            </w:pPr>
          </w:p>
        </w:tc>
      </w:tr>
      <w:tr w14:paraId="5BA28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175FF789">
            <w:pPr>
              <w:pStyle w:val="179"/>
            </w:pPr>
          </w:p>
        </w:tc>
        <w:tc>
          <w:tcPr>
            <w:tcW w:w="1417" w:type="dxa"/>
            <w:vMerge w:val="continue"/>
            <w:shd w:val="clear" w:color="auto" w:fill="auto"/>
            <w:vAlign w:val="center"/>
          </w:tcPr>
          <w:p w14:paraId="57A8012F">
            <w:pPr>
              <w:pStyle w:val="179"/>
            </w:pPr>
          </w:p>
        </w:tc>
        <w:tc>
          <w:tcPr>
            <w:tcW w:w="3828" w:type="dxa"/>
            <w:shd w:val="clear" w:color="auto" w:fill="auto"/>
            <w:vAlign w:val="center"/>
          </w:tcPr>
          <w:p w14:paraId="63424DAD">
            <w:pPr>
              <w:pStyle w:val="179"/>
              <w:rPr>
                <w:rFonts w:hAnsi="宋体" w:cs="Arial"/>
                <w:snapToGrid w:val="0"/>
                <w:color w:val="000000"/>
                <w:szCs w:val="18"/>
                <w:lang w:bidi="ar"/>
              </w:rPr>
            </w:pPr>
            <w:r>
              <w:rPr>
                <w:rFonts w:hint="eastAsia" w:hAnsi="宋体" w:cs="Arial"/>
                <w:snapToGrid w:val="0"/>
                <w:color w:val="000000"/>
                <w:szCs w:val="18"/>
                <w:lang w:bidi="ar"/>
              </w:rPr>
              <w:t>排涝工程达标率</w:t>
            </w:r>
          </w:p>
        </w:tc>
        <w:tc>
          <w:tcPr>
            <w:tcW w:w="1701" w:type="dxa"/>
            <w:shd w:val="clear" w:color="auto" w:fill="auto"/>
          </w:tcPr>
          <w:p w14:paraId="01AACB61">
            <w:pPr>
              <w:pStyle w:val="179"/>
              <w:rPr>
                <w:rFonts w:hAnsi="宋体" w:cs="Arial"/>
                <w:snapToGrid w:val="0"/>
                <w:color w:val="000000"/>
                <w:szCs w:val="18"/>
                <w:lang w:bidi="ar"/>
              </w:rPr>
            </w:pPr>
            <w:r>
              <w:rPr>
                <w:rFonts w:hint="eastAsia" w:hAnsi="宋体" w:cs="Arial"/>
                <w:snapToGrid w:val="0"/>
                <w:color w:val="000000"/>
                <w:szCs w:val="18"/>
                <w:lang w:bidi="ar"/>
              </w:rPr>
              <w:t>备选指标</w:t>
            </w:r>
          </w:p>
        </w:tc>
        <w:tc>
          <w:tcPr>
            <w:tcW w:w="980" w:type="dxa"/>
            <w:vMerge w:val="continue"/>
            <w:shd w:val="clear" w:color="auto" w:fill="auto"/>
            <w:vAlign w:val="center"/>
          </w:tcPr>
          <w:p w14:paraId="10490070">
            <w:pPr>
              <w:pStyle w:val="179"/>
            </w:pPr>
          </w:p>
        </w:tc>
      </w:tr>
      <w:tr w14:paraId="2B9816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408" w:type="dxa"/>
            <w:vMerge w:val="continue"/>
            <w:shd w:val="clear" w:color="auto" w:fill="auto"/>
            <w:vAlign w:val="center"/>
          </w:tcPr>
          <w:p w14:paraId="04D570AD">
            <w:pPr>
              <w:pStyle w:val="179"/>
            </w:pPr>
          </w:p>
        </w:tc>
        <w:tc>
          <w:tcPr>
            <w:tcW w:w="1417" w:type="dxa"/>
            <w:vMerge w:val="continue"/>
            <w:shd w:val="clear" w:color="auto" w:fill="auto"/>
            <w:vAlign w:val="center"/>
          </w:tcPr>
          <w:p w14:paraId="0B505340">
            <w:pPr>
              <w:pStyle w:val="179"/>
            </w:pPr>
          </w:p>
        </w:tc>
        <w:tc>
          <w:tcPr>
            <w:tcW w:w="3828" w:type="dxa"/>
            <w:shd w:val="clear" w:color="auto" w:fill="auto"/>
            <w:vAlign w:val="center"/>
          </w:tcPr>
          <w:p w14:paraId="23966CC8">
            <w:pPr>
              <w:pStyle w:val="179"/>
              <w:rPr>
                <w:rFonts w:hAnsi="宋体" w:cs="Arial"/>
                <w:snapToGrid w:val="0"/>
                <w:color w:val="000000"/>
                <w:szCs w:val="18"/>
                <w:lang w:bidi="ar"/>
              </w:rPr>
            </w:pPr>
            <w:r>
              <w:rPr>
                <w:rFonts w:hint="eastAsia" w:hAnsi="宋体" w:cs="Arial"/>
                <w:snapToGrid w:val="0"/>
                <w:color w:val="000000"/>
                <w:szCs w:val="18"/>
                <w:lang w:bidi="ar"/>
              </w:rPr>
              <w:t>通航保证率</w:t>
            </w:r>
          </w:p>
        </w:tc>
        <w:tc>
          <w:tcPr>
            <w:tcW w:w="1701" w:type="dxa"/>
            <w:shd w:val="clear" w:color="auto" w:fill="auto"/>
          </w:tcPr>
          <w:p w14:paraId="5CD806C7">
            <w:pPr>
              <w:pStyle w:val="179"/>
              <w:rPr>
                <w:rFonts w:hAnsi="宋体" w:cs="Arial"/>
                <w:snapToGrid w:val="0"/>
                <w:color w:val="000000"/>
                <w:szCs w:val="18"/>
                <w:lang w:bidi="ar"/>
              </w:rPr>
            </w:pPr>
            <w:r>
              <w:rPr>
                <w:rFonts w:hint="eastAsia" w:hAnsi="宋体" w:cs="Arial"/>
                <w:snapToGrid w:val="0"/>
                <w:color w:val="000000"/>
                <w:szCs w:val="18"/>
                <w:lang w:bidi="ar"/>
              </w:rPr>
              <w:t>备选指标</w:t>
            </w:r>
          </w:p>
        </w:tc>
        <w:tc>
          <w:tcPr>
            <w:tcW w:w="980" w:type="dxa"/>
            <w:vMerge w:val="continue"/>
            <w:shd w:val="clear" w:color="auto" w:fill="auto"/>
            <w:vAlign w:val="center"/>
          </w:tcPr>
          <w:p w14:paraId="6688DD21">
            <w:pPr>
              <w:pStyle w:val="179"/>
            </w:pPr>
          </w:p>
        </w:tc>
      </w:tr>
    </w:tbl>
    <w:p w14:paraId="065CD582">
      <w:pPr>
        <w:pStyle w:val="106"/>
        <w:spacing w:before="156" w:after="156"/>
      </w:pPr>
      <w:bookmarkStart w:id="50" w:name="_Toc242796882"/>
      <w:bookmarkStart w:id="51" w:name="_Toc242804726"/>
      <w:r>
        <w:rPr>
          <w:rFonts w:hint="eastAsia"/>
        </w:rPr>
        <w:t>河湖健康评价指标权重</w:t>
      </w:r>
      <w:bookmarkEnd w:id="50"/>
      <w:bookmarkEnd w:id="51"/>
    </w:p>
    <w:p w14:paraId="1EF02525">
      <w:pPr>
        <w:pStyle w:val="57"/>
        <w:ind w:firstLine="420"/>
      </w:pPr>
      <w:r>
        <w:rPr>
          <w:rFonts w:hint="eastAsia"/>
        </w:rPr>
        <w:t>河湖健康评价指标体系准则层按照表1、表2确定权重，每个准则层内各指标等权确定。</w:t>
      </w:r>
    </w:p>
    <w:p w14:paraId="47310D29">
      <w:pPr>
        <w:pStyle w:val="105"/>
        <w:spacing w:before="312" w:after="312"/>
      </w:pPr>
      <w:bookmarkStart w:id="52" w:name="_Toc242796883"/>
      <w:bookmarkStart w:id="53" w:name="_Toc242804727"/>
      <w:r>
        <w:rPr>
          <w:rFonts w:hint="eastAsia"/>
        </w:rPr>
        <w:t>指标计算及赋分</w:t>
      </w:r>
      <w:bookmarkEnd w:id="52"/>
      <w:bookmarkEnd w:id="53"/>
    </w:p>
    <w:p w14:paraId="3FD2C54C">
      <w:pPr>
        <w:pStyle w:val="106"/>
        <w:spacing w:before="156" w:after="156"/>
      </w:pPr>
      <w:bookmarkStart w:id="54" w:name="_Toc242796884"/>
      <w:bookmarkStart w:id="55" w:name="_Toc242804728"/>
      <w:r>
        <w:rPr>
          <w:rFonts w:hint="eastAsia"/>
        </w:rPr>
        <w:t>水域岸线完整性</w:t>
      </w:r>
      <w:bookmarkEnd w:id="54"/>
      <w:bookmarkEnd w:id="55"/>
    </w:p>
    <w:p w14:paraId="13E7C190">
      <w:pPr>
        <w:pStyle w:val="166"/>
      </w:pPr>
      <w:r>
        <w:rPr>
          <w:rFonts w:hint="eastAsia"/>
        </w:rPr>
        <w:t>水域岸线完整性根据岸线开发利用情况和水域岸线整洁程度</w:t>
      </w:r>
      <w:r>
        <w:t>2</w:t>
      </w:r>
      <w:r>
        <w:rPr>
          <w:rFonts w:hint="eastAsia"/>
        </w:rPr>
        <w:t>项子指标综合确定，采用子指标赋分的平均值作为该项指标赋分结果。</w:t>
      </w:r>
    </w:p>
    <w:p w14:paraId="3CF979B2">
      <w:pPr>
        <w:pStyle w:val="166"/>
      </w:pPr>
      <w:r>
        <w:rPr>
          <w:rFonts w:hint="eastAsia"/>
        </w:rPr>
        <w:t>岸线开发利用情况根据已开发利用岸线长度与岸线总长度比值确定,按公式（1）计算,已利用岸线长度包括河道管理范围线内码头、桥梁、造(修)船厂等涉河建设项目利用的岸线、临河房屋等占用的岸线，赋分标准见表</w:t>
      </w:r>
      <w:r>
        <w:t>3</w:t>
      </w:r>
      <w:r>
        <w:rPr>
          <w:rFonts w:hint="eastAsia"/>
        </w:rPr>
        <w:t>，采用线性插值法计算。</w:t>
      </w:r>
    </w:p>
    <w:p w14:paraId="49BE66F9">
      <w:pPr>
        <w:spacing w:line="240" w:lineRule="auto"/>
        <w:ind w:left="3850"/>
        <w:rPr>
          <w:rFonts w:ascii="宋体" w:hAnsi="宋体"/>
        </w:rPr>
      </w:pPr>
      <m:oMath>
        <m:sSub>
          <m:sSubPr>
            <m:ctrlPr>
              <w:rPr>
                <w:rFonts w:ascii="Cambria Math" w:hAnsi="Cambria Math" w:cs="微软雅黑"/>
                <w:i/>
                <w:spacing w:val="18"/>
              </w:rPr>
            </m:ctrlPr>
          </m:sSubPr>
          <m:e>
            <m:r>
              <m:rPr/>
              <w:rPr>
                <w:rFonts w:ascii="Cambria Math" w:hAnsi="Cambria Math" w:cs="微软雅黑"/>
                <w:spacing w:val="18"/>
              </w:rPr>
              <m:t>R</m:t>
            </m:r>
            <m:ctrlPr>
              <w:rPr>
                <w:rFonts w:ascii="Cambria Math" w:hAnsi="Cambria Math" w:cs="微软雅黑"/>
                <w:i/>
                <w:spacing w:val="18"/>
              </w:rPr>
            </m:ctrlPr>
          </m:e>
          <m:sub>
            <m:r>
              <m:rPr/>
              <w:rPr>
                <w:rFonts w:ascii="Cambria Math" w:hAnsi="Cambria Math" w:cs="微软雅黑"/>
                <w:spacing w:val="18"/>
              </w:rPr>
              <m:t>P</m:t>
            </m:r>
            <m:ctrlPr>
              <w:rPr>
                <w:rFonts w:ascii="Cambria Math" w:hAnsi="Cambria Math" w:cs="微软雅黑"/>
                <w:i/>
                <w:spacing w:val="18"/>
              </w:rPr>
            </m:ctrlPr>
          </m:sub>
        </m:sSub>
        <m:r>
          <m:rPr/>
          <w:rPr>
            <w:rFonts w:hint="eastAsia" w:ascii="Cambria Math" w:hAnsi="Cambria Math" w:cs="微软雅黑"/>
            <w:spacing w:val="18"/>
          </w:rPr>
          <m:t>=</m:t>
        </m:r>
        <m:f>
          <m:fPr>
            <m:ctrlPr>
              <w:rPr>
                <w:rFonts w:ascii="Cambria Math" w:hAnsi="Cambria Math" w:cs="微软雅黑"/>
                <w:i/>
                <w:spacing w:val="18"/>
              </w:rPr>
            </m:ctrlPr>
          </m:fPr>
          <m:num>
            <m:sSub>
              <m:sSubPr>
                <m:ctrlPr>
                  <w:rPr>
                    <w:rFonts w:ascii="Cambria Math" w:hAnsi="Cambria Math" w:cs="微软雅黑"/>
                    <w:i/>
                    <w:spacing w:val="18"/>
                  </w:rPr>
                </m:ctrlPr>
              </m:sSubPr>
              <m:e>
                <m:r>
                  <m:rPr/>
                  <w:rPr>
                    <w:rFonts w:ascii="Cambria Math" w:hAnsi="Cambria Math" w:cs="微软雅黑"/>
                    <w:spacing w:val="18"/>
                  </w:rPr>
                  <m:t>L</m:t>
                </m:r>
                <m:ctrlPr>
                  <w:rPr>
                    <w:rFonts w:ascii="Cambria Math" w:hAnsi="Cambria Math" w:cs="微软雅黑"/>
                    <w:i/>
                    <w:spacing w:val="18"/>
                  </w:rPr>
                </m:ctrlPr>
              </m:e>
              <m:sub>
                <m:r>
                  <m:rPr/>
                  <w:rPr>
                    <w:rFonts w:hint="eastAsia" w:ascii="Cambria Math" w:hAnsi="Cambria Math" w:cs="微软雅黑"/>
                    <w:spacing w:val="18"/>
                  </w:rPr>
                  <m:t>u</m:t>
                </m:r>
                <m:ctrlPr>
                  <w:rPr>
                    <w:rFonts w:ascii="Cambria Math" w:hAnsi="Cambria Math" w:cs="微软雅黑"/>
                    <w:i/>
                    <w:spacing w:val="18"/>
                  </w:rPr>
                </m:ctrlPr>
              </m:sub>
            </m:sSub>
            <m:ctrlPr>
              <w:rPr>
                <w:rFonts w:ascii="Cambria Math" w:hAnsi="Cambria Math" w:cs="微软雅黑"/>
                <w:i/>
                <w:spacing w:val="18"/>
              </w:rPr>
            </m:ctrlPr>
          </m:num>
          <m:den>
            <m:sSub>
              <m:sSubPr>
                <m:ctrlPr>
                  <w:rPr>
                    <w:rFonts w:ascii="Cambria Math" w:hAnsi="Cambria Math" w:cs="微软雅黑"/>
                    <w:i/>
                    <w:spacing w:val="18"/>
                  </w:rPr>
                </m:ctrlPr>
              </m:sSubPr>
              <m:e>
                <m:r>
                  <m:rPr/>
                  <w:rPr>
                    <w:rFonts w:ascii="Cambria Math" w:hAnsi="Cambria Math" w:cs="微软雅黑"/>
                    <w:spacing w:val="18"/>
                  </w:rPr>
                  <m:t>L</m:t>
                </m:r>
                <m:ctrlPr>
                  <w:rPr>
                    <w:rFonts w:ascii="Cambria Math" w:hAnsi="Cambria Math" w:cs="微软雅黑"/>
                    <w:i/>
                    <w:spacing w:val="18"/>
                  </w:rPr>
                </m:ctrlPr>
              </m:e>
              <m:sub>
                <m:r>
                  <m:rPr/>
                  <w:rPr>
                    <w:rFonts w:hint="eastAsia" w:ascii="Cambria Math" w:hAnsi="Cambria Math" w:cs="微软雅黑"/>
                    <w:spacing w:val="18"/>
                  </w:rPr>
                  <m:t>c</m:t>
                </m:r>
                <m:ctrlPr>
                  <w:rPr>
                    <w:rFonts w:ascii="Cambria Math" w:hAnsi="Cambria Math" w:cs="微软雅黑"/>
                    <w:i/>
                    <w:spacing w:val="18"/>
                  </w:rPr>
                </m:ctrlPr>
              </m:sub>
            </m:sSub>
            <m:ctrlPr>
              <w:rPr>
                <w:rFonts w:ascii="Cambria Math" w:hAnsi="Cambria Math" w:cs="微软雅黑"/>
                <w:i/>
                <w:spacing w:val="18"/>
              </w:rPr>
            </m:ctrlPr>
          </m:den>
        </m:f>
        <m:r>
          <m:rPr/>
          <w:rPr>
            <w:rFonts w:ascii="Cambria Math" w:hAnsi="Cambria Math" w:cs="微软雅黑"/>
            <w:spacing w:val="18"/>
          </w:rPr>
          <m:t>×100</m:t>
        </m:r>
        <m:r>
          <m:rPr/>
          <w:rPr>
            <w:rFonts w:hint="eastAsia" w:ascii="Cambria Math" w:hAnsi="Cambria Math" w:cs="微软雅黑"/>
            <w:spacing w:val="18"/>
          </w:rPr>
          <m:t>%</m:t>
        </m:r>
      </m:oMath>
      <w:r>
        <w:rPr>
          <w:rFonts w:ascii="宋体" w:hAnsi="宋体" w:cs="微软雅黑"/>
          <w:spacing w:val="18"/>
        </w:rPr>
        <w:t xml:space="preserve">                        </w:t>
      </w:r>
      <w:r>
        <w:rPr>
          <w:rFonts w:hint="eastAsia" w:ascii="宋体" w:hAnsi="宋体" w:cs="微软雅黑"/>
          <w:spacing w:val="18"/>
        </w:rPr>
        <w:t>（1）</w:t>
      </w:r>
    </w:p>
    <w:p w14:paraId="288138F9">
      <w:pPr>
        <w:pStyle w:val="57"/>
        <w:ind w:firstLine="420"/>
      </w:pPr>
      <w:r>
        <w:t>式中</w:t>
      </w:r>
      <w:r>
        <w:rPr>
          <w:rFonts w:hint="eastAsia"/>
        </w:rPr>
        <w:t>：</w:t>
      </w:r>
    </w:p>
    <w:p w14:paraId="00736C1F">
      <w:pPr>
        <w:pStyle w:val="57"/>
        <w:ind w:firstLine="380"/>
      </w:pPr>
      <m:oMath>
        <m:sSub>
          <m:sSubPr>
            <m:ctrlPr>
              <w:rPr>
                <w:rFonts w:ascii="Cambria Math" w:hAnsi="Cambria Math" w:cs="微软雅黑"/>
                <w:i/>
                <w:spacing w:val="18"/>
                <w:kern w:val="2"/>
                <w:sz w:val="19"/>
                <w:szCs w:val="19"/>
              </w:rPr>
            </m:ctrlPr>
          </m:sSubPr>
          <m:e>
            <m:r>
              <m:rPr/>
              <w:rPr>
                <w:rFonts w:ascii="Cambria Math" w:hAnsi="Cambria Math" w:cs="微软雅黑"/>
                <w:spacing w:val="18"/>
                <w:sz w:val="19"/>
                <w:szCs w:val="19"/>
              </w:rPr>
              <m:t>R</m:t>
            </m:r>
            <m:ctrlPr>
              <w:rPr>
                <w:rFonts w:ascii="Cambria Math" w:hAnsi="Cambria Math" w:cs="微软雅黑"/>
                <w:i/>
                <w:spacing w:val="18"/>
                <w:kern w:val="2"/>
                <w:sz w:val="19"/>
                <w:szCs w:val="19"/>
              </w:rPr>
            </m:ctrlPr>
          </m:e>
          <m:sub>
            <m:r>
              <m:rPr/>
              <w:rPr>
                <w:rFonts w:ascii="Cambria Math" w:hAnsi="Cambria Math" w:cs="微软雅黑"/>
                <w:spacing w:val="18"/>
                <w:sz w:val="19"/>
                <w:szCs w:val="19"/>
              </w:rPr>
              <m:t>P</m:t>
            </m:r>
            <m:ctrlPr>
              <w:rPr>
                <w:rFonts w:ascii="Cambria Math" w:hAnsi="Cambria Math" w:cs="微软雅黑"/>
                <w:i/>
                <w:spacing w:val="18"/>
                <w:kern w:val="2"/>
                <w:sz w:val="19"/>
                <w:szCs w:val="19"/>
              </w:rPr>
            </m:ctrlPr>
          </m:sub>
        </m:sSub>
      </m:oMath>
      <w:r>
        <w:t xml:space="preserve"> </w:t>
      </w:r>
      <w:r>
        <w:rPr>
          <w:rFonts w:hint="eastAsia"/>
        </w:rPr>
        <w:t>——</w:t>
      </w:r>
      <w:r>
        <w:t>岸线开发利用情况</w:t>
      </w:r>
      <w:r>
        <w:rPr>
          <w:rFonts w:hint="eastAsia"/>
        </w:rPr>
        <w:t>；</w:t>
      </w:r>
    </w:p>
    <w:p w14:paraId="6707958F">
      <w:pPr>
        <w:pStyle w:val="57"/>
        <w:ind w:firstLine="380"/>
      </w:pPr>
      <m:oMath>
        <m:sSub>
          <m:sSubPr>
            <m:ctrlPr>
              <w:rPr>
                <w:rFonts w:ascii="Cambria Math" w:hAnsi="Cambria Math" w:cs="微软雅黑"/>
                <w:i/>
                <w:spacing w:val="18"/>
                <w:kern w:val="2"/>
                <w:sz w:val="19"/>
                <w:szCs w:val="19"/>
              </w:rPr>
            </m:ctrlPr>
          </m:sSubPr>
          <m:e>
            <m:r>
              <m:rPr/>
              <w:rPr>
                <w:rFonts w:ascii="Cambria Math" w:hAnsi="Cambria Math" w:cs="微软雅黑"/>
                <w:spacing w:val="18"/>
                <w:sz w:val="19"/>
                <w:szCs w:val="19"/>
              </w:rPr>
              <m:t>L</m:t>
            </m:r>
            <m:ctrlPr>
              <w:rPr>
                <w:rFonts w:ascii="Cambria Math" w:hAnsi="Cambria Math" w:cs="微软雅黑"/>
                <w:i/>
                <w:spacing w:val="18"/>
                <w:kern w:val="2"/>
                <w:sz w:val="19"/>
                <w:szCs w:val="19"/>
              </w:rPr>
            </m:ctrlPr>
          </m:e>
          <m:sub>
            <m:r>
              <m:rPr/>
              <w:rPr>
                <w:rFonts w:hint="eastAsia" w:ascii="Cambria Math" w:hAnsi="Cambria Math" w:cs="微软雅黑"/>
                <w:spacing w:val="18"/>
                <w:sz w:val="19"/>
                <w:szCs w:val="19"/>
              </w:rPr>
              <m:t>u</m:t>
            </m:r>
            <m:ctrlPr>
              <w:rPr>
                <w:rFonts w:ascii="Cambria Math" w:hAnsi="Cambria Math" w:cs="微软雅黑"/>
                <w:i/>
                <w:spacing w:val="18"/>
                <w:kern w:val="2"/>
                <w:sz w:val="19"/>
                <w:szCs w:val="19"/>
              </w:rPr>
            </m:ctrlPr>
          </m:sub>
        </m:sSub>
      </m:oMath>
      <w:r>
        <w:t xml:space="preserve"> </w:t>
      </w:r>
      <w:r>
        <w:rPr>
          <w:rFonts w:hint="eastAsia"/>
        </w:rPr>
        <w:t>——</w:t>
      </w:r>
      <w:r>
        <w:t>已开发利用岸线长度</w:t>
      </w:r>
      <w:r>
        <w:rPr>
          <w:rFonts w:hint="eastAsia"/>
        </w:rPr>
        <w:t>，单位为千米（km）；</w:t>
      </w:r>
    </w:p>
    <w:p w14:paraId="290186EA">
      <w:pPr>
        <w:pStyle w:val="57"/>
        <w:ind w:firstLine="380"/>
      </w:pPr>
      <m:oMath>
        <m:sSub>
          <m:sSubPr>
            <m:ctrlPr>
              <w:rPr>
                <w:rFonts w:ascii="Cambria Math" w:hAnsi="Cambria Math" w:cs="微软雅黑"/>
                <w:i/>
                <w:spacing w:val="18"/>
                <w:kern w:val="2"/>
                <w:sz w:val="19"/>
                <w:szCs w:val="19"/>
              </w:rPr>
            </m:ctrlPr>
          </m:sSubPr>
          <m:e>
            <m:r>
              <m:rPr/>
              <w:rPr>
                <w:rFonts w:ascii="Cambria Math" w:hAnsi="Cambria Math" w:cs="微软雅黑"/>
                <w:spacing w:val="18"/>
                <w:sz w:val="19"/>
                <w:szCs w:val="19"/>
              </w:rPr>
              <m:t>L</m:t>
            </m:r>
            <m:ctrlPr>
              <w:rPr>
                <w:rFonts w:ascii="Cambria Math" w:hAnsi="Cambria Math" w:cs="微软雅黑"/>
                <w:i/>
                <w:spacing w:val="18"/>
                <w:kern w:val="2"/>
                <w:sz w:val="19"/>
                <w:szCs w:val="19"/>
              </w:rPr>
            </m:ctrlPr>
          </m:e>
          <m:sub>
            <m:r>
              <m:rPr/>
              <w:rPr>
                <w:rFonts w:hint="eastAsia" w:ascii="Cambria Math" w:hAnsi="Cambria Math" w:cs="微软雅黑"/>
                <w:spacing w:val="18"/>
                <w:sz w:val="19"/>
                <w:szCs w:val="19"/>
              </w:rPr>
              <m:t>c</m:t>
            </m:r>
            <m:ctrlPr>
              <w:rPr>
                <w:rFonts w:ascii="Cambria Math" w:hAnsi="Cambria Math" w:cs="微软雅黑"/>
                <w:i/>
                <w:spacing w:val="18"/>
                <w:kern w:val="2"/>
                <w:sz w:val="19"/>
                <w:szCs w:val="19"/>
              </w:rPr>
            </m:ctrlPr>
          </m:sub>
        </m:sSub>
      </m:oMath>
      <w:r>
        <w:t xml:space="preserve"> </w:t>
      </w:r>
      <w:r>
        <w:rPr>
          <w:rFonts w:hint="eastAsia"/>
        </w:rPr>
        <w:t>——</w:t>
      </w:r>
      <w:r>
        <w:t>岸线总长度</w:t>
      </w:r>
      <w:r>
        <w:rPr>
          <w:rFonts w:hint="eastAsia"/>
        </w:rPr>
        <w:t>，单位为千米（km）</w:t>
      </w:r>
      <w:r>
        <w:t>。</w:t>
      </w:r>
    </w:p>
    <w:p w14:paraId="3AA17688">
      <w:pPr>
        <w:pStyle w:val="113"/>
        <w:spacing w:before="156" w:after="156"/>
      </w:pPr>
      <w:r>
        <w:t>岸线开发利用情况赋分标准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132"/>
        <w:gridCol w:w="1132"/>
        <w:gridCol w:w="1132"/>
        <w:gridCol w:w="1132"/>
        <w:gridCol w:w="1132"/>
        <w:gridCol w:w="1132"/>
      </w:tblGrid>
      <w:tr w14:paraId="3D5423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tcPr>
          <w:p w14:paraId="66083F32">
            <w:pPr>
              <w:pStyle w:val="179"/>
            </w:pPr>
            <w:r>
              <w:rPr>
                <w:rFonts w:hAnsi="宋体"/>
              </w:rPr>
              <w:t>岸线开发利用情况/%</w:t>
            </w:r>
          </w:p>
        </w:tc>
        <w:tc>
          <w:tcPr>
            <w:tcW w:w="1132" w:type="dxa"/>
            <w:tcBorders>
              <w:top w:val="single" w:color="auto" w:sz="8" w:space="0"/>
              <w:bottom w:val="single" w:color="auto" w:sz="8" w:space="0"/>
            </w:tcBorders>
            <w:shd w:val="clear" w:color="auto" w:fill="auto"/>
          </w:tcPr>
          <w:p w14:paraId="656D3F0C">
            <w:pPr>
              <w:pStyle w:val="179"/>
            </w:pPr>
            <w:r>
              <w:rPr>
                <w:rFonts w:hAnsi="宋体"/>
              </w:rPr>
              <w:t>≤5</w:t>
            </w:r>
          </w:p>
        </w:tc>
        <w:tc>
          <w:tcPr>
            <w:tcW w:w="1132" w:type="dxa"/>
            <w:tcBorders>
              <w:top w:val="single" w:color="auto" w:sz="8" w:space="0"/>
              <w:bottom w:val="single" w:color="auto" w:sz="8" w:space="0"/>
            </w:tcBorders>
            <w:shd w:val="clear" w:color="auto" w:fill="auto"/>
          </w:tcPr>
          <w:p w14:paraId="2B18A00E">
            <w:pPr>
              <w:pStyle w:val="179"/>
            </w:pPr>
            <w:r>
              <w:rPr>
                <w:rFonts w:hAnsi="宋体"/>
              </w:rPr>
              <w:t>10</w:t>
            </w:r>
          </w:p>
        </w:tc>
        <w:tc>
          <w:tcPr>
            <w:tcW w:w="1132" w:type="dxa"/>
            <w:tcBorders>
              <w:top w:val="single" w:color="auto" w:sz="8" w:space="0"/>
              <w:bottom w:val="single" w:color="auto" w:sz="8" w:space="0"/>
            </w:tcBorders>
            <w:shd w:val="clear" w:color="auto" w:fill="auto"/>
          </w:tcPr>
          <w:p w14:paraId="6AC0F3C1">
            <w:pPr>
              <w:pStyle w:val="179"/>
            </w:pPr>
            <w:r>
              <w:rPr>
                <w:rFonts w:hAnsi="宋体"/>
              </w:rPr>
              <w:t>20</w:t>
            </w:r>
          </w:p>
        </w:tc>
        <w:tc>
          <w:tcPr>
            <w:tcW w:w="1132" w:type="dxa"/>
            <w:tcBorders>
              <w:top w:val="single" w:color="auto" w:sz="8" w:space="0"/>
              <w:bottom w:val="single" w:color="auto" w:sz="8" w:space="0"/>
            </w:tcBorders>
            <w:shd w:val="clear" w:color="auto" w:fill="auto"/>
          </w:tcPr>
          <w:p w14:paraId="07541593">
            <w:pPr>
              <w:pStyle w:val="179"/>
            </w:pPr>
            <w:r>
              <w:rPr>
                <w:rFonts w:hAnsi="宋体"/>
              </w:rPr>
              <w:t>30</w:t>
            </w:r>
          </w:p>
        </w:tc>
        <w:tc>
          <w:tcPr>
            <w:tcW w:w="1132" w:type="dxa"/>
            <w:tcBorders>
              <w:top w:val="single" w:color="auto" w:sz="8" w:space="0"/>
              <w:bottom w:val="single" w:color="auto" w:sz="8" w:space="0"/>
            </w:tcBorders>
            <w:shd w:val="clear" w:color="auto" w:fill="auto"/>
          </w:tcPr>
          <w:p w14:paraId="3FCC4F71">
            <w:pPr>
              <w:pStyle w:val="179"/>
            </w:pPr>
            <w:r>
              <w:rPr>
                <w:rFonts w:hAnsi="宋体"/>
              </w:rPr>
              <w:t>40</w:t>
            </w:r>
          </w:p>
        </w:tc>
        <w:tc>
          <w:tcPr>
            <w:tcW w:w="1132" w:type="dxa"/>
            <w:tcBorders>
              <w:top w:val="single" w:color="auto" w:sz="8" w:space="0"/>
              <w:bottom w:val="single" w:color="auto" w:sz="8" w:space="0"/>
            </w:tcBorders>
            <w:shd w:val="clear" w:color="auto" w:fill="auto"/>
          </w:tcPr>
          <w:p w14:paraId="1C106DE1">
            <w:pPr>
              <w:pStyle w:val="179"/>
            </w:pPr>
            <w:r>
              <w:rPr>
                <w:rFonts w:hint="eastAsia" w:hAnsi="宋体"/>
              </w:rPr>
              <w:t>＞</w:t>
            </w:r>
            <w:r>
              <w:rPr>
                <w:rFonts w:hAnsi="宋体"/>
              </w:rPr>
              <w:t>40</w:t>
            </w:r>
          </w:p>
        </w:tc>
      </w:tr>
      <w:tr w14:paraId="7BFAB5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tcPr>
          <w:p w14:paraId="5FE9CD55">
            <w:pPr>
              <w:pStyle w:val="179"/>
            </w:pPr>
            <w:r>
              <w:rPr>
                <w:rFonts w:hAnsi="宋体"/>
              </w:rPr>
              <w:t>赋分/分</w:t>
            </w:r>
          </w:p>
        </w:tc>
        <w:tc>
          <w:tcPr>
            <w:tcW w:w="1132" w:type="dxa"/>
            <w:tcBorders>
              <w:top w:val="single" w:color="auto" w:sz="8" w:space="0"/>
            </w:tcBorders>
            <w:shd w:val="clear" w:color="auto" w:fill="auto"/>
          </w:tcPr>
          <w:p w14:paraId="27773123">
            <w:pPr>
              <w:pStyle w:val="179"/>
            </w:pPr>
            <w:r>
              <w:rPr>
                <w:rFonts w:hAnsi="宋体"/>
              </w:rPr>
              <w:t>100</w:t>
            </w:r>
          </w:p>
        </w:tc>
        <w:tc>
          <w:tcPr>
            <w:tcW w:w="1132" w:type="dxa"/>
            <w:tcBorders>
              <w:top w:val="single" w:color="auto" w:sz="8" w:space="0"/>
            </w:tcBorders>
            <w:shd w:val="clear" w:color="auto" w:fill="auto"/>
          </w:tcPr>
          <w:p w14:paraId="22A4DDD7">
            <w:pPr>
              <w:pStyle w:val="179"/>
            </w:pPr>
            <w:r>
              <w:rPr>
                <w:rFonts w:hAnsi="宋体"/>
              </w:rPr>
              <w:t>80</w:t>
            </w:r>
          </w:p>
        </w:tc>
        <w:tc>
          <w:tcPr>
            <w:tcW w:w="1132" w:type="dxa"/>
            <w:tcBorders>
              <w:top w:val="single" w:color="auto" w:sz="8" w:space="0"/>
            </w:tcBorders>
            <w:shd w:val="clear" w:color="auto" w:fill="auto"/>
          </w:tcPr>
          <w:p w14:paraId="29DF3794">
            <w:pPr>
              <w:pStyle w:val="179"/>
            </w:pPr>
            <w:r>
              <w:rPr>
                <w:rFonts w:hAnsi="宋体"/>
              </w:rPr>
              <w:t>60</w:t>
            </w:r>
          </w:p>
        </w:tc>
        <w:tc>
          <w:tcPr>
            <w:tcW w:w="1132" w:type="dxa"/>
            <w:tcBorders>
              <w:top w:val="single" w:color="auto" w:sz="8" w:space="0"/>
            </w:tcBorders>
            <w:shd w:val="clear" w:color="auto" w:fill="auto"/>
          </w:tcPr>
          <w:p w14:paraId="736404A0">
            <w:pPr>
              <w:pStyle w:val="179"/>
            </w:pPr>
            <w:r>
              <w:rPr>
                <w:rFonts w:hAnsi="宋体"/>
              </w:rPr>
              <w:t>40</w:t>
            </w:r>
          </w:p>
        </w:tc>
        <w:tc>
          <w:tcPr>
            <w:tcW w:w="1132" w:type="dxa"/>
            <w:tcBorders>
              <w:top w:val="single" w:color="auto" w:sz="8" w:space="0"/>
            </w:tcBorders>
            <w:shd w:val="clear" w:color="auto" w:fill="auto"/>
          </w:tcPr>
          <w:p w14:paraId="5F12627D">
            <w:pPr>
              <w:pStyle w:val="179"/>
            </w:pPr>
            <w:r>
              <w:rPr>
                <w:rFonts w:hAnsi="宋体"/>
              </w:rPr>
              <w:t>20</w:t>
            </w:r>
          </w:p>
        </w:tc>
        <w:tc>
          <w:tcPr>
            <w:tcW w:w="1132" w:type="dxa"/>
            <w:tcBorders>
              <w:top w:val="single" w:color="auto" w:sz="8" w:space="0"/>
            </w:tcBorders>
            <w:shd w:val="clear" w:color="auto" w:fill="auto"/>
          </w:tcPr>
          <w:p w14:paraId="5F5932B2">
            <w:pPr>
              <w:pStyle w:val="179"/>
            </w:pPr>
            <w:r>
              <w:rPr>
                <w:rFonts w:hAnsi="宋体"/>
              </w:rPr>
              <w:t>0</w:t>
            </w:r>
          </w:p>
        </w:tc>
      </w:tr>
    </w:tbl>
    <w:p w14:paraId="6D72E716">
      <w:pPr>
        <w:pStyle w:val="57"/>
        <w:ind w:firstLine="420"/>
      </w:pPr>
    </w:p>
    <w:p w14:paraId="086B4DD1">
      <w:pPr>
        <w:pStyle w:val="166"/>
      </w:pPr>
      <w:r>
        <w:rPr>
          <w:rFonts w:hint="eastAsia"/>
        </w:rPr>
        <w:t>水域岸线整洁程度根据河湖管理范围内“乱占、乱采、乱堆、乱建”等违法违规问题数量确定，按公式（2）计算，当“乱占、乱采、乱堆、乱建”等违法违规问题的数量超过</w:t>
      </w:r>
      <w:r>
        <w:t>20</w:t>
      </w:r>
      <w:r>
        <w:rPr>
          <w:rFonts w:hint="eastAsia"/>
        </w:rPr>
        <w:t>个时，该项直接赋0分。</w:t>
      </w:r>
    </w:p>
    <w:p w14:paraId="1794F989">
      <w:pPr>
        <w:spacing w:line="240" w:lineRule="auto"/>
        <w:ind w:left="6" w:right="170" w:firstLine="3780" w:firstLineChars="1800"/>
        <w:rPr>
          <w:rFonts w:ascii="宋体" w:hAnsi="宋体" w:cs="宋体"/>
        </w:rPr>
      </w:pPr>
      <m:oMath>
        <m:r>
          <m:rPr/>
          <w:rPr>
            <w:rFonts w:ascii="Cambria Math" w:hAnsi="Cambria Math" w:cs="宋体"/>
          </w:rPr>
          <m:t>T=100−5×</m:t>
        </m:r>
        <m:sSub>
          <w:bookmarkStart w:id="56" w:name="OLE_LINK4"/>
          <m:sSubPr>
            <m:ctrlPr>
              <w:rPr>
                <w:rFonts w:ascii="Cambria Math" w:hAnsi="Cambria Math" w:cs="宋体"/>
                <w:i/>
              </w:rPr>
            </m:ctrlPr>
          </m:sSubPr>
          <m:e>
            <m:r>
              <m:rPr/>
              <w:rPr>
                <w:rFonts w:ascii="Cambria Math" w:hAnsi="Cambria Math" w:cs="宋体"/>
              </w:rPr>
              <m:t>N</m:t>
            </m:r>
            <m:ctrlPr>
              <w:rPr>
                <w:rFonts w:ascii="Cambria Math" w:hAnsi="Cambria Math" w:cs="宋体"/>
                <w:i/>
              </w:rPr>
            </m:ctrlPr>
          </m:e>
          <m:sub>
            <m:r>
              <m:rPr/>
              <w:rPr>
                <w:rFonts w:hint="eastAsia" w:ascii="Cambria Math" w:hAnsi="Cambria Math" w:cs="宋体"/>
              </w:rPr>
              <m:t>v</m:t>
            </m:r>
            <m:ctrlPr>
              <w:rPr>
                <w:rFonts w:ascii="Cambria Math" w:hAnsi="Cambria Math" w:cs="宋体"/>
                <w:i/>
              </w:rPr>
            </m:ctrlPr>
            <w:bookmarkEnd w:id="56"/>
          </m:sub>
        </m:sSub>
      </m:oMath>
      <w:r>
        <w:rPr>
          <w:rFonts w:ascii="宋体" w:hAnsi="宋体" w:cs="宋体"/>
        </w:rPr>
        <w:t xml:space="preserve">                </w:t>
      </w:r>
      <w:r>
        <w:rPr>
          <w:rFonts w:hint="eastAsia" w:ascii="宋体" w:hAnsi="宋体" w:cs="宋体"/>
        </w:rPr>
        <w:t xml:space="preserve"> </w:t>
      </w:r>
      <w:r>
        <w:rPr>
          <w:rFonts w:ascii="宋体" w:hAnsi="宋体" w:cs="宋体"/>
        </w:rPr>
        <w:t xml:space="preserve">             </w:t>
      </w:r>
      <w:r>
        <w:rPr>
          <w:rFonts w:hint="eastAsia" w:ascii="宋体" w:hAnsi="宋体" w:cs="宋体"/>
        </w:rPr>
        <w:t>（2）</w:t>
      </w:r>
    </w:p>
    <w:p w14:paraId="4935AF7F">
      <w:pPr>
        <w:spacing w:line="240" w:lineRule="auto"/>
        <w:ind w:left="5" w:right="168" w:firstLine="420"/>
        <w:rPr>
          <w:rFonts w:ascii="宋体" w:hAnsi="宋体" w:cs="宋体"/>
        </w:rPr>
      </w:pPr>
      <w:r>
        <w:rPr>
          <w:rFonts w:hint="eastAsia" w:ascii="宋体" w:hAnsi="宋体" w:cs="宋体"/>
        </w:rPr>
        <w:t>式中：</w:t>
      </w:r>
    </w:p>
    <w:p w14:paraId="2B9A73DA">
      <w:pPr>
        <w:spacing w:line="240" w:lineRule="auto"/>
        <w:ind w:left="5" w:right="168" w:firstLine="420"/>
        <w:rPr>
          <w:rFonts w:ascii="宋体" w:hAnsi="宋体" w:cs="宋体"/>
        </w:rPr>
      </w:pPr>
      <m:oMath>
        <m:r>
          <m:rPr/>
          <w:rPr>
            <w:rFonts w:ascii="Cambria Math" w:hAnsi="Cambria Math" w:cs="宋体"/>
          </w:rPr>
          <m:t xml:space="preserve">T    </m:t>
        </m:r>
      </m:oMath>
      <w:r>
        <w:rPr>
          <w:rFonts w:hint="eastAsia" w:ascii="宋体" w:hAnsi="宋体" w:cs="宋体"/>
        </w:rPr>
        <w:t>——水域岸线整洁程度赋分，单位为分；</w:t>
      </w:r>
    </w:p>
    <w:p w14:paraId="5F5B4E6E">
      <w:pPr>
        <w:spacing w:line="240" w:lineRule="auto"/>
        <w:ind w:left="5" w:right="168" w:firstLine="420"/>
        <w:rPr>
          <w:rFonts w:ascii="宋体" w:hAnsi="宋体" w:cs="宋体"/>
        </w:rPr>
      </w:pPr>
      <m:oMath>
        <m:sSub>
          <m:sSubPr>
            <m:ctrlPr>
              <w:rPr>
                <w:rFonts w:ascii="Cambria Math" w:hAnsi="Cambria Math" w:cs="宋体"/>
                <w:i/>
              </w:rPr>
            </m:ctrlPr>
          </m:sSubPr>
          <m:e>
            <m:r>
              <m:rPr/>
              <w:rPr>
                <w:rFonts w:ascii="Cambria Math" w:hAnsi="Cambria Math" w:cs="宋体"/>
              </w:rPr>
              <m:t>N</m:t>
            </m:r>
            <m:ctrlPr>
              <w:rPr>
                <w:rFonts w:ascii="Cambria Math" w:hAnsi="Cambria Math" w:cs="宋体"/>
                <w:i/>
              </w:rPr>
            </m:ctrlPr>
          </m:e>
          <m:sub>
            <m:r>
              <m:rPr/>
              <w:rPr>
                <w:rFonts w:hint="eastAsia" w:ascii="Cambria Math" w:hAnsi="Cambria Math" w:cs="宋体"/>
              </w:rPr>
              <m:t>v</m:t>
            </m:r>
            <m:ctrlPr>
              <w:rPr>
                <w:rFonts w:ascii="Cambria Math" w:hAnsi="Cambria Math" w:cs="宋体"/>
                <w:i/>
              </w:rPr>
            </m:ctrlPr>
          </m:sub>
        </m:sSub>
      </m:oMath>
      <w:r>
        <w:rPr>
          <w:rFonts w:hint="eastAsia" w:ascii="宋体" w:hAnsi="宋体" w:cs="宋体"/>
        </w:rPr>
        <w:t xml:space="preserve"> ——河湖管理范围“乱占、乱采、乱堆、乱建”等违法违规问题的数量，单位为个。</w:t>
      </w:r>
    </w:p>
    <w:p w14:paraId="4CDCC2CD">
      <w:pPr>
        <w:pStyle w:val="106"/>
        <w:spacing w:before="156" w:after="156"/>
      </w:pPr>
      <w:bookmarkStart w:id="57" w:name="_Toc242796885"/>
      <w:bookmarkStart w:id="58" w:name="_Toc242804729"/>
      <w:r>
        <w:rPr>
          <w:rFonts w:hint="eastAsia"/>
        </w:rPr>
        <w:t>湖泊水面面积保有率</w:t>
      </w:r>
      <w:bookmarkEnd w:id="57"/>
      <w:bookmarkEnd w:id="58"/>
    </w:p>
    <w:p w14:paraId="4C2A2171">
      <w:pPr>
        <w:pStyle w:val="57"/>
        <w:ind w:firstLine="420"/>
      </w:pPr>
      <w:r>
        <w:rPr>
          <w:rFonts w:hint="eastAsia"/>
        </w:rPr>
        <w:t>根据湖泊近3年</w:t>
      </w:r>
      <w:r>
        <w:rPr>
          <w:rFonts w:hint="eastAsia" w:hAnsi="宋体"/>
        </w:rPr>
        <w:t>～</w:t>
      </w:r>
      <w:r>
        <w:rPr>
          <w:rFonts w:hint="eastAsia"/>
        </w:rPr>
        <w:t>5年平均水面面积与湖泊常年水面面积的比例确定，按公式（3）计算。赋分标准见表</w:t>
      </w:r>
      <w:r>
        <w:t>4</w:t>
      </w:r>
      <w:r>
        <w:rPr>
          <w:rFonts w:hint="eastAsia"/>
        </w:rPr>
        <w:t>，采用线性插值法计算。湖泊常年水面面积宜优先采用全国水利普查公报中湖泊面积，不在普查名录内的湖泊，可采用2000年</w:t>
      </w:r>
      <w:bookmarkStart w:id="59" w:name="OLE_LINK8"/>
      <w:r>
        <w:rPr>
          <w:rFonts w:hint="eastAsia" w:hAnsi="宋体"/>
        </w:rPr>
        <w:t>～</w:t>
      </w:r>
      <w:bookmarkEnd w:id="59"/>
      <w:r>
        <w:rPr>
          <w:rFonts w:hint="eastAsia"/>
        </w:rPr>
        <w:t>2010年平均水面面积。</w:t>
      </w:r>
    </w:p>
    <w:p w14:paraId="0751C645">
      <w:pPr>
        <w:spacing w:line="240" w:lineRule="auto"/>
        <w:ind w:right="57"/>
        <w:jc w:val="right"/>
        <w:rPr>
          <w:sz w:val="19"/>
          <w:szCs w:val="19"/>
        </w:rPr>
      </w:pPr>
      <m:oMath>
        <m:sSub>
          <m:sSubPr>
            <m:ctrlPr>
              <w:rPr>
                <w:rFonts w:ascii="Cambria Math" w:hAnsi="Cambria Math" w:cs="微软雅黑"/>
                <w:i/>
                <w:spacing w:val="18"/>
              </w:rPr>
            </m:ctrlPr>
          </m:sSubPr>
          <m:e>
            <m:r>
              <m:rPr/>
              <w:rPr>
                <w:rFonts w:ascii="Cambria Math" w:hAnsi="Cambria Math" w:cs="微软雅黑"/>
                <w:spacing w:val="18"/>
              </w:rPr>
              <m:t>I</m:t>
            </m:r>
            <m:ctrlPr>
              <w:rPr>
                <w:rFonts w:ascii="Cambria Math" w:hAnsi="Cambria Math" w:cs="微软雅黑"/>
                <w:i/>
                <w:spacing w:val="18"/>
              </w:rPr>
            </m:ctrlPr>
          </m:e>
          <m:sub>
            <m:r>
              <m:rPr/>
              <w:rPr>
                <w:rFonts w:hint="eastAsia" w:ascii="Cambria Math" w:hAnsi="Cambria Math" w:cs="微软雅黑"/>
                <w:spacing w:val="18"/>
              </w:rPr>
              <m:t>a</m:t>
            </m:r>
            <m:ctrlPr>
              <w:rPr>
                <w:rFonts w:ascii="Cambria Math" w:hAnsi="Cambria Math" w:cs="微软雅黑"/>
                <w:i/>
                <w:spacing w:val="18"/>
              </w:rPr>
            </m:ctrlPr>
          </m:sub>
        </m:sSub>
        <m:r>
          <m:rPr/>
          <w:rPr>
            <w:rFonts w:hint="eastAsia" w:ascii="Cambria Math" w:hAnsi="Cambria Math" w:cs="微软雅黑"/>
            <w:spacing w:val="18"/>
          </w:rPr>
          <m:t>=</m:t>
        </m:r>
        <m:f>
          <m:fPr>
            <m:ctrlPr>
              <w:rPr>
                <w:rFonts w:ascii="Cambria Math" w:hAnsi="Cambria Math" w:cs="微软雅黑"/>
                <w:i/>
                <w:spacing w:val="18"/>
              </w:rPr>
            </m:ctrlPr>
          </m:fPr>
          <m:num>
            <m:r>
              <m:rPr/>
              <w:rPr>
                <w:rFonts w:ascii="Cambria Math" w:hAnsi="Cambria Math" w:cs="微软雅黑"/>
                <w:spacing w:val="18"/>
              </w:rPr>
              <m:t>A</m:t>
            </m:r>
            <m:r>
              <m:rPr/>
              <w:rPr>
                <w:rFonts w:hint="eastAsia" w:ascii="微软雅黑" w:hAnsi="微软雅黑" w:eastAsia="微软雅黑" w:cs="微软雅黑"/>
                <w:spacing w:val="18"/>
              </w:rPr>
              <m:t>−</m:t>
            </m:r>
            <m:sSub>
              <m:sSubPr>
                <m:ctrlPr>
                  <w:rPr>
                    <w:rFonts w:ascii="Cambria Math" w:hAnsi="Cambria Math" w:cs="微软雅黑"/>
                    <w:i/>
                    <w:spacing w:val="18"/>
                  </w:rPr>
                </m:ctrlPr>
              </m:sSubPr>
              <m:e>
                <m:r>
                  <m:rPr/>
                  <w:rPr>
                    <w:rFonts w:ascii="Cambria Math" w:hAnsi="Cambria Math" w:cs="微软雅黑"/>
                    <w:spacing w:val="18"/>
                  </w:rPr>
                  <m:t>A</m:t>
                </m:r>
                <m:ctrlPr>
                  <w:rPr>
                    <w:rFonts w:ascii="Cambria Math" w:hAnsi="Cambria Math" w:cs="微软雅黑"/>
                    <w:i/>
                    <w:spacing w:val="18"/>
                  </w:rPr>
                </m:ctrlPr>
              </m:e>
              <m:sub>
                <m:r>
                  <m:rPr/>
                  <w:rPr>
                    <w:rFonts w:hint="eastAsia" w:ascii="Cambria Math" w:hAnsi="Cambria Math" w:cs="微软雅黑"/>
                    <w:spacing w:val="18"/>
                  </w:rPr>
                  <m:t>zy</m:t>
                </m:r>
                <m:ctrlPr>
                  <w:rPr>
                    <w:rFonts w:ascii="Cambria Math" w:hAnsi="Cambria Math" w:cs="微软雅黑"/>
                    <w:i/>
                    <w:spacing w:val="18"/>
                  </w:rPr>
                </m:ctrlPr>
              </m:sub>
            </m:sSub>
            <m:ctrlPr>
              <w:rPr>
                <w:rFonts w:ascii="Cambria Math" w:hAnsi="Cambria Math" w:cs="微软雅黑"/>
                <w:i/>
                <w:spacing w:val="18"/>
              </w:rPr>
            </m:ctrlPr>
          </m:num>
          <m:den>
            <m:sSub>
              <m:sSubPr>
                <m:ctrlPr>
                  <w:rPr>
                    <w:rFonts w:ascii="Cambria Math" w:hAnsi="Cambria Math" w:cs="微软雅黑"/>
                    <w:i/>
                    <w:spacing w:val="18"/>
                  </w:rPr>
                </m:ctrlPr>
              </m:sSubPr>
              <m:e>
                <m:r>
                  <m:rPr/>
                  <w:rPr>
                    <w:rFonts w:ascii="Cambria Math" w:hAnsi="Cambria Math" w:cs="微软雅黑"/>
                    <w:spacing w:val="18"/>
                  </w:rPr>
                  <m:t>A</m:t>
                </m:r>
                <m:ctrlPr>
                  <w:rPr>
                    <w:rFonts w:ascii="Cambria Math" w:hAnsi="Cambria Math" w:cs="微软雅黑"/>
                    <w:i/>
                    <w:spacing w:val="18"/>
                  </w:rPr>
                </m:ctrlPr>
              </m:e>
              <m:sub>
                <m:r>
                  <m:rPr/>
                  <w:rPr>
                    <w:rFonts w:ascii="Cambria Math" w:hAnsi="Cambria Math" w:cs="微软雅黑"/>
                    <w:spacing w:val="18"/>
                  </w:rPr>
                  <m:t>0</m:t>
                </m:r>
                <m:ctrlPr>
                  <w:rPr>
                    <w:rFonts w:ascii="Cambria Math" w:hAnsi="Cambria Math" w:cs="微软雅黑"/>
                    <w:i/>
                    <w:spacing w:val="18"/>
                  </w:rPr>
                </m:ctrlPr>
              </m:sub>
            </m:sSub>
            <m:ctrlPr>
              <w:rPr>
                <w:rFonts w:ascii="Cambria Math" w:hAnsi="Cambria Math" w:cs="微软雅黑"/>
                <w:i/>
                <w:spacing w:val="18"/>
              </w:rPr>
            </m:ctrlPr>
          </m:den>
        </m:f>
        <m:r>
          <m:rPr/>
          <w:rPr>
            <w:rFonts w:ascii="Cambria Math" w:hAnsi="Cambria Math" w:cs="微软雅黑"/>
            <w:spacing w:val="18"/>
          </w:rPr>
          <m:t>×100</m:t>
        </m:r>
        <m:r>
          <m:rPr/>
          <w:rPr>
            <w:rFonts w:hint="eastAsia" w:ascii="Cambria Math" w:hAnsi="Cambria Math" w:cs="微软雅黑"/>
            <w:spacing w:val="18"/>
          </w:rPr>
          <m:t>%</m:t>
        </m:r>
      </m:oMath>
      <w:r>
        <w:rPr>
          <w:rFonts w:ascii="宋体" w:hAnsi="宋体" w:cs="微软雅黑"/>
          <w:spacing w:val="18"/>
          <w:sz w:val="19"/>
          <w:szCs w:val="19"/>
        </w:rPr>
        <w:t xml:space="preserve">                            </w:t>
      </w:r>
      <w:r>
        <w:rPr>
          <w:rFonts w:hint="eastAsia" w:ascii="宋体" w:hAnsi="宋体" w:cs="微软雅黑"/>
          <w:spacing w:val="18"/>
          <w:sz w:val="19"/>
          <w:szCs w:val="19"/>
        </w:rPr>
        <w:t>（</w:t>
      </w:r>
      <w:r>
        <w:rPr>
          <w:rFonts w:ascii="宋体" w:hAnsi="宋体" w:cs="微软雅黑"/>
          <w:spacing w:val="18"/>
          <w:sz w:val="19"/>
          <w:szCs w:val="19"/>
        </w:rPr>
        <w:t>3</w:t>
      </w:r>
      <w:r>
        <w:rPr>
          <w:rFonts w:hint="eastAsia" w:ascii="宋体" w:hAnsi="宋体" w:cs="微软雅黑"/>
          <w:spacing w:val="18"/>
          <w:sz w:val="19"/>
          <w:szCs w:val="19"/>
        </w:rPr>
        <w:t>）</w:t>
      </w:r>
    </w:p>
    <w:p w14:paraId="672FECDA">
      <w:pPr>
        <w:pStyle w:val="57"/>
        <w:ind w:firstLine="420"/>
      </w:pPr>
      <w:r>
        <w:t>式中</w:t>
      </w:r>
      <w:r>
        <w:rPr>
          <w:rFonts w:hint="eastAsia"/>
        </w:rPr>
        <w:t>：</w:t>
      </w:r>
    </w:p>
    <w:p w14:paraId="074BC0AA">
      <w:pPr>
        <w:pStyle w:val="57"/>
        <w:ind w:firstLine="420"/>
      </w:pPr>
      <m:oMath>
        <m:sSub>
          <m:sSubPr>
            <m:ctrlPr>
              <w:rPr>
                <w:rFonts w:ascii="Cambria Math" w:hAnsi="Cambria Math" w:cs="微软雅黑"/>
                <w:i/>
                <w:spacing w:val="18"/>
              </w:rPr>
            </m:ctrlPr>
          </m:sSubPr>
          <m:e>
            <m:r>
              <m:rPr/>
              <w:rPr>
                <w:rFonts w:ascii="Cambria Math" w:hAnsi="Cambria Math" w:cs="微软雅黑"/>
                <w:spacing w:val="18"/>
              </w:rPr>
              <m:t>I</m:t>
            </m:r>
            <m:ctrlPr>
              <w:rPr>
                <w:rFonts w:ascii="Cambria Math" w:hAnsi="Cambria Math" w:cs="微软雅黑"/>
                <w:i/>
                <w:spacing w:val="18"/>
              </w:rPr>
            </m:ctrlPr>
          </m:e>
          <m:sub>
            <m:r>
              <m:rPr/>
              <w:rPr>
                <w:rFonts w:hint="eastAsia" w:ascii="Cambria Math" w:hAnsi="Cambria Math" w:cs="微软雅黑"/>
                <w:spacing w:val="18"/>
              </w:rPr>
              <m:t>a</m:t>
            </m:r>
            <m:ctrlPr>
              <w:rPr>
                <w:rFonts w:ascii="Cambria Math" w:hAnsi="Cambria Math" w:cs="微软雅黑"/>
                <w:i/>
                <w:spacing w:val="18"/>
              </w:rPr>
            </m:ctrlPr>
          </m:sub>
        </m:sSub>
        <m:r>
          <m:rPr/>
          <w:rPr>
            <w:rFonts w:ascii="Cambria Math" w:hAnsi="Cambria Math" w:cs="微软雅黑"/>
            <w:spacing w:val="18"/>
          </w:rPr>
          <m:t xml:space="preserve">    </m:t>
        </m:r>
      </m:oMath>
      <w:r>
        <w:t xml:space="preserve"> </w:t>
      </w:r>
      <w:r>
        <w:rPr>
          <w:rFonts w:hint="eastAsia"/>
        </w:rPr>
        <w:t>——</w:t>
      </w:r>
      <w:r>
        <w:t>湖泊水面面积保有率</w:t>
      </w:r>
      <w:r>
        <w:rPr>
          <w:rFonts w:hint="eastAsia"/>
        </w:rPr>
        <w:t>；</w:t>
      </w:r>
    </w:p>
    <w:p w14:paraId="38C9CA11">
      <w:pPr>
        <w:pStyle w:val="57"/>
        <w:ind w:firstLine="420"/>
      </w:pPr>
      <m:oMath>
        <m:sSub>
          <m:sSubPr>
            <m:ctrlPr>
              <w:rPr>
                <w:rFonts w:ascii="Cambria Math" w:hAnsi="Cambria Math" w:cs="微软雅黑"/>
                <w:i/>
                <w:spacing w:val="18"/>
              </w:rPr>
            </m:ctrlPr>
          </m:sSubPr>
          <m:e>
            <m:r>
              <m:rPr/>
              <w:rPr>
                <w:rFonts w:ascii="Cambria Math" w:hAnsi="Cambria Math" w:cs="微软雅黑"/>
                <w:spacing w:val="18"/>
              </w:rPr>
              <m:t>A</m:t>
            </m:r>
            <m:ctrlPr>
              <w:rPr>
                <w:rFonts w:ascii="Cambria Math" w:hAnsi="Cambria Math" w:cs="微软雅黑"/>
                <w:i/>
                <w:spacing w:val="18"/>
              </w:rPr>
            </m:ctrlPr>
          </m:e>
          <m:sub>
            <m:r>
              <m:rPr/>
              <w:rPr>
                <w:rFonts w:ascii="Cambria Math" w:hAnsi="Cambria Math" w:cs="微软雅黑"/>
                <w:spacing w:val="18"/>
              </w:rPr>
              <m:t xml:space="preserve">         </m:t>
            </m:r>
            <m:ctrlPr>
              <w:rPr>
                <w:rFonts w:ascii="Cambria Math" w:hAnsi="Cambria Math" w:cs="微软雅黑"/>
                <w:i/>
                <w:spacing w:val="18"/>
              </w:rPr>
            </m:ctrlPr>
          </m:sub>
        </m:sSub>
      </m:oMath>
      <w:r>
        <w:rPr>
          <w:rFonts w:hint="eastAsia"/>
        </w:rPr>
        <w:t>——近3年～5年</w:t>
      </w:r>
      <w:r>
        <w:t>湖泊年平均水面面积</w:t>
      </w:r>
      <w:r>
        <w:rPr>
          <w:rFonts w:hint="eastAsia"/>
        </w:rPr>
        <w:t>，</w:t>
      </w:r>
      <w:bookmarkStart w:id="60" w:name="OLE_LINK5"/>
      <w:r>
        <w:rPr>
          <w:rFonts w:hint="eastAsia"/>
        </w:rPr>
        <w:t>单位为平方千米</w:t>
      </w:r>
      <w:bookmarkEnd w:id="60"/>
      <w:r>
        <w:rPr>
          <w:rFonts w:hint="eastAsia"/>
        </w:rPr>
        <w:t>（km</w:t>
      </w:r>
      <w:r>
        <w:rPr>
          <w:vertAlign w:val="superscript"/>
        </w:rPr>
        <w:t>2</w:t>
      </w:r>
      <w:r>
        <w:rPr>
          <w:rFonts w:hint="eastAsia"/>
        </w:rPr>
        <w:t>）；</w:t>
      </w:r>
    </w:p>
    <w:p w14:paraId="3059CEAF">
      <w:pPr>
        <w:pStyle w:val="57"/>
        <w:ind w:firstLine="420"/>
      </w:pPr>
      <m:oMath>
        <m:sSub>
          <m:sSubPr>
            <m:ctrlPr>
              <w:rPr>
                <w:rFonts w:ascii="Cambria Math" w:hAnsi="Cambria Math" w:cs="微软雅黑"/>
                <w:i/>
                <w:spacing w:val="18"/>
              </w:rPr>
            </m:ctrlPr>
          </m:sSubPr>
          <m:e>
            <m:r>
              <m:rPr/>
              <w:rPr>
                <w:rFonts w:ascii="Cambria Math" w:hAnsi="Cambria Math" w:cs="微软雅黑"/>
                <w:spacing w:val="18"/>
              </w:rPr>
              <m:t>A</m:t>
            </m:r>
            <m:ctrlPr>
              <w:rPr>
                <w:rFonts w:ascii="Cambria Math" w:hAnsi="Cambria Math" w:cs="微软雅黑"/>
                <w:i/>
                <w:spacing w:val="18"/>
              </w:rPr>
            </m:ctrlPr>
          </m:e>
          <m:sub>
            <m:r>
              <m:rPr/>
              <w:rPr>
                <w:rFonts w:hint="eastAsia" w:ascii="Cambria Math" w:hAnsi="Cambria Math" w:cs="微软雅黑"/>
                <w:spacing w:val="18"/>
              </w:rPr>
              <m:t>zy</m:t>
            </m:r>
            <m:ctrlPr>
              <w:rPr>
                <w:rFonts w:ascii="Cambria Math" w:hAnsi="Cambria Math" w:cs="微软雅黑"/>
                <w:i/>
                <w:spacing w:val="18"/>
              </w:rPr>
            </m:ctrlPr>
          </m:sub>
        </m:sSub>
      </m:oMath>
      <w:r>
        <w:t xml:space="preserve"> </w:t>
      </w:r>
      <w:r>
        <w:rPr>
          <w:rFonts w:hint="eastAsia"/>
        </w:rPr>
        <w:t>——</w:t>
      </w:r>
      <w:r>
        <w:t>评价期内圈圩、围网等占用的水域面积</w:t>
      </w:r>
      <w:r>
        <w:rPr>
          <w:rFonts w:hint="eastAsia"/>
        </w:rPr>
        <w:t>，单位为平方千米（</w:t>
      </w:r>
      <w:r>
        <w:t>km</w:t>
      </w:r>
      <w:r>
        <w:rPr>
          <w:vertAlign w:val="superscript"/>
        </w:rPr>
        <w:t>2</w:t>
      </w:r>
      <w:r>
        <w:rPr>
          <w:rFonts w:hint="eastAsia"/>
        </w:rPr>
        <w:t>）；</w:t>
      </w:r>
    </w:p>
    <w:p w14:paraId="3A745C49">
      <w:pPr>
        <w:pStyle w:val="57"/>
        <w:ind w:firstLine="420"/>
      </w:pPr>
      <m:oMath>
        <m:sSub>
          <m:sSubPr>
            <m:ctrlPr>
              <w:rPr>
                <w:rFonts w:ascii="Cambria Math" w:hAnsi="Cambria Math" w:cs="微软雅黑"/>
                <w:i/>
                <w:spacing w:val="18"/>
              </w:rPr>
            </m:ctrlPr>
          </m:sSubPr>
          <m:e>
            <m:r>
              <m:rPr/>
              <w:rPr>
                <w:rFonts w:ascii="Cambria Math" w:hAnsi="Cambria Math" w:cs="微软雅黑"/>
                <w:spacing w:val="18"/>
              </w:rPr>
              <m:t>A</m:t>
            </m:r>
            <m:ctrlPr>
              <w:rPr>
                <w:rFonts w:ascii="Cambria Math" w:hAnsi="Cambria Math" w:cs="微软雅黑"/>
                <w:i/>
                <w:spacing w:val="18"/>
              </w:rPr>
            </m:ctrlPr>
          </m:e>
          <m:sub>
            <m:r>
              <m:rPr/>
              <w:rPr>
                <w:rFonts w:ascii="Cambria Math" w:hAnsi="Cambria Math" w:cs="微软雅黑"/>
                <w:spacing w:val="18"/>
              </w:rPr>
              <m:t>0</m:t>
            </m:r>
            <m:ctrlPr>
              <w:rPr>
                <w:rFonts w:ascii="Cambria Math" w:hAnsi="Cambria Math" w:cs="微软雅黑"/>
                <w:i/>
                <w:spacing w:val="18"/>
              </w:rPr>
            </m:ctrlPr>
          </m:sub>
        </m:sSub>
        <m:r>
          <m:rPr/>
          <w:rPr>
            <w:rFonts w:ascii="Cambria Math" w:hAnsi="Cambria Math"/>
            <w:spacing w:val="18"/>
          </w:rPr>
          <m:t xml:space="preserve">   </m:t>
        </m:r>
      </m:oMath>
      <w:r>
        <w:rPr>
          <w:rFonts w:hint="eastAsia"/>
          <w:spacing w:val="18"/>
        </w:rPr>
        <w:t>——</w:t>
      </w:r>
      <w:r>
        <w:t>湖泊常年水面面积</w:t>
      </w:r>
      <w:r>
        <w:rPr>
          <w:rFonts w:hint="eastAsia"/>
        </w:rPr>
        <w:t>，单位为平方千米（</w:t>
      </w:r>
      <w:r>
        <w:t>km</w:t>
      </w:r>
      <w:r>
        <w:rPr>
          <w:vertAlign w:val="superscript"/>
        </w:rPr>
        <w:t>2</w:t>
      </w:r>
      <w:r>
        <w:rPr>
          <w:rFonts w:hint="eastAsia"/>
        </w:rPr>
        <w:t>）</w:t>
      </w:r>
      <w:r>
        <w:t>。</w:t>
      </w:r>
    </w:p>
    <w:p w14:paraId="1D0525BA">
      <w:pPr>
        <w:pStyle w:val="113"/>
        <w:spacing w:before="156" w:after="156"/>
      </w:pPr>
      <w:r>
        <w:t>湖泊水面面积保有率赋分标准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84"/>
        <w:gridCol w:w="1330"/>
        <w:gridCol w:w="1330"/>
        <w:gridCol w:w="1330"/>
        <w:gridCol w:w="1330"/>
        <w:gridCol w:w="1330"/>
      </w:tblGrid>
      <w:tr w14:paraId="372A3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684" w:type="dxa"/>
            <w:tcBorders>
              <w:top w:val="single" w:color="auto" w:sz="8" w:space="0"/>
              <w:bottom w:val="single" w:color="auto" w:sz="8" w:space="0"/>
            </w:tcBorders>
            <w:shd w:val="clear" w:color="auto" w:fill="auto"/>
          </w:tcPr>
          <w:p w14:paraId="1808C779">
            <w:pPr>
              <w:pStyle w:val="179"/>
              <w:rPr>
                <w:rFonts w:hAnsi="宋体"/>
              </w:rPr>
            </w:pPr>
            <w:r>
              <w:rPr>
                <w:rFonts w:hAnsi="宋体"/>
              </w:rPr>
              <w:t>湖泊水面面积保有率/%</w:t>
            </w:r>
          </w:p>
        </w:tc>
        <w:tc>
          <w:tcPr>
            <w:tcW w:w="1330" w:type="dxa"/>
            <w:tcBorders>
              <w:top w:val="single" w:color="auto" w:sz="8" w:space="0"/>
              <w:bottom w:val="single" w:color="auto" w:sz="8" w:space="0"/>
            </w:tcBorders>
            <w:shd w:val="clear" w:color="auto" w:fill="auto"/>
          </w:tcPr>
          <w:p w14:paraId="23D92A1A">
            <w:pPr>
              <w:pStyle w:val="179"/>
              <w:rPr>
                <w:rFonts w:hAnsi="宋体"/>
              </w:rPr>
            </w:pPr>
            <w:r>
              <w:rPr>
                <w:rFonts w:hAnsi="宋体"/>
              </w:rPr>
              <w:t>≥95</w:t>
            </w:r>
          </w:p>
        </w:tc>
        <w:tc>
          <w:tcPr>
            <w:tcW w:w="1330" w:type="dxa"/>
            <w:tcBorders>
              <w:top w:val="single" w:color="auto" w:sz="8" w:space="0"/>
              <w:bottom w:val="single" w:color="auto" w:sz="8" w:space="0"/>
            </w:tcBorders>
            <w:shd w:val="clear" w:color="auto" w:fill="auto"/>
          </w:tcPr>
          <w:p w14:paraId="5D30E350">
            <w:pPr>
              <w:pStyle w:val="179"/>
              <w:rPr>
                <w:rFonts w:hAnsi="宋体"/>
              </w:rPr>
            </w:pPr>
            <w:r>
              <w:rPr>
                <w:rFonts w:hAnsi="宋体"/>
              </w:rPr>
              <w:t>90</w:t>
            </w:r>
          </w:p>
        </w:tc>
        <w:tc>
          <w:tcPr>
            <w:tcW w:w="1330" w:type="dxa"/>
            <w:tcBorders>
              <w:top w:val="single" w:color="auto" w:sz="8" w:space="0"/>
              <w:bottom w:val="single" w:color="auto" w:sz="8" w:space="0"/>
            </w:tcBorders>
            <w:shd w:val="clear" w:color="auto" w:fill="auto"/>
          </w:tcPr>
          <w:p w14:paraId="378D52EC">
            <w:pPr>
              <w:pStyle w:val="179"/>
              <w:rPr>
                <w:rFonts w:hAnsi="宋体"/>
              </w:rPr>
            </w:pPr>
            <w:r>
              <w:rPr>
                <w:rFonts w:hAnsi="宋体"/>
              </w:rPr>
              <w:t>80</w:t>
            </w:r>
          </w:p>
        </w:tc>
        <w:tc>
          <w:tcPr>
            <w:tcW w:w="1330" w:type="dxa"/>
            <w:tcBorders>
              <w:top w:val="single" w:color="auto" w:sz="8" w:space="0"/>
              <w:bottom w:val="single" w:color="auto" w:sz="8" w:space="0"/>
            </w:tcBorders>
            <w:shd w:val="clear" w:color="auto" w:fill="auto"/>
          </w:tcPr>
          <w:p w14:paraId="43B2FFED">
            <w:pPr>
              <w:pStyle w:val="179"/>
              <w:rPr>
                <w:rFonts w:hAnsi="宋体"/>
              </w:rPr>
            </w:pPr>
            <w:r>
              <w:rPr>
                <w:rFonts w:hAnsi="宋体"/>
              </w:rPr>
              <w:t>70</w:t>
            </w:r>
          </w:p>
        </w:tc>
        <w:tc>
          <w:tcPr>
            <w:tcW w:w="1330" w:type="dxa"/>
            <w:tcBorders>
              <w:top w:val="single" w:color="auto" w:sz="8" w:space="0"/>
              <w:bottom w:val="single" w:color="auto" w:sz="8" w:space="0"/>
            </w:tcBorders>
            <w:shd w:val="clear" w:color="auto" w:fill="auto"/>
          </w:tcPr>
          <w:p w14:paraId="4510F8EB">
            <w:pPr>
              <w:pStyle w:val="179"/>
              <w:rPr>
                <w:rFonts w:hAnsi="宋体"/>
              </w:rPr>
            </w:pPr>
            <w:r>
              <w:rPr>
                <w:rFonts w:hAnsi="宋体"/>
              </w:rPr>
              <w:t>≤60</w:t>
            </w:r>
          </w:p>
        </w:tc>
      </w:tr>
      <w:tr w14:paraId="6B22C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tcBorders>
              <w:top w:val="single" w:color="auto" w:sz="8" w:space="0"/>
            </w:tcBorders>
            <w:shd w:val="clear" w:color="auto" w:fill="auto"/>
          </w:tcPr>
          <w:p w14:paraId="69813702">
            <w:pPr>
              <w:pStyle w:val="179"/>
              <w:rPr>
                <w:rFonts w:hAnsi="宋体"/>
              </w:rPr>
            </w:pPr>
            <w:r>
              <w:rPr>
                <w:rFonts w:hAnsi="宋体"/>
              </w:rPr>
              <w:t>赋分/分</w:t>
            </w:r>
          </w:p>
        </w:tc>
        <w:tc>
          <w:tcPr>
            <w:tcW w:w="1330" w:type="dxa"/>
            <w:tcBorders>
              <w:top w:val="single" w:color="auto" w:sz="8" w:space="0"/>
            </w:tcBorders>
            <w:shd w:val="clear" w:color="auto" w:fill="auto"/>
          </w:tcPr>
          <w:p w14:paraId="1D283A98">
            <w:pPr>
              <w:pStyle w:val="179"/>
              <w:rPr>
                <w:rFonts w:hAnsi="宋体"/>
              </w:rPr>
            </w:pPr>
            <w:r>
              <w:rPr>
                <w:rFonts w:hAnsi="宋体"/>
              </w:rPr>
              <w:t>100</w:t>
            </w:r>
          </w:p>
        </w:tc>
        <w:tc>
          <w:tcPr>
            <w:tcW w:w="1330" w:type="dxa"/>
            <w:tcBorders>
              <w:top w:val="single" w:color="auto" w:sz="8" w:space="0"/>
            </w:tcBorders>
            <w:shd w:val="clear" w:color="auto" w:fill="auto"/>
          </w:tcPr>
          <w:p w14:paraId="2B5C9E28">
            <w:pPr>
              <w:pStyle w:val="179"/>
              <w:rPr>
                <w:rFonts w:hAnsi="宋体"/>
              </w:rPr>
            </w:pPr>
            <w:r>
              <w:rPr>
                <w:rFonts w:hAnsi="宋体"/>
              </w:rPr>
              <w:t>60</w:t>
            </w:r>
          </w:p>
        </w:tc>
        <w:tc>
          <w:tcPr>
            <w:tcW w:w="1330" w:type="dxa"/>
            <w:tcBorders>
              <w:top w:val="single" w:color="auto" w:sz="8" w:space="0"/>
            </w:tcBorders>
            <w:shd w:val="clear" w:color="auto" w:fill="auto"/>
          </w:tcPr>
          <w:p w14:paraId="1B2C1C35">
            <w:pPr>
              <w:pStyle w:val="179"/>
              <w:rPr>
                <w:rFonts w:hAnsi="宋体"/>
              </w:rPr>
            </w:pPr>
            <w:r>
              <w:rPr>
                <w:rFonts w:hAnsi="宋体"/>
              </w:rPr>
              <w:t>30</w:t>
            </w:r>
          </w:p>
        </w:tc>
        <w:tc>
          <w:tcPr>
            <w:tcW w:w="1330" w:type="dxa"/>
            <w:tcBorders>
              <w:top w:val="single" w:color="auto" w:sz="8" w:space="0"/>
            </w:tcBorders>
            <w:shd w:val="clear" w:color="auto" w:fill="auto"/>
          </w:tcPr>
          <w:p w14:paraId="0642CF29">
            <w:pPr>
              <w:pStyle w:val="179"/>
              <w:rPr>
                <w:rFonts w:hAnsi="宋体"/>
              </w:rPr>
            </w:pPr>
            <w:r>
              <w:rPr>
                <w:rFonts w:hAnsi="宋体"/>
              </w:rPr>
              <w:t>10</w:t>
            </w:r>
          </w:p>
        </w:tc>
        <w:tc>
          <w:tcPr>
            <w:tcW w:w="1330" w:type="dxa"/>
            <w:tcBorders>
              <w:top w:val="single" w:color="auto" w:sz="8" w:space="0"/>
            </w:tcBorders>
            <w:shd w:val="clear" w:color="auto" w:fill="auto"/>
          </w:tcPr>
          <w:p w14:paraId="4C120A52">
            <w:pPr>
              <w:pStyle w:val="179"/>
              <w:rPr>
                <w:rFonts w:hAnsi="宋体"/>
              </w:rPr>
            </w:pPr>
            <w:r>
              <w:rPr>
                <w:rFonts w:hAnsi="宋体"/>
              </w:rPr>
              <w:t>0</w:t>
            </w:r>
          </w:p>
        </w:tc>
      </w:tr>
    </w:tbl>
    <w:p w14:paraId="453B6DBC">
      <w:pPr>
        <w:pStyle w:val="106"/>
        <w:spacing w:before="156" w:after="156"/>
      </w:pPr>
      <w:bookmarkStart w:id="61" w:name="_Toc242804730"/>
      <w:bookmarkStart w:id="62" w:name="_Toc242796886"/>
      <w:r>
        <w:rPr>
          <w:rFonts w:hint="eastAsia"/>
        </w:rPr>
        <w:t>水流通畅性</w:t>
      </w:r>
      <w:bookmarkEnd w:id="61"/>
      <w:bookmarkEnd w:id="62"/>
    </w:p>
    <w:p w14:paraId="13ED9C5E">
      <w:pPr>
        <w:pStyle w:val="166"/>
      </w:pPr>
      <w:r>
        <w:rPr>
          <w:rFonts w:hint="eastAsia"/>
        </w:rPr>
        <w:t>水流通畅性根据河流连通性和水体流动性</w:t>
      </w:r>
      <w:r>
        <w:t>2</w:t>
      </w:r>
      <w:r>
        <w:rPr>
          <w:rFonts w:hint="eastAsia"/>
        </w:rPr>
        <w:t>项子指标综合确定，采用子指标赋分的平均值作为该项指标赋分结果。</w:t>
      </w:r>
    </w:p>
    <w:p w14:paraId="1D94782D">
      <w:pPr>
        <w:pStyle w:val="166"/>
      </w:pPr>
      <w:r>
        <w:rPr>
          <w:rFonts w:hint="eastAsia"/>
        </w:rPr>
        <w:t>河流连通性根据河流上水闸、泵站、橡胶坝等建筑物或设施对河流物理断堵情况确定。河流无长期断堵情况，河流连通性得</w:t>
      </w:r>
      <w:r>
        <w:t>10</w:t>
      </w:r>
      <w:r>
        <w:rPr>
          <w:rFonts w:hint="eastAsia"/>
        </w:rPr>
        <w:t>0分；河流如出现因水闸、泵站、临时施工以外因素造成的断堵现象，河流连通性赋0分。</w:t>
      </w:r>
    </w:p>
    <w:p w14:paraId="63D30866">
      <w:pPr>
        <w:pStyle w:val="166"/>
      </w:pPr>
      <w:r>
        <w:rPr>
          <w:rFonts w:hint="eastAsia"/>
        </w:rPr>
        <w:t>水体流动性根据河流上水闸、泵站、橡胶坝等建筑物或设施对水体流动影响情况确定。水体流动性得分为：</w:t>
      </w:r>
      <w:r>
        <w:rPr>
          <w:rFonts w:hint="eastAsia"/>
          <w:color w:val="000000" w:themeColor="text1"/>
          <w14:textFill>
            <w14:solidFill>
              <w14:schemeClr w14:val="tx1"/>
            </w14:solidFill>
          </w14:textFill>
        </w:rPr>
        <w:t>流入断面水流自由流动小时数/全年小时数×</w:t>
      </w:r>
      <w:r>
        <w:rPr>
          <w:color w:val="000000" w:themeColor="text1"/>
          <w14:textFill>
            <w14:solidFill>
              <w14:schemeClr w14:val="tx1"/>
            </w14:solidFill>
          </w14:textFill>
        </w:rPr>
        <w:t>50</w:t>
      </w:r>
      <w:r>
        <w:rPr>
          <w:rFonts w:hint="eastAsia"/>
          <w:color w:val="000000" w:themeColor="text1"/>
          <w14:textFill>
            <w14:solidFill>
              <w14:schemeClr w14:val="tx1"/>
            </w14:solidFill>
          </w14:textFill>
        </w:rPr>
        <w:t>+流出断面水流自由流动小时数/全年小时数×</w:t>
      </w:r>
      <w:r>
        <w:rPr>
          <w:color w:val="000000" w:themeColor="text1"/>
          <w14:textFill>
            <w14:solidFill>
              <w14:schemeClr w14:val="tx1"/>
            </w14:solidFill>
          </w14:textFill>
        </w:rPr>
        <w:t>50</w:t>
      </w:r>
      <w:r>
        <w:rPr>
          <w:rFonts w:hint="eastAsia"/>
          <w:color w:val="000000" w:themeColor="text1"/>
          <w14:textFill>
            <w14:solidFill>
              <w14:schemeClr w14:val="tx1"/>
            </w14:solidFill>
          </w14:textFill>
        </w:rPr>
        <w:t>（分）按公式（4）计算。</w:t>
      </w:r>
    </w:p>
    <w:p w14:paraId="48A8482F">
      <w:pPr>
        <w:spacing w:line="240" w:lineRule="auto"/>
        <w:ind w:right="23"/>
        <w:jc w:val="right"/>
        <w:rPr>
          <w:rFonts w:ascii="宋体" w:hAnsi="宋体"/>
        </w:rPr>
      </w:pPr>
      <m:oMath>
        <m:sSub>
          <m:sSubPr>
            <m:ctrlPr>
              <w:rPr>
                <w:rFonts w:ascii="Cambria Math" w:hAnsi="Cambria Math" w:cs="微软雅黑"/>
                <w:i/>
              </w:rPr>
            </m:ctrlPr>
          </m:sSubPr>
          <m:e>
            <m:r>
              <m:rPr/>
              <w:rPr>
                <w:rFonts w:ascii="Cambria Math" w:hAnsi="Cambria Math" w:cs="微软雅黑"/>
              </w:rPr>
              <m:t>T</m:t>
            </m:r>
            <m:ctrlPr>
              <w:rPr>
                <w:rFonts w:ascii="Cambria Math" w:hAnsi="Cambria Math" w:cs="微软雅黑"/>
                <w:i/>
              </w:rPr>
            </m:ctrlPr>
          </m:e>
          <m:sub>
            <m:r>
              <m:rPr/>
              <w:rPr>
                <w:rFonts w:ascii="Cambria Math" w:hAnsi="Cambria Math" w:cs="微软雅黑"/>
              </w:rPr>
              <m:t>1</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1</m:t>
                </m:r>
                <m:ctrlPr>
                  <w:rPr>
                    <w:rFonts w:ascii="Cambria Math" w:hAnsi="Cambria Math" w:cs="微软雅黑"/>
                    <w:i/>
                  </w:rPr>
                </m:ctrlPr>
              </m:sub>
            </m:sSub>
            <m:ctrlPr>
              <w:rPr>
                <w:rFonts w:ascii="Cambria Math" w:hAnsi="Cambria Math" w:cs="微软雅黑"/>
                <w:i/>
              </w:rPr>
            </m:ctrlPr>
          </m:num>
          <m:den>
            <m:r>
              <m:rPr/>
              <w:rPr>
                <w:rFonts w:hint="eastAsia" w:ascii="Cambria Math" w:hAnsi="Cambria Math" w:cs="微软雅黑"/>
              </w:rPr>
              <m:t>t</m:t>
            </m:r>
            <m:ctrlPr>
              <w:rPr>
                <w:rFonts w:ascii="Cambria Math" w:hAnsi="Cambria Math" w:cs="微软雅黑"/>
                <w:i/>
              </w:rPr>
            </m:ctrlPr>
          </m:den>
        </m:f>
        <m:r>
          <m:rPr/>
          <w:rPr>
            <w:rFonts w:ascii="Cambria Math" w:hAnsi="Cambria Math" w:cs="微软雅黑"/>
          </w:rPr>
          <m:t>×50</m:t>
        </m:r>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2</m:t>
                </m:r>
                <m:ctrlPr>
                  <w:rPr>
                    <w:rFonts w:ascii="Cambria Math" w:hAnsi="Cambria Math" w:cs="微软雅黑"/>
                    <w:i/>
                  </w:rPr>
                </m:ctrlPr>
              </m:sub>
            </m:sSub>
            <m:ctrlPr>
              <w:rPr>
                <w:rFonts w:ascii="Cambria Math" w:hAnsi="Cambria Math" w:cs="微软雅黑"/>
                <w:i/>
              </w:rPr>
            </m:ctrlPr>
          </m:num>
          <m:den>
            <m:r>
              <m:rPr/>
              <w:rPr>
                <w:rFonts w:hint="eastAsia" w:ascii="Cambria Math" w:hAnsi="Cambria Math" w:cs="微软雅黑"/>
              </w:rPr>
              <m:t>t</m:t>
            </m:r>
            <m:ctrlPr>
              <w:rPr>
                <w:rFonts w:ascii="Cambria Math" w:hAnsi="Cambria Math" w:cs="微软雅黑"/>
                <w:i/>
              </w:rPr>
            </m:ctrlPr>
          </m:den>
        </m:f>
        <m:r>
          <m:rPr/>
          <w:rPr>
            <w:rFonts w:ascii="Cambria Math" w:hAnsi="Cambria Math" w:cs="微软雅黑"/>
          </w:rPr>
          <m:t>×50</m:t>
        </m:r>
      </m:oMath>
      <w:r>
        <w:rPr>
          <w:rFonts w:ascii="宋体" w:hAnsi="宋体" w:cs="微软雅黑"/>
          <w:w w:val="101"/>
        </w:rPr>
        <w:t xml:space="preserve"> </w:t>
      </w:r>
      <w:r>
        <w:rPr>
          <w:rFonts w:ascii="宋体" w:hAnsi="宋体" w:cs="微软雅黑"/>
          <w:position w:val="2"/>
        </w:rPr>
        <w:t xml:space="preserve">                                </w:t>
      </w:r>
      <w:r>
        <w:rPr>
          <w:rFonts w:hint="eastAsia" w:ascii="宋体" w:hAnsi="宋体"/>
        </w:rPr>
        <w:t>（4）</w:t>
      </w:r>
    </w:p>
    <w:p w14:paraId="7AE60FC2">
      <w:pPr>
        <w:pStyle w:val="57"/>
        <w:ind w:firstLine="420"/>
      </w:pPr>
      <w:r>
        <w:rPr>
          <w:rFonts w:hint="eastAsia"/>
        </w:rPr>
        <w:t>式中：</w:t>
      </w:r>
    </w:p>
    <w:p w14:paraId="66F779C3">
      <w:pPr>
        <w:pStyle w:val="57"/>
        <w:ind w:firstLine="420"/>
      </w:pPr>
      <m:oMath>
        <m:sSub>
          <m:sSubPr>
            <m:ctrlPr>
              <w:rPr>
                <w:rFonts w:ascii="Cambria Math" w:hAnsi="Cambria Math" w:cs="微软雅黑"/>
                <w:i/>
              </w:rPr>
            </m:ctrlPr>
          </m:sSubPr>
          <m:e>
            <m:r>
              <m:rPr/>
              <w:rPr>
                <w:rFonts w:ascii="Cambria Math" w:hAnsi="Cambria Math" w:cs="微软雅黑"/>
              </w:rPr>
              <m:t>T</m:t>
            </m:r>
            <m:ctrlPr>
              <w:rPr>
                <w:rFonts w:ascii="Cambria Math" w:hAnsi="Cambria Math" w:cs="微软雅黑"/>
                <w:i/>
              </w:rPr>
            </m:ctrlPr>
          </m:e>
          <m:sub>
            <m:r>
              <m:rPr/>
              <w:rPr>
                <w:rFonts w:ascii="Cambria Math" w:hAnsi="Cambria Math" w:cs="微软雅黑"/>
              </w:rPr>
              <m:t>1</m:t>
            </m:r>
            <m:ctrlPr>
              <w:rPr>
                <w:rFonts w:ascii="Cambria Math" w:hAnsi="Cambria Math" w:cs="微软雅黑"/>
                <w:i/>
              </w:rPr>
            </m:ctrlPr>
          </m:sub>
        </m:sSub>
        <m:r>
          <m:rPr/>
          <w:rPr>
            <w:rFonts w:ascii="Cambria Math" w:hAnsi="Cambria Math" w:cs="微软雅黑"/>
          </w:rPr>
          <m:t xml:space="preserve"> </m:t>
        </m:r>
      </m:oMath>
      <w:r>
        <w:rPr>
          <w:rFonts w:hint="eastAsia"/>
        </w:rPr>
        <w:t>——水体流动性得分，单位为分；</w:t>
      </w:r>
    </w:p>
    <w:p w14:paraId="3F072A72">
      <w:pPr>
        <w:pStyle w:val="57"/>
        <w:ind w:firstLine="420"/>
      </w:pPr>
      <m:oMath>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1</m:t>
            </m:r>
            <m:ctrlPr>
              <w:rPr>
                <w:rFonts w:ascii="Cambria Math" w:hAnsi="Cambria Math" w:cs="微软雅黑"/>
                <w:i/>
              </w:rPr>
            </m:ctrlPr>
          </m:sub>
        </m:sSub>
        <m:r>
          <m:rPr/>
          <w:rPr>
            <w:rFonts w:ascii="Cambria Math" w:hAnsi="Cambria Math" w:cs="微软雅黑"/>
          </w:rPr>
          <m:t xml:space="preserve"> </m:t>
        </m:r>
      </m:oMath>
      <w:r>
        <w:rPr>
          <w:rFonts w:hint="eastAsia"/>
        </w:rPr>
        <w:t>——</w:t>
      </w:r>
      <w:r>
        <w:rPr>
          <w:rFonts w:hint="eastAsia"/>
          <w:color w:val="000000" w:themeColor="text1"/>
          <w14:textFill>
            <w14:solidFill>
              <w14:schemeClr w14:val="tx1"/>
            </w14:solidFill>
          </w14:textFill>
        </w:rPr>
        <w:t>流入断面水流自由流动小时数</w:t>
      </w:r>
      <w:r>
        <w:rPr>
          <w:rFonts w:hint="eastAsia"/>
        </w:rPr>
        <w:t>，单位为小时（h）；</w:t>
      </w:r>
    </w:p>
    <w:p w14:paraId="1B3C06F9">
      <w:pPr>
        <w:pStyle w:val="57"/>
        <w:ind w:firstLine="420"/>
      </w:pPr>
      <m:oMath>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2</m:t>
            </m:r>
            <m:ctrlPr>
              <w:rPr>
                <w:rFonts w:ascii="Cambria Math" w:hAnsi="Cambria Math" w:cs="微软雅黑"/>
                <w:i/>
              </w:rPr>
            </m:ctrlPr>
          </m:sub>
        </m:sSub>
        <m:r>
          <m:rPr/>
          <w:rPr>
            <w:rFonts w:ascii="Cambria Math" w:hAnsi="Cambria Math" w:cs="微软雅黑"/>
          </w:rPr>
          <m:t xml:space="preserve"> </m:t>
        </m:r>
      </m:oMath>
      <w:r>
        <w:rPr>
          <w:rFonts w:hint="eastAsia"/>
        </w:rPr>
        <w:t>——</w:t>
      </w:r>
      <w:r>
        <w:rPr>
          <w:rFonts w:hint="eastAsia"/>
          <w:color w:val="000000" w:themeColor="text1"/>
          <w14:textFill>
            <w14:solidFill>
              <w14:schemeClr w14:val="tx1"/>
            </w14:solidFill>
          </w14:textFill>
        </w:rPr>
        <w:t>流入断面水流自由流动小时数</w:t>
      </w:r>
      <w:r>
        <w:rPr>
          <w:rFonts w:hint="eastAsia"/>
        </w:rPr>
        <w:t>，单位为小时（h）；</w:t>
      </w:r>
    </w:p>
    <w:p w14:paraId="73252D33">
      <w:pPr>
        <w:pStyle w:val="57"/>
        <w:ind w:firstLine="420"/>
      </w:pPr>
      <m:oMath>
        <m:r>
          <m:rPr/>
          <w:rPr>
            <w:rFonts w:hint="eastAsia" w:ascii="Cambria Math" w:hAnsi="Cambria Math" w:cs="微软雅黑"/>
          </w:rPr>
          <m:t>t</m:t>
        </m:r>
        <m:r>
          <m:rPr/>
          <w:rPr>
            <w:rFonts w:ascii="Cambria Math" w:hAnsi="Cambria Math" w:cs="微软雅黑"/>
          </w:rPr>
          <m:t xml:space="preserve">    </m:t>
        </m:r>
      </m:oMath>
      <w:r>
        <w:rPr>
          <w:rFonts w:hint="eastAsia"/>
        </w:rPr>
        <w:t>——全年小时数，单位为小时（h）。</w:t>
      </w:r>
    </w:p>
    <w:p w14:paraId="31F617C8">
      <w:pPr>
        <w:pStyle w:val="106"/>
        <w:spacing w:before="156" w:after="156"/>
      </w:pPr>
      <w:bookmarkStart w:id="63" w:name="_Toc242804731"/>
      <w:bookmarkStart w:id="64" w:name="_Toc242796887"/>
      <w:r>
        <w:rPr>
          <w:rFonts w:hint="eastAsia"/>
        </w:rPr>
        <w:t>河湖连通性</w:t>
      </w:r>
      <w:bookmarkEnd w:id="63"/>
      <w:bookmarkEnd w:id="64"/>
    </w:p>
    <w:p w14:paraId="48FB2E9E">
      <w:pPr>
        <w:pStyle w:val="57"/>
        <w:ind w:firstLine="420"/>
        <w:rPr>
          <w:color w:val="000000" w:themeColor="text1"/>
          <w14:textFill>
            <w14:solidFill>
              <w14:schemeClr w14:val="tx1"/>
            </w14:solidFill>
          </w14:textFill>
        </w:rPr>
      </w:pPr>
      <w:r>
        <w:rPr>
          <w:rFonts w:hint="eastAsia"/>
        </w:rPr>
        <w:t>根据湖泊水体与出入湖河流的水流连通情况确定。湖泊连通指数得分</w:t>
      </w:r>
      <w:r>
        <w:rPr>
          <w:rFonts w:hint="eastAsia"/>
          <w:color w:val="000000" w:themeColor="text1"/>
          <w14:textFill>
            <w14:solidFill>
              <w14:schemeClr w14:val="tx1"/>
            </w14:solidFill>
          </w14:textFill>
        </w:rPr>
        <w:t>按公式（5）计算。</w:t>
      </w:r>
    </w:p>
    <w:p w14:paraId="3699CB6A">
      <w:pPr>
        <w:spacing w:line="240" w:lineRule="auto"/>
        <w:ind w:right="23"/>
        <w:jc w:val="right"/>
        <w:rPr>
          <w:rFonts w:ascii="宋体" w:hAnsi="宋体"/>
        </w:rPr>
      </w:pPr>
      <m:oMath>
        <m:sSub>
          <m:sSubPr>
            <m:ctrlPr>
              <w:rPr>
                <w:rFonts w:ascii="Cambria Math" w:hAnsi="Cambria Math" w:cs="微软雅黑"/>
                <w:i/>
              </w:rPr>
            </m:ctrlPr>
          </m:sSubPr>
          <m:e>
            <m:r>
              <m:rPr/>
              <w:rPr>
                <w:rFonts w:ascii="Cambria Math" w:hAnsi="Cambria Math" w:cs="微软雅黑"/>
              </w:rPr>
              <m:t>T</m:t>
            </m:r>
            <m:ctrlPr>
              <w:rPr>
                <w:rFonts w:ascii="Cambria Math" w:hAnsi="Cambria Math" w:cs="微软雅黑"/>
                <w:i/>
              </w:rPr>
            </m:ctrlPr>
          </m:e>
          <m:sub>
            <m:r>
              <m:rPr/>
              <w:rPr>
                <w:rFonts w:ascii="Cambria Math" w:hAnsi="Cambria Math" w:cs="微软雅黑"/>
              </w:rPr>
              <m:t>3</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3</m:t>
                </m:r>
                <m:ctrlPr>
                  <w:rPr>
                    <w:rFonts w:ascii="Cambria Math" w:hAnsi="Cambria Math" w:cs="微软雅黑"/>
                    <w:i/>
                  </w:rPr>
                </m:ctrlPr>
              </m:sub>
            </m:sSub>
            <m:ctrlPr>
              <w:rPr>
                <w:rFonts w:ascii="Cambria Math" w:hAnsi="Cambria Math" w:cs="微软雅黑"/>
                <w:i/>
              </w:rPr>
            </m:ctrlPr>
          </m:num>
          <m:den>
            <m:sSub>
              <m:sSubPr>
                <m:ctrlPr>
                  <w:rPr>
                    <w:rFonts w:ascii="Cambria Math" w:hAnsi="Cambria Math" w:cs="微软雅黑"/>
                    <w:i/>
                  </w:rPr>
                </m:ctrlPr>
              </m:sSubPr>
              <m:e>
                <m:r>
                  <m:rPr/>
                  <w:rPr>
                    <w:rFonts w:hint="eastAsia" w:ascii="Cambria Math" w:hAnsi="Cambria Math" w:cs="微软雅黑"/>
                  </w:rPr>
                  <m:t>n</m:t>
                </m:r>
                <m:ctrlPr>
                  <w:rPr>
                    <w:rFonts w:ascii="Cambria Math" w:hAnsi="Cambria Math" w:cs="微软雅黑"/>
                    <w:i/>
                  </w:rPr>
                </m:ctrlPr>
              </m:e>
              <m:sub>
                <m:r>
                  <m:rPr/>
                  <w:rPr>
                    <w:rFonts w:ascii="Cambria Math" w:hAnsi="Cambria Math" w:cs="微软雅黑"/>
                  </w:rPr>
                  <m:t>3</m:t>
                </m:r>
                <m:ctrlPr>
                  <w:rPr>
                    <w:rFonts w:ascii="Cambria Math" w:hAnsi="Cambria Math" w:cs="微软雅黑"/>
                    <w:i/>
                  </w:rPr>
                </m:ctrlPr>
              </m:sub>
            </m:sSub>
            <m:r>
              <m:rPr/>
              <w:rPr>
                <w:rFonts w:ascii="Cambria Math" w:hAnsi="Cambria Math" w:cs="微软雅黑"/>
              </w:rPr>
              <m:t>∙</m:t>
            </m:r>
            <w:bookmarkStart w:id="65" w:name="OLE_LINK13"/>
            <m:r>
              <m:rPr/>
              <w:rPr>
                <w:rFonts w:hint="eastAsia" w:ascii="Cambria Math" w:hAnsi="Cambria Math" w:cs="微软雅黑"/>
              </w:rPr>
              <m:t>t</m:t>
            </m:r>
            <w:bookmarkEnd w:id="65"/>
            <m:ctrlPr>
              <w:rPr>
                <w:rFonts w:ascii="Cambria Math" w:hAnsi="Cambria Math" w:cs="微软雅黑"/>
                <w:i/>
              </w:rPr>
            </m:ctrlPr>
          </m:den>
        </m:f>
        <m:r>
          <m:rPr/>
          <w:rPr>
            <w:rFonts w:ascii="Cambria Math" w:hAnsi="Cambria Math" w:cs="微软雅黑"/>
          </w:rPr>
          <m:t>×100</m:t>
        </m:r>
      </m:oMath>
      <w:r>
        <w:rPr>
          <w:rFonts w:ascii="宋体" w:hAnsi="宋体" w:cs="微软雅黑"/>
          <w:w w:val="101"/>
        </w:rPr>
        <w:t xml:space="preserve"> </w:t>
      </w:r>
      <w:r>
        <w:rPr>
          <w:rFonts w:ascii="宋体" w:hAnsi="宋体" w:cs="微软雅黑"/>
          <w:position w:val="2"/>
        </w:rPr>
        <w:t xml:space="preserve">                                </w:t>
      </w:r>
      <w:r>
        <w:rPr>
          <w:rFonts w:hint="eastAsia" w:ascii="宋体" w:hAnsi="宋体"/>
        </w:rPr>
        <w:t>（5）</w:t>
      </w:r>
    </w:p>
    <w:p w14:paraId="451D66AB">
      <w:pPr>
        <w:pStyle w:val="57"/>
        <w:ind w:firstLine="420"/>
      </w:pPr>
      <w:r>
        <w:rPr>
          <w:rFonts w:hint="eastAsia"/>
        </w:rPr>
        <w:t>式中：</w:t>
      </w:r>
    </w:p>
    <w:p w14:paraId="13F87AB3">
      <w:pPr>
        <w:pStyle w:val="57"/>
        <w:ind w:firstLine="420"/>
      </w:pPr>
      <m:oMath>
        <m:sSub>
          <m:sSubPr>
            <m:ctrlPr>
              <w:rPr>
                <w:rFonts w:ascii="Cambria Math" w:hAnsi="Cambria Math" w:cs="微软雅黑"/>
                <w:i/>
              </w:rPr>
            </m:ctrlPr>
          </m:sSubPr>
          <m:e>
            <m:r>
              <m:rPr/>
              <w:rPr>
                <w:rFonts w:ascii="Cambria Math" w:hAnsi="Cambria Math" w:cs="微软雅黑"/>
              </w:rPr>
              <m:t>T</m:t>
            </m:r>
            <m:ctrlPr>
              <w:rPr>
                <w:rFonts w:ascii="Cambria Math" w:hAnsi="Cambria Math" w:cs="微软雅黑"/>
                <w:i/>
              </w:rPr>
            </m:ctrlPr>
          </m:e>
          <m:sub>
            <m:r>
              <m:rPr/>
              <w:rPr>
                <w:rFonts w:ascii="Cambria Math" w:hAnsi="Cambria Math" w:cs="微软雅黑"/>
              </w:rPr>
              <m:t>3</m:t>
            </m:r>
            <m:ctrlPr>
              <w:rPr>
                <w:rFonts w:ascii="Cambria Math" w:hAnsi="Cambria Math" w:cs="微软雅黑"/>
                <w:i/>
              </w:rPr>
            </m:ctrlPr>
          </m:sub>
        </m:sSub>
        <m:r>
          <m:rPr/>
          <w:rPr>
            <w:rFonts w:ascii="Cambria Math" w:hAnsi="Cambria Math" w:cs="微软雅黑"/>
          </w:rPr>
          <m:t xml:space="preserve"> </m:t>
        </m:r>
      </m:oMath>
      <w:r>
        <w:rPr>
          <w:rFonts w:hint="eastAsia"/>
        </w:rPr>
        <w:t>——湖泊连通指数得分，单位为分；</w:t>
      </w:r>
    </w:p>
    <w:p w14:paraId="3E87F0EE">
      <w:pPr>
        <w:pStyle w:val="57"/>
        <w:ind w:firstLine="420"/>
      </w:pPr>
      <m:oMath>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3</m:t>
            </m:r>
            <m:ctrlPr>
              <w:rPr>
                <w:rFonts w:ascii="Cambria Math" w:hAnsi="Cambria Math" w:cs="微软雅黑"/>
                <w:i/>
              </w:rPr>
            </m:ctrlPr>
          </m:sub>
        </m:sSub>
        <m:r>
          <m:rPr/>
          <w:rPr>
            <w:rFonts w:ascii="Cambria Math" w:hAnsi="Cambria Math" w:cs="微软雅黑"/>
          </w:rPr>
          <m:t xml:space="preserve"> </m:t>
        </m:r>
      </m:oMath>
      <w:r>
        <w:rPr>
          <w:rFonts w:hint="eastAsia"/>
        </w:rPr>
        <w:t>——环湖口门累计水流自由流动小时数，单位为小时（h）；</w:t>
      </w:r>
    </w:p>
    <w:p w14:paraId="79BDFA14">
      <w:pPr>
        <w:pStyle w:val="57"/>
        <w:ind w:firstLine="420"/>
      </w:pPr>
      <m:oMath>
        <m:sSub>
          <m:sSubPr>
            <m:ctrlPr>
              <w:rPr>
                <w:rFonts w:ascii="Cambria Math" w:hAnsi="Cambria Math" w:cs="微软雅黑"/>
                <w:i/>
                <w:kern w:val="2"/>
                <w:szCs w:val="21"/>
              </w:rPr>
            </m:ctrlPr>
          </m:sSubPr>
          <m:e>
            <m:r>
              <m:rPr/>
              <w:rPr>
                <w:rFonts w:hint="eastAsia" w:ascii="Cambria Math" w:hAnsi="Cambria Math" w:cs="微软雅黑"/>
              </w:rPr>
              <m:t>n</m:t>
            </m:r>
            <m:ctrlPr>
              <w:rPr>
                <w:rFonts w:ascii="Cambria Math" w:hAnsi="Cambria Math" w:cs="微软雅黑"/>
                <w:i/>
                <w:kern w:val="2"/>
                <w:szCs w:val="21"/>
              </w:rPr>
            </m:ctrlPr>
          </m:e>
          <m:sub>
            <m:r>
              <m:rPr/>
              <w:rPr>
                <w:rFonts w:ascii="Cambria Math" w:hAnsi="Cambria Math" w:cs="微软雅黑"/>
              </w:rPr>
              <m:t>3</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——环湖口门数，单位为个；</w:t>
      </w:r>
    </w:p>
    <w:p w14:paraId="6D5B9FB5">
      <w:pPr>
        <w:pStyle w:val="57"/>
        <w:ind w:firstLine="420"/>
      </w:pPr>
      <m:oMath>
        <m:r>
          <m:rPr/>
          <w:rPr>
            <w:rFonts w:hint="eastAsia" w:ascii="Cambria Math" w:hAnsi="Cambria Math" w:cs="微软雅黑"/>
          </w:rPr>
          <m:t>t</m:t>
        </m:r>
      </m:oMath>
      <w:r>
        <w:rPr>
          <w:rFonts w:hint="eastAsia"/>
        </w:rPr>
        <w:t xml:space="preserve">  ——全年小时数，单位为小时（h）。</w:t>
      </w:r>
    </w:p>
    <w:p w14:paraId="673850DE">
      <w:pPr>
        <w:pStyle w:val="106"/>
        <w:spacing w:before="156" w:after="156"/>
      </w:pPr>
      <w:bookmarkStart w:id="66" w:name="_Toc242796888"/>
      <w:bookmarkStart w:id="67" w:name="_Toc242804732"/>
      <w:r>
        <w:rPr>
          <w:rFonts w:hint="eastAsia"/>
        </w:rPr>
        <w:t>河道行洪能力保证程度</w:t>
      </w:r>
      <w:bookmarkEnd w:id="66"/>
      <w:bookmarkEnd w:id="67"/>
    </w:p>
    <w:p w14:paraId="76833CF2">
      <w:pPr>
        <w:pStyle w:val="57"/>
        <w:ind w:firstLine="420"/>
      </w:pPr>
      <w:r>
        <w:rPr>
          <w:rFonts w:hint="eastAsia"/>
        </w:rPr>
        <w:t>根据现状行洪能力与设计行洪能力的比值确定，按公式（6）计算，赋分标准见表</w:t>
      </w:r>
      <w:r>
        <w:t>5</w:t>
      </w:r>
      <w:r>
        <w:rPr>
          <w:rFonts w:hint="eastAsia"/>
        </w:rPr>
        <w:t>，采用线性插值法计算。当同一评价河段内设计行洪能力不一致时，宜对不同设计行洪能力河段分别赋分后取最低值作为该评价河段最终赋分；对于现状行洪能力超过设计行洪能力，且无明显河岸冲刷、河床下切等不利影响时直接赋100分。对于缺乏行洪能力数据资料的河流，可采用过流断面面积参照计算。</w:t>
      </w:r>
    </w:p>
    <w:p w14:paraId="23C60A20">
      <w:pPr>
        <w:spacing w:line="240" w:lineRule="auto"/>
        <w:ind w:right="55"/>
        <w:jc w:val="right"/>
        <w:rPr>
          <w:rFonts w:ascii="宋体" w:hAnsi="宋体"/>
        </w:rPr>
      </w:pPr>
      <m:oMath>
        <m:sSub>
          <w:bookmarkStart w:id="68" w:name="OLE_LINK1"/>
          <m:sSubPr>
            <m:ctrlPr>
              <w:rPr>
                <w:rFonts w:ascii="Cambria Math" w:hAnsi="Cambria Math" w:cs="微软雅黑"/>
                <w:i/>
                <w:position w:val="-1"/>
              </w:rPr>
            </m:ctrlPr>
          </m:sSubPr>
          <m:e>
            <m:r>
              <m:rPr/>
              <w:rPr>
                <w:rFonts w:ascii="Cambria Math" w:hAnsi="Cambria Math" w:cs="微软雅黑"/>
                <w:position w:val="-1"/>
              </w:rPr>
              <m:t>F</m:t>
            </m:r>
            <m:ctrlPr>
              <w:rPr>
                <w:rFonts w:ascii="Cambria Math" w:hAnsi="Cambria Math" w:cs="微软雅黑"/>
                <w:i/>
                <w:position w:val="-1"/>
              </w:rPr>
            </m:ctrlPr>
          </m:e>
          <m:sub>
            <m:r>
              <m:rPr/>
              <w:rPr>
                <w:rFonts w:ascii="Cambria Math" w:hAnsi="Cambria Math" w:cs="微软雅黑"/>
                <w:position w:val="-1"/>
              </w:rPr>
              <m:t>R</m:t>
            </m:r>
            <m:ctrlPr>
              <w:rPr>
                <w:rFonts w:ascii="Cambria Math" w:hAnsi="Cambria Math" w:cs="微软雅黑"/>
                <w:i/>
                <w:position w:val="-1"/>
              </w:rPr>
            </m:ctrlPr>
            <w:bookmarkEnd w:id="68"/>
          </m:sub>
        </m:sSub>
        <m:r>
          <m:rPr/>
          <w:rPr>
            <w:rFonts w:hint="eastAsia" w:ascii="Cambria Math" w:hAnsi="Cambria Math" w:cs="微软雅黑"/>
            <w:position w:val="-1"/>
          </w:rPr>
          <m:t>=</m:t>
        </m:r>
        <m:f>
          <m:fPr>
            <m:ctrlPr>
              <w:rPr>
                <w:rFonts w:ascii="Cambria Math" w:hAnsi="Cambria Math" w:cs="微软雅黑"/>
                <w:i/>
                <w:position w:val="-1"/>
              </w:rPr>
            </m:ctrlPr>
          </m:fPr>
          <m:num>
            <m:sSup>
              <m:sSupPr>
                <m:ctrlPr>
                  <w:rPr>
                    <w:rFonts w:ascii="Cambria Math" w:hAnsi="Cambria Math" w:cs="微软雅黑"/>
                    <w:i/>
                    <w:position w:val="-1"/>
                  </w:rPr>
                </m:ctrlPr>
              </m:sSupPr>
              <m:e>
                <m:r>
                  <m:rPr/>
                  <w:rPr>
                    <w:rFonts w:ascii="Cambria Math" w:hAnsi="Cambria Math" w:cs="微软雅黑"/>
                    <w:position w:val="-1"/>
                  </w:rPr>
                  <m:t>Q</m:t>
                </m:r>
                <m:ctrlPr>
                  <w:rPr>
                    <w:rFonts w:ascii="Cambria Math" w:hAnsi="Cambria Math" w:cs="微软雅黑"/>
                    <w:i/>
                    <w:position w:val="-1"/>
                  </w:rPr>
                </m:ctrlPr>
              </m:e>
              <m:sup>
                <m:r>
                  <m:rPr/>
                  <w:rPr>
                    <w:rFonts w:ascii="Cambria Math" w:hAnsi="Cambria Math" w:cs="微软雅黑"/>
                    <w:position w:val="-1"/>
                  </w:rPr>
                  <m:t>'</m:t>
                </m:r>
                <m:ctrlPr>
                  <w:rPr>
                    <w:rFonts w:ascii="Cambria Math" w:hAnsi="Cambria Math" w:cs="微软雅黑"/>
                    <w:i/>
                    <w:position w:val="-1"/>
                  </w:rPr>
                </m:ctrlPr>
              </m:sup>
            </m:sSup>
            <m:ctrlPr>
              <w:rPr>
                <w:rFonts w:ascii="Cambria Math" w:hAnsi="Cambria Math" w:cs="微软雅黑"/>
                <w:i/>
                <w:position w:val="-1"/>
              </w:rPr>
            </m:ctrlPr>
          </m:num>
          <m:den>
            <m:r>
              <m:rPr/>
              <w:rPr>
                <w:rFonts w:ascii="Cambria Math" w:hAnsi="Cambria Math" w:cs="微软雅黑"/>
                <w:position w:val="-1"/>
              </w:rPr>
              <m:t>Q</m:t>
            </m:r>
            <m:ctrlPr>
              <w:rPr>
                <w:rFonts w:ascii="Cambria Math" w:hAnsi="Cambria Math" w:cs="微软雅黑"/>
                <w:i/>
                <w:position w:val="-1"/>
              </w:rPr>
            </m:ctrlPr>
          </m:den>
        </m:f>
        <m:r>
          <m:rPr/>
          <w:rPr>
            <w:rFonts w:ascii="Cambria Math" w:hAnsi="Cambria Math" w:cs="微软雅黑"/>
            <w:position w:val="-1"/>
          </w:rPr>
          <m:t>×100%</m:t>
        </m:r>
      </m:oMath>
      <w:r>
        <w:rPr>
          <w:rFonts w:ascii="宋体" w:hAnsi="宋体" w:cs="微软雅黑"/>
          <w:spacing w:val="19"/>
        </w:rPr>
        <w:t xml:space="preserve">                              </w:t>
      </w:r>
      <w:r>
        <w:rPr>
          <w:rFonts w:hint="eastAsia" w:ascii="宋体" w:hAnsi="宋体" w:cs="微软雅黑"/>
          <w:spacing w:val="19"/>
          <w:position w:val="2"/>
        </w:rPr>
        <w:t>（6）</w:t>
      </w:r>
    </w:p>
    <w:p w14:paraId="7F7F2AFD">
      <w:pPr>
        <w:pStyle w:val="57"/>
        <w:ind w:firstLine="420"/>
      </w:pPr>
      <w:r>
        <w:t>式中</w:t>
      </w:r>
      <w:r>
        <w:rPr>
          <w:rFonts w:hint="eastAsia"/>
        </w:rPr>
        <w:t>：</w:t>
      </w:r>
    </w:p>
    <w:p w14:paraId="4CA1230C">
      <w:pPr>
        <w:pStyle w:val="57"/>
        <w:ind w:firstLine="420"/>
      </w:pPr>
      <m:oMath>
        <m:sSub>
          <m:sSubPr>
            <m:ctrlPr>
              <w:rPr>
                <w:rFonts w:ascii="Cambria Math" w:hAnsi="Cambria Math" w:cs="微软雅黑"/>
                <w:i/>
                <w:kern w:val="2"/>
                <w:position w:val="-1"/>
                <w:szCs w:val="21"/>
              </w:rPr>
            </m:ctrlPr>
          </m:sSubPr>
          <m:e>
            <m:r>
              <m:rPr/>
              <w:rPr>
                <w:rFonts w:ascii="Cambria Math" w:hAnsi="Cambria Math" w:cs="微软雅黑"/>
                <w:position w:val="-1"/>
                <w:szCs w:val="21"/>
              </w:rPr>
              <m:t>F</m:t>
            </m:r>
            <m:ctrlPr>
              <w:rPr>
                <w:rFonts w:ascii="Cambria Math" w:hAnsi="Cambria Math" w:cs="微软雅黑"/>
                <w:i/>
                <w:kern w:val="2"/>
                <w:position w:val="-1"/>
                <w:szCs w:val="21"/>
              </w:rPr>
            </m:ctrlPr>
          </m:e>
          <m:sub>
            <m:r>
              <m:rPr/>
              <w:rPr>
                <w:rFonts w:ascii="Cambria Math" w:hAnsi="Cambria Math" w:cs="微软雅黑"/>
                <w:position w:val="-1"/>
                <w:szCs w:val="21"/>
              </w:rPr>
              <m:t>R</m:t>
            </m:r>
            <m:ctrlPr>
              <w:rPr>
                <w:rFonts w:ascii="Cambria Math" w:hAnsi="Cambria Math" w:cs="微软雅黑"/>
                <w:i/>
                <w:kern w:val="2"/>
                <w:position w:val="-1"/>
                <w:szCs w:val="21"/>
              </w:rPr>
            </m:ctrlPr>
          </m:sub>
        </m:sSub>
      </m:oMath>
      <w:r>
        <w:t xml:space="preserve"> </w:t>
      </w:r>
      <w:r>
        <w:rPr>
          <w:rFonts w:hint="eastAsia"/>
        </w:rPr>
        <w:t>——</w:t>
      </w:r>
      <w:r>
        <w:t>河道行洪能力保证程度</w:t>
      </w:r>
      <w:r>
        <w:rPr>
          <w:rFonts w:hint="eastAsia"/>
        </w:rPr>
        <w:t>；</w:t>
      </w:r>
    </w:p>
    <w:p w14:paraId="5CCA5601">
      <w:pPr>
        <w:pStyle w:val="57"/>
        <w:ind w:firstLine="420"/>
      </w:pPr>
      <m:oMath>
        <m:sSup>
          <m:sSupPr>
            <m:ctrlPr>
              <w:rPr>
                <w:rFonts w:ascii="Cambria Math" w:hAnsi="Cambria Math" w:cs="微软雅黑"/>
                <w:i/>
                <w:kern w:val="2"/>
                <w:position w:val="-1"/>
                <w:szCs w:val="21"/>
              </w:rPr>
            </m:ctrlPr>
          </m:sSupPr>
          <m:e>
            <m:r>
              <m:rPr/>
              <w:rPr>
                <w:rFonts w:ascii="Cambria Math" w:hAnsi="Cambria Math" w:cs="微软雅黑"/>
                <w:position w:val="-1"/>
                <w:szCs w:val="21"/>
              </w:rPr>
              <m:t>Q</m:t>
            </m:r>
            <m:ctrlPr>
              <w:rPr>
                <w:rFonts w:ascii="Cambria Math" w:hAnsi="Cambria Math" w:cs="微软雅黑"/>
                <w:i/>
                <w:kern w:val="2"/>
                <w:position w:val="-1"/>
                <w:szCs w:val="21"/>
              </w:rPr>
            </m:ctrlPr>
          </m:e>
          <m:sup>
            <m:r>
              <m:rPr/>
              <w:rPr>
                <w:rFonts w:ascii="Cambria Math" w:hAnsi="Cambria Math" w:cs="微软雅黑"/>
                <w:position w:val="-1"/>
                <w:szCs w:val="21"/>
              </w:rPr>
              <m:t>'</m:t>
            </m:r>
            <m:ctrlPr>
              <w:rPr>
                <w:rFonts w:ascii="Cambria Math" w:hAnsi="Cambria Math" w:cs="微软雅黑"/>
                <w:i/>
                <w:kern w:val="2"/>
                <w:position w:val="-1"/>
                <w:szCs w:val="21"/>
              </w:rPr>
            </m:ctrlPr>
          </m:sup>
        </m:sSup>
      </m:oMath>
      <w:r>
        <w:t xml:space="preserve"> </w:t>
      </w:r>
      <w:r>
        <w:rPr>
          <w:rFonts w:hint="eastAsia"/>
        </w:rPr>
        <w:t>——</w:t>
      </w:r>
      <w:r>
        <w:t>现状行洪能力</w:t>
      </w:r>
      <w:r>
        <w:rPr>
          <w:rFonts w:hint="eastAsia"/>
        </w:rPr>
        <w:t>，单位为立方米每秒（m</w:t>
      </w:r>
      <w:r>
        <w:rPr>
          <w:vertAlign w:val="superscript"/>
        </w:rPr>
        <w:t>3</w:t>
      </w:r>
      <w:r>
        <w:t>/</w:t>
      </w:r>
      <w:r>
        <w:rPr>
          <w:rFonts w:hint="eastAsia"/>
        </w:rPr>
        <w:t>s）；</w:t>
      </w:r>
    </w:p>
    <w:p w14:paraId="59524B9D">
      <w:pPr>
        <w:pStyle w:val="57"/>
        <w:ind w:firstLine="420"/>
        <w:rPr>
          <w:rFonts w:hAnsi="宋体" w:cs="宋体"/>
        </w:rPr>
      </w:pPr>
      <m:oMath>
        <m:r>
          <m:rPr/>
          <w:rPr>
            <w:rFonts w:ascii="Cambria Math" w:hAnsi="Cambria Math" w:cs="微软雅黑"/>
            <w:position w:val="-1"/>
            <w:szCs w:val="21"/>
          </w:rPr>
          <m:t>Q</m:t>
        </m:r>
      </m:oMath>
      <w:r>
        <w:rPr>
          <w:rFonts w:hAnsi="宋体" w:cs="宋体"/>
        </w:rPr>
        <w:t xml:space="preserve"> </w:t>
      </w:r>
      <w:r>
        <w:rPr>
          <w:rFonts w:hint="eastAsia" w:hAnsi="宋体" w:cs="宋体"/>
        </w:rPr>
        <w:t>——</w:t>
      </w:r>
      <w:r>
        <w:rPr>
          <w:rFonts w:hAnsi="宋体" w:cs="宋体"/>
        </w:rPr>
        <w:t>设计行洪能力</w:t>
      </w:r>
      <w:r>
        <w:rPr>
          <w:rFonts w:hint="eastAsia"/>
        </w:rPr>
        <w:t>，单位为立方米每秒</w:t>
      </w:r>
      <w:r>
        <w:rPr>
          <w:rFonts w:hint="eastAsia" w:hAnsi="宋体" w:cs="宋体"/>
        </w:rPr>
        <w:t>（m</w:t>
      </w:r>
      <w:r>
        <w:rPr>
          <w:rFonts w:hAnsi="宋体" w:cs="宋体"/>
          <w:vertAlign w:val="superscript"/>
        </w:rPr>
        <w:t>3</w:t>
      </w:r>
      <w:r>
        <w:rPr>
          <w:rFonts w:hAnsi="宋体" w:cs="宋体"/>
        </w:rPr>
        <w:t>/</w:t>
      </w:r>
      <w:r>
        <w:rPr>
          <w:rFonts w:hint="eastAsia" w:hAnsi="宋体" w:cs="宋体"/>
        </w:rPr>
        <w:t>s）</w:t>
      </w:r>
      <w:r>
        <w:rPr>
          <w:rFonts w:hAnsi="宋体" w:cs="宋体"/>
        </w:rPr>
        <w:t>。</w:t>
      </w:r>
    </w:p>
    <w:p w14:paraId="452BAB6A">
      <w:pPr>
        <w:pStyle w:val="113"/>
        <w:spacing w:before="156" w:after="156"/>
      </w:pPr>
      <w:r>
        <w:t>河道行洪能力保证程度赋分标准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84"/>
        <w:gridCol w:w="1330"/>
        <w:gridCol w:w="1330"/>
        <w:gridCol w:w="1330"/>
        <w:gridCol w:w="1330"/>
        <w:gridCol w:w="1330"/>
      </w:tblGrid>
      <w:tr w14:paraId="3243E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684" w:type="dxa"/>
            <w:tcBorders>
              <w:top w:val="single" w:color="auto" w:sz="8" w:space="0"/>
              <w:bottom w:val="single" w:color="auto" w:sz="8" w:space="0"/>
            </w:tcBorders>
            <w:shd w:val="clear" w:color="auto" w:fill="auto"/>
          </w:tcPr>
          <w:p w14:paraId="44A68A55">
            <w:pPr>
              <w:pStyle w:val="179"/>
              <w:rPr>
                <w:rFonts w:hAnsi="宋体"/>
              </w:rPr>
            </w:pPr>
            <w:r>
              <w:t>河道行洪能力保证程度/%</w:t>
            </w:r>
          </w:p>
        </w:tc>
        <w:tc>
          <w:tcPr>
            <w:tcW w:w="1330" w:type="dxa"/>
            <w:tcBorders>
              <w:top w:val="single" w:color="auto" w:sz="8" w:space="0"/>
              <w:bottom w:val="single" w:color="auto" w:sz="8" w:space="0"/>
            </w:tcBorders>
            <w:shd w:val="clear" w:color="auto" w:fill="auto"/>
          </w:tcPr>
          <w:p w14:paraId="4415AD7B">
            <w:pPr>
              <w:pStyle w:val="179"/>
              <w:rPr>
                <w:rFonts w:hAnsi="宋体"/>
              </w:rPr>
            </w:pPr>
            <w:r>
              <w:t>100</w:t>
            </w:r>
          </w:p>
        </w:tc>
        <w:tc>
          <w:tcPr>
            <w:tcW w:w="1330" w:type="dxa"/>
            <w:tcBorders>
              <w:top w:val="single" w:color="auto" w:sz="8" w:space="0"/>
              <w:bottom w:val="single" w:color="auto" w:sz="8" w:space="0"/>
            </w:tcBorders>
            <w:shd w:val="clear" w:color="auto" w:fill="auto"/>
          </w:tcPr>
          <w:p w14:paraId="0EAD0FEB">
            <w:pPr>
              <w:pStyle w:val="179"/>
              <w:rPr>
                <w:rFonts w:hAnsi="宋体"/>
              </w:rPr>
            </w:pPr>
            <w:r>
              <w:t>90</w:t>
            </w:r>
          </w:p>
        </w:tc>
        <w:tc>
          <w:tcPr>
            <w:tcW w:w="1330" w:type="dxa"/>
            <w:tcBorders>
              <w:top w:val="single" w:color="auto" w:sz="8" w:space="0"/>
              <w:bottom w:val="single" w:color="auto" w:sz="8" w:space="0"/>
            </w:tcBorders>
            <w:shd w:val="clear" w:color="auto" w:fill="auto"/>
          </w:tcPr>
          <w:p w14:paraId="204861BF">
            <w:pPr>
              <w:pStyle w:val="179"/>
              <w:rPr>
                <w:rFonts w:hAnsi="宋体"/>
              </w:rPr>
            </w:pPr>
            <w:r>
              <w:t>85</w:t>
            </w:r>
          </w:p>
        </w:tc>
        <w:tc>
          <w:tcPr>
            <w:tcW w:w="1330" w:type="dxa"/>
            <w:tcBorders>
              <w:top w:val="single" w:color="auto" w:sz="8" w:space="0"/>
              <w:bottom w:val="single" w:color="auto" w:sz="8" w:space="0"/>
            </w:tcBorders>
            <w:shd w:val="clear" w:color="auto" w:fill="auto"/>
          </w:tcPr>
          <w:p w14:paraId="13DA98C8">
            <w:pPr>
              <w:pStyle w:val="179"/>
              <w:rPr>
                <w:rFonts w:hAnsi="宋体"/>
              </w:rPr>
            </w:pPr>
            <w:r>
              <w:t>70</w:t>
            </w:r>
          </w:p>
        </w:tc>
        <w:tc>
          <w:tcPr>
            <w:tcW w:w="1330" w:type="dxa"/>
            <w:tcBorders>
              <w:top w:val="single" w:color="auto" w:sz="8" w:space="0"/>
              <w:bottom w:val="single" w:color="auto" w:sz="8" w:space="0"/>
            </w:tcBorders>
            <w:shd w:val="clear" w:color="auto" w:fill="auto"/>
          </w:tcPr>
          <w:p w14:paraId="4423F391">
            <w:pPr>
              <w:pStyle w:val="179"/>
              <w:rPr>
                <w:rFonts w:hAnsi="宋体"/>
              </w:rPr>
            </w:pPr>
            <w:r>
              <w:rPr>
                <w:rFonts w:hAnsi="宋体"/>
              </w:rPr>
              <w:t>≤</w:t>
            </w:r>
            <w:r>
              <w:t>50</w:t>
            </w:r>
          </w:p>
        </w:tc>
      </w:tr>
      <w:tr w14:paraId="2A3AD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tcBorders>
              <w:top w:val="single" w:color="auto" w:sz="8" w:space="0"/>
            </w:tcBorders>
            <w:shd w:val="clear" w:color="auto" w:fill="auto"/>
          </w:tcPr>
          <w:p w14:paraId="7176FB0B">
            <w:pPr>
              <w:pStyle w:val="179"/>
              <w:rPr>
                <w:rFonts w:hAnsi="宋体"/>
              </w:rPr>
            </w:pPr>
            <w:r>
              <w:t>赋分/分</w:t>
            </w:r>
          </w:p>
        </w:tc>
        <w:tc>
          <w:tcPr>
            <w:tcW w:w="1330" w:type="dxa"/>
            <w:tcBorders>
              <w:top w:val="single" w:color="auto" w:sz="8" w:space="0"/>
            </w:tcBorders>
            <w:shd w:val="clear" w:color="auto" w:fill="auto"/>
          </w:tcPr>
          <w:p w14:paraId="7C89CA08">
            <w:pPr>
              <w:pStyle w:val="179"/>
              <w:rPr>
                <w:rFonts w:hAnsi="宋体"/>
              </w:rPr>
            </w:pPr>
            <w:r>
              <w:t>100</w:t>
            </w:r>
          </w:p>
        </w:tc>
        <w:tc>
          <w:tcPr>
            <w:tcW w:w="1330" w:type="dxa"/>
            <w:tcBorders>
              <w:top w:val="single" w:color="auto" w:sz="8" w:space="0"/>
            </w:tcBorders>
            <w:shd w:val="clear" w:color="auto" w:fill="auto"/>
          </w:tcPr>
          <w:p w14:paraId="4D188A9E">
            <w:pPr>
              <w:pStyle w:val="179"/>
              <w:rPr>
                <w:rFonts w:hAnsi="宋体"/>
              </w:rPr>
            </w:pPr>
            <w:r>
              <w:t>75</w:t>
            </w:r>
          </w:p>
        </w:tc>
        <w:tc>
          <w:tcPr>
            <w:tcW w:w="1330" w:type="dxa"/>
            <w:tcBorders>
              <w:top w:val="single" w:color="auto" w:sz="8" w:space="0"/>
            </w:tcBorders>
            <w:shd w:val="clear" w:color="auto" w:fill="auto"/>
          </w:tcPr>
          <w:p w14:paraId="418AB706">
            <w:pPr>
              <w:pStyle w:val="179"/>
              <w:rPr>
                <w:rFonts w:hAnsi="宋体"/>
              </w:rPr>
            </w:pPr>
            <w:r>
              <w:t>50</w:t>
            </w:r>
          </w:p>
        </w:tc>
        <w:tc>
          <w:tcPr>
            <w:tcW w:w="1330" w:type="dxa"/>
            <w:tcBorders>
              <w:top w:val="single" w:color="auto" w:sz="8" w:space="0"/>
            </w:tcBorders>
            <w:shd w:val="clear" w:color="auto" w:fill="auto"/>
          </w:tcPr>
          <w:p w14:paraId="019C430A">
            <w:pPr>
              <w:pStyle w:val="179"/>
              <w:rPr>
                <w:rFonts w:hAnsi="宋体"/>
              </w:rPr>
            </w:pPr>
            <w:r>
              <w:t>25</w:t>
            </w:r>
          </w:p>
        </w:tc>
        <w:tc>
          <w:tcPr>
            <w:tcW w:w="1330" w:type="dxa"/>
            <w:tcBorders>
              <w:top w:val="single" w:color="auto" w:sz="8" w:space="0"/>
            </w:tcBorders>
            <w:shd w:val="clear" w:color="auto" w:fill="auto"/>
          </w:tcPr>
          <w:p w14:paraId="62C492A6">
            <w:pPr>
              <w:pStyle w:val="179"/>
              <w:rPr>
                <w:rFonts w:hAnsi="宋体"/>
              </w:rPr>
            </w:pPr>
            <w:r>
              <w:t>0</w:t>
            </w:r>
          </w:p>
        </w:tc>
      </w:tr>
    </w:tbl>
    <w:p w14:paraId="2B431F7C">
      <w:pPr>
        <w:pStyle w:val="106"/>
        <w:spacing w:before="156" w:after="156"/>
      </w:pPr>
      <w:bookmarkStart w:id="69" w:name="_Toc242796889"/>
      <w:bookmarkStart w:id="70" w:name="_Toc242804733"/>
      <w:r>
        <w:rPr>
          <w:rFonts w:hint="eastAsia"/>
        </w:rPr>
        <w:t>岸线自然状况</w:t>
      </w:r>
      <w:bookmarkEnd w:id="69"/>
      <w:bookmarkEnd w:id="70"/>
    </w:p>
    <w:p w14:paraId="491BB110">
      <w:pPr>
        <w:pStyle w:val="166"/>
      </w:pPr>
      <w:r>
        <w:rPr>
          <w:rFonts w:hint="eastAsia"/>
        </w:rPr>
        <w:t>对于以景观和生态功能为主的河流评价岸线自然状况（图2）。岸线自然状况根据河（湖）岸稳定性和岸线生态性</w:t>
      </w:r>
      <w:r>
        <w:t>2</w:t>
      </w:r>
      <w:r>
        <w:rPr>
          <w:rFonts w:hint="eastAsia"/>
        </w:rPr>
        <w:t>项子指标综合确定，采用子指标赋分的平均值作为该项指标赋分结果。</w:t>
      </w:r>
    </w:p>
    <w:p w14:paraId="04829ACF">
      <w:pPr>
        <w:pStyle w:val="57"/>
        <w:ind w:firstLine="0" w:firstLineChars="0"/>
        <w:jc w:val="center"/>
      </w:pPr>
      <w:r>
        <w:rPr>
          <w:rFonts w:hint="eastAsia"/>
        </w:rPr>
        <w:drawing>
          <wp:inline distT="0" distB="0" distL="0" distR="0">
            <wp:extent cx="4904740" cy="1880870"/>
            <wp:effectExtent l="0" t="0" r="0" b="5080"/>
            <wp:docPr id="7"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a:picLocks noChangeAspect="1"/>
                    </pic:cNvPicPr>
                  </pic:nvPicPr>
                  <pic:blipFill>
                    <a:blip r:embed="rId17" cstate="print">
                      <a:extLst>
                        <a:ext uri="{28A0092B-C50C-407E-A947-70E740481C1C}">
                          <a14:useLocalDpi xmlns:a14="http://schemas.microsoft.com/office/drawing/2010/main" val="0"/>
                        </a:ext>
                      </a:extLst>
                    </a:blip>
                    <a:srcRect l="3709" t="34129" r="1958" b="37778"/>
                    <a:stretch>
                      <a:fillRect/>
                    </a:stretch>
                  </pic:blipFill>
                  <pic:spPr>
                    <a:xfrm>
                      <a:off x="0" y="0"/>
                      <a:ext cx="4920787" cy="1886963"/>
                    </a:xfrm>
                    <a:prstGeom prst="rect">
                      <a:avLst/>
                    </a:prstGeom>
                    <a:ln>
                      <a:noFill/>
                    </a:ln>
                  </pic:spPr>
                </pic:pic>
              </a:graphicData>
            </a:graphic>
          </wp:inline>
        </w:drawing>
      </w:r>
    </w:p>
    <w:p w14:paraId="212BF327">
      <w:pPr>
        <w:pStyle w:val="57"/>
        <w:ind w:firstLine="0" w:firstLineChars="0"/>
        <w:jc w:val="center"/>
        <w:rPr>
          <w:rFonts w:ascii="黑体" w:hAnsi="黑体" w:eastAsia="黑体"/>
          <w:sz w:val="18"/>
          <w:szCs w:val="18"/>
        </w:rPr>
      </w:pPr>
      <w:r>
        <w:rPr>
          <w:rFonts w:hint="eastAsia" w:ascii="黑体" w:hAnsi="黑体" w:eastAsia="黑体"/>
          <w:sz w:val="18"/>
          <w:szCs w:val="18"/>
        </w:rPr>
        <w:t>a）护坡截面示意图                              b）护坡俯视示意图</w:t>
      </w:r>
    </w:p>
    <w:p w14:paraId="21799CF7">
      <w:pPr>
        <w:pStyle w:val="115"/>
        <w:spacing w:before="156" w:after="156"/>
      </w:pPr>
      <w:r>
        <w:t>河（湖）岸稳定性指标</w:t>
      </w:r>
      <w:r>
        <w:rPr>
          <w:rFonts w:hint="eastAsia"/>
        </w:rPr>
        <w:t>调查内容</w:t>
      </w:r>
      <w:r>
        <w:t>示意图</w:t>
      </w:r>
    </w:p>
    <w:p w14:paraId="5187782F">
      <w:pPr>
        <w:pStyle w:val="166"/>
      </w:pPr>
      <w:r>
        <w:t>河（湖）岸稳定性</w:t>
      </w:r>
      <w:r>
        <w:rPr>
          <w:rFonts w:hint="eastAsia"/>
        </w:rPr>
        <w:t>包括护坡</w:t>
      </w:r>
      <w:r>
        <w:t>植被覆盖度</w:t>
      </w:r>
      <w:r>
        <w:rPr>
          <w:rFonts w:hint="eastAsia"/>
        </w:rPr>
        <w:t>（</w:t>
      </w:r>
      <w:r>
        <w:t>SC</w:t>
      </w:r>
      <w:r>
        <w:rPr>
          <w:vertAlign w:val="subscript"/>
        </w:rPr>
        <w:t>r</w:t>
      </w:r>
      <w:r>
        <w:rPr>
          <w:rFonts w:hint="eastAsia"/>
        </w:rPr>
        <w:t>）、</w:t>
      </w:r>
      <w:r>
        <w:t>坡脚冲刷强度</w:t>
      </w:r>
      <w:r>
        <w:rPr>
          <w:rFonts w:hint="eastAsia"/>
        </w:rPr>
        <w:t>（</w:t>
      </w:r>
      <w:r>
        <w:t>ST</w:t>
      </w:r>
      <w:r>
        <w:rPr>
          <w:vertAlign w:val="subscript"/>
        </w:rPr>
        <w:t>r</w:t>
      </w:r>
      <w:r>
        <w:rPr>
          <w:rFonts w:hint="eastAsia"/>
        </w:rPr>
        <w:t>）2项调查内容</w:t>
      </w:r>
      <w:r>
        <w:rPr>
          <w:rFonts w:hint="eastAsia" w:hAnsi="宋体" w:cs="宋体"/>
        </w:rPr>
        <w:t>，采用赋分的平均值作为该项指标赋分结果</w:t>
      </w:r>
      <w:r>
        <w:rPr>
          <w:rFonts w:hint="eastAsia"/>
        </w:rPr>
        <w:t>。</w:t>
      </w:r>
      <w:r>
        <w:rPr>
          <w:rFonts w:hint="eastAsia" w:hAnsi="宋体" w:cs="宋体"/>
        </w:rPr>
        <w:t>赋分标准见表</w:t>
      </w:r>
      <w:r>
        <w:rPr>
          <w:rFonts w:hAnsi="宋体" w:cs="宋体"/>
        </w:rPr>
        <w:t>6</w:t>
      </w:r>
      <w:r>
        <w:rPr>
          <w:rFonts w:hint="eastAsia" w:hAnsi="宋体" w:cs="宋体"/>
        </w:rPr>
        <w:t>。</w:t>
      </w:r>
    </w:p>
    <w:p w14:paraId="551A95B7">
      <w:pPr>
        <w:pStyle w:val="113"/>
        <w:spacing w:before="156" w:after="156"/>
      </w:pPr>
      <w:r>
        <w:t>河（湖）岸稳定性</w:t>
      </w:r>
      <w:r>
        <w:rPr>
          <w:rFonts w:hint="eastAsia"/>
        </w:rPr>
        <w:t>各项调查内容</w:t>
      </w:r>
      <w:r>
        <w:t>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825"/>
        <w:gridCol w:w="1627"/>
        <w:gridCol w:w="1627"/>
        <w:gridCol w:w="1627"/>
        <w:gridCol w:w="1628"/>
      </w:tblGrid>
      <w:tr w14:paraId="5C0D9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825" w:type="dxa"/>
            <w:tcBorders>
              <w:top w:val="single" w:color="auto" w:sz="8" w:space="0"/>
              <w:bottom w:val="single" w:color="auto" w:sz="8" w:space="0"/>
            </w:tcBorders>
            <w:shd w:val="clear" w:color="auto" w:fill="auto"/>
            <w:vAlign w:val="center"/>
          </w:tcPr>
          <w:p w14:paraId="1EC0F88B">
            <w:pPr>
              <w:pStyle w:val="179"/>
            </w:pPr>
            <w:r>
              <w:t>河岸特征</w:t>
            </w:r>
          </w:p>
        </w:tc>
        <w:tc>
          <w:tcPr>
            <w:tcW w:w="1627" w:type="dxa"/>
            <w:tcBorders>
              <w:top w:val="single" w:color="auto" w:sz="8" w:space="0"/>
              <w:bottom w:val="single" w:color="auto" w:sz="8" w:space="0"/>
            </w:tcBorders>
            <w:shd w:val="clear" w:color="auto" w:fill="auto"/>
            <w:vAlign w:val="center"/>
          </w:tcPr>
          <w:p w14:paraId="6C0BBE9D">
            <w:pPr>
              <w:pStyle w:val="179"/>
            </w:pPr>
            <w:r>
              <w:t>稳定</w:t>
            </w:r>
          </w:p>
        </w:tc>
        <w:tc>
          <w:tcPr>
            <w:tcW w:w="1627" w:type="dxa"/>
            <w:tcBorders>
              <w:top w:val="single" w:color="auto" w:sz="8" w:space="0"/>
              <w:bottom w:val="single" w:color="auto" w:sz="8" w:space="0"/>
            </w:tcBorders>
            <w:shd w:val="clear" w:color="auto" w:fill="auto"/>
            <w:vAlign w:val="center"/>
          </w:tcPr>
          <w:p w14:paraId="199C903D">
            <w:pPr>
              <w:pStyle w:val="179"/>
            </w:pPr>
            <w:r>
              <w:t>基本稳定</w:t>
            </w:r>
          </w:p>
        </w:tc>
        <w:tc>
          <w:tcPr>
            <w:tcW w:w="1627" w:type="dxa"/>
            <w:tcBorders>
              <w:top w:val="single" w:color="auto" w:sz="8" w:space="0"/>
              <w:bottom w:val="single" w:color="auto" w:sz="8" w:space="0"/>
            </w:tcBorders>
            <w:shd w:val="clear" w:color="auto" w:fill="auto"/>
            <w:vAlign w:val="center"/>
          </w:tcPr>
          <w:p w14:paraId="265629BC">
            <w:pPr>
              <w:pStyle w:val="179"/>
            </w:pPr>
            <w:r>
              <w:t>次不稳定</w:t>
            </w:r>
          </w:p>
        </w:tc>
        <w:tc>
          <w:tcPr>
            <w:tcW w:w="1628" w:type="dxa"/>
            <w:tcBorders>
              <w:top w:val="single" w:color="auto" w:sz="8" w:space="0"/>
              <w:bottom w:val="single" w:color="auto" w:sz="8" w:space="0"/>
            </w:tcBorders>
            <w:shd w:val="clear" w:color="auto" w:fill="auto"/>
            <w:vAlign w:val="center"/>
          </w:tcPr>
          <w:p w14:paraId="528BE644">
            <w:pPr>
              <w:pStyle w:val="179"/>
            </w:pPr>
            <w:r>
              <w:t>不稳定</w:t>
            </w:r>
          </w:p>
        </w:tc>
      </w:tr>
      <w:tr w14:paraId="6A7F5C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825" w:type="dxa"/>
            <w:tcBorders>
              <w:top w:val="single" w:color="auto" w:sz="8" w:space="0"/>
            </w:tcBorders>
            <w:shd w:val="clear" w:color="auto" w:fill="auto"/>
            <w:vAlign w:val="center"/>
          </w:tcPr>
          <w:p w14:paraId="10851F77">
            <w:pPr>
              <w:pStyle w:val="179"/>
            </w:pPr>
            <w:r>
              <w:t>分值</w:t>
            </w:r>
            <w:r>
              <w:rPr>
                <w:rFonts w:hint="eastAsia"/>
              </w:rPr>
              <w:t>/分</w:t>
            </w:r>
          </w:p>
        </w:tc>
        <w:tc>
          <w:tcPr>
            <w:tcW w:w="1627" w:type="dxa"/>
            <w:tcBorders>
              <w:top w:val="single" w:color="auto" w:sz="8" w:space="0"/>
            </w:tcBorders>
            <w:shd w:val="clear" w:color="auto" w:fill="auto"/>
            <w:vAlign w:val="center"/>
          </w:tcPr>
          <w:p w14:paraId="5E14CE1A">
            <w:pPr>
              <w:pStyle w:val="179"/>
            </w:pPr>
            <w:r>
              <w:t>100</w:t>
            </w:r>
          </w:p>
        </w:tc>
        <w:tc>
          <w:tcPr>
            <w:tcW w:w="1627" w:type="dxa"/>
            <w:tcBorders>
              <w:top w:val="single" w:color="auto" w:sz="8" w:space="0"/>
            </w:tcBorders>
            <w:shd w:val="clear" w:color="auto" w:fill="auto"/>
            <w:vAlign w:val="center"/>
          </w:tcPr>
          <w:p w14:paraId="5F33AC49">
            <w:pPr>
              <w:pStyle w:val="179"/>
            </w:pPr>
            <w:r>
              <w:t>75</w:t>
            </w:r>
          </w:p>
        </w:tc>
        <w:tc>
          <w:tcPr>
            <w:tcW w:w="1627" w:type="dxa"/>
            <w:tcBorders>
              <w:top w:val="single" w:color="auto" w:sz="8" w:space="0"/>
            </w:tcBorders>
            <w:shd w:val="clear" w:color="auto" w:fill="auto"/>
            <w:vAlign w:val="center"/>
          </w:tcPr>
          <w:p w14:paraId="5C655B7D">
            <w:pPr>
              <w:pStyle w:val="179"/>
            </w:pPr>
            <w:r>
              <w:t>25</w:t>
            </w:r>
          </w:p>
        </w:tc>
        <w:tc>
          <w:tcPr>
            <w:tcW w:w="1628" w:type="dxa"/>
            <w:tcBorders>
              <w:top w:val="single" w:color="auto" w:sz="8" w:space="0"/>
            </w:tcBorders>
            <w:shd w:val="clear" w:color="auto" w:fill="auto"/>
            <w:vAlign w:val="center"/>
          </w:tcPr>
          <w:p w14:paraId="3773A4A0">
            <w:pPr>
              <w:pStyle w:val="179"/>
            </w:pPr>
            <w:r>
              <w:t>0</w:t>
            </w:r>
          </w:p>
        </w:tc>
      </w:tr>
      <w:tr w14:paraId="6D6AC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825" w:type="dxa"/>
            <w:shd w:val="clear" w:color="auto" w:fill="auto"/>
            <w:vAlign w:val="center"/>
          </w:tcPr>
          <w:p w14:paraId="3303D494">
            <w:pPr>
              <w:pStyle w:val="179"/>
            </w:pPr>
            <w:r>
              <w:rPr>
                <w:rFonts w:hint="eastAsia"/>
              </w:rPr>
              <w:t>护坡</w:t>
            </w:r>
            <w:r>
              <w:t>植被覆盖度</w:t>
            </w:r>
            <w:r>
              <w:rPr>
                <w:rFonts w:hint="eastAsia"/>
              </w:rPr>
              <w:t>（</w:t>
            </w:r>
            <w:r>
              <w:t>SC</w:t>
            </w:r>
            <w:r>
              <w:rPr>
                <w:vertAlign w:val="subscript"/>
              </w:rPr>
              <w:t>r</w:t>
            </w:r>
            <w:r>
              <w:rPr>
                <w:rFonts w:hint="eastAsia"/>
              </w:rPr>
              <w:t>）</w:t>
            </w:r>
          </w:p>
        </w:tc>
        <w:tc>
          <w:tcPr>
            <w:tcW w:w="1627" w:type="dxa"/>
            <w:shd w:val="clear" w:color="auto" w:fill="auto"/>
            <w:vAlign w:val="center"/>
          </w:tcPr>
          <w:p w14:paraId="34FF01DD">
            <w:pPr>
              <w:pStyle w:val="179"/>
            </w:pPr>
            <w:bookmarkStart w:id="71" w:name="OLE_LINK2"/>
            <w:r>
              <w:t>SC</w:t>
            </w:r>
            <w:r>
              <w:rPr>
                <w:vertAlign w:val="subscript"/>
              </w:rPr>
              <w:t>r</w:t>
            </w:r>
            <w:bookmarkEnd w:id="71"/>
            <w:r>
              <w:rPr>
                <w:rFonts w:hint="eastAsia"/>
              </w:rPr>
              <w:t>≥</w:t>
            </w:r>
            <w:r>
              <w:t>75%</w:t>
            </w:r>
          </w:p>
        </w:tc>
        <w:tc>
          <w:tcPr>
            <w:tcW w:w="1627" w:type="dxa"/>
            <w:shd w:val="clear" w:color="auto" w:fill="auto"/>
            <w:vAlign w:val="center"/>
          </w:tcPr>
          <w:p w14:paraId="35F75BCB">
            <w:pPr>
              <w:pStyle w:val="179"/>
            </w:pPr>
            <w:r>
              <w:t>50%</w:t>
            </w:r>
            <w:r>
              <w:rPr>
                <w:rFonts w:hint="eastAsia"/>
              </w:rPr>
              <w:t>≤</w:t>
            </w:r>
            <w:r>
              <w:t>SC</w:t>
            </w:r>
            <w:r>
              <w:rPr>
                <w:vertAlign w:val="subscript"/>
              </w:rPr>
              <w:t>r</w:t>
            </w:r>
            <w:r>
              <w:rPr>
                <w:rFonts w:hint="eastAsia"/>
              </w:rPr>
              <w:t>＜</w:t>
            </w:r>
            <w:r>
              <w:t>75%</w:t>
            </w:r>
          </w:p>
        </w:tc>
        <w:tc>
          <w:tcPr>
            <w:tcW w:w="1627" w:type="dxa"/>
            <w:shd w:val="clear" w:color="auto" w:fill="auto"/>
            <w:vAlign w:val="center"/>
          </w:tcPr>
          <w:p w14:paraId="6D8952C9">
            <w:pPr>
              <w:pStyle w:val="179"/>
            </w:pPr>
            <w:r>
              <w:t>25%</w:t>
            </w:r>
            <w:r>
              <w:rPr>
                <w:rFonts w:hint="eastAsia"/>
              </w:rPr>
              <w:t>≤</w:t>
            </w:r>
            <w:r>
              <w:t>SC</w:t>
            </w:r>
            <w:r>
              <w:rPr>
                <w:vertAlign w:val="subscript"/>
              </w:rPr>
              <w:t>r</w:t>
            </w:r>
            <w:r>
              <w:rPr>
                <w:rFonts w:hint="eastAsia"/>
              </w:rPr>
              <w:t>＜</w:t>
            </w:r>
            <w:r>
              <w:t>50%</w:t>
            </w:r>
          </w:p>
        </w:tc>
        <w:tc>
          <w:tcPr>
            <w:tcW w:w="1628" w:type="dxa"/>
            <w:shd w:val="clear" w:color="auto" w:fill="auto"/>
            <w:vAlign w:val="center"/>
          </w:tcPr>
          <w:p w14:paraId="4839D345">
            <w:pPr>
              <w:pStyle w:val="179"/>
            </w:pPr>
            <w:r>
              <w:t>SC</w:t>
            </w:r>
            <w:r>
              <w:rPr>
                <w:vertAlign w:val="subscript"/>
              </w:rPr>
              <w:t>r</w:t>
            </w:r>
            <w:r>
              <w:rPr>
                <w:rFonts w:hint="eastAsia"/>
              </w:rPr>
              <w:t>＜</w:t>
            </w:r>
            <w:r>
              <w:t>25%</w:t>
            </w:r>
          </w:p>
        </w:tc>
      </w:tr>
      <w:tr w14:paraId="5A32DE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825" w:type="dxa"/>
            <w:shd w:val="clear" w:color="auto" w:fill="auto"/>
            <w:vAlign w:val="center"/>
          </w:tcPr>
          <w:p w14:paraId="34714D68">
            <w:pPr>
              <w:pStyle w:val="179"/>
            </w:pPr>
            <w:r>
              <w:t>坡脚冲刷强度</w:t>
            </w:r>
            <w:r>
              <w:rPr>
                <w:rFonts w:hint="eastAsia"/>
              </w:rPr>
              <w:t>（</w:t>
            </w:r>
            <w:r>
              <w:t>ST</w:t>
            </w:r>
            <w:r>
              <w:rPr>
                <w:vertAlign w:val="subscript"/>
              </w:rPr>
              <w:t>r</w:t>
            </w:r>
            <w:r>
              <w:rPr>
                <w:rFonts w:hint="eastAsia"/>
              </w:rPr>
              <w:t>）</w:t>
            </w:r>
          </w:p>
        </w:tc>
        <w:tc>
          <w:tcPr>
            <w:tcW w:w="1627" w:type="dxa"/>
            <w:shd w:val="clear" w:color="auto" w:fill="auto"/>
            <w:vAlign w:val="center"/>
          </w:tcPr>
          <w:p w14:paraId="79B35A3B">
            <w:pPr>
              <w:pStyle w:val="179"/>
            </w:pPr>
            <w:r>
              <w:t>无冲刷</w:t>
            </w:r>
          </w:p>
        </w:tc>
        <w:tc>
          <w:tcPr>
            <w:tcW w:w="1627" w:type="dxa"/>
            <w:shd w:val="clear" w:color="auto" w:fill="auto"/>
            <w:vAlign w:val="center"/>
          </w:tcPr>
          <w:p w14:paraId="70998643">
            <w:pPr>
              <w:pStyle w:val="179"/>
            </w:pPr>
            <w:r>
              <w:t>轻度冲刷</w:t>
            </w:r>
          </w:p>
        </w:tc>
        <w:tc>
          <w:tcPr>
            <w:tcW w:w="1627" w:type="dxa"/>
            <w:shd w:val="clear" w:color="auto" w:fill="auto"/>
            <w:vAlign w:val="center"/>
          </w:tcPr>
          <w:p w14:paraId="4CC0A9DB">
            <w:pPr>
              <w:pStyle w:val="179"/>
            </w:pPr>
            <w:r>
              <w:t>中度冲刷</w:t>
            </w:r>
          </w:p>
        </w:tc>
        <w:tc>
          <w:tcPr>
            <w:tcW w:w="1628" w:type="dxa"/>
            <w:shd w:val="clear" w:color="auto" w:fill="auto"/>
            <w:vAlign w:val="center"/>
          </w:tcPr>
          <w:p w14:paraId="16411798">
            <w:pPr>
              <w:pStyle w:val="179"/>
            </w:pPr>
            <w:r>
              <w:t>重度冲刷</w:t>
            </w:r>
          </w:p>
        </w:tc>
      </w:tr>
    </w:tbl>
    <w:p w14:paraId="199D1E60">
      <w:pPr>
        <w:pStyle w:val="57"/>
        <w:ind w:firstLine="420"/>
      </w:pPr>
    </w:p>
    <w:p w14:paraId="5C187894">
      <w:pPr>
        <w:pStyle w:val="166"/>
      </w:pPr>
      <w:r>
        <w:rPr>
          <w:rFonts w:hint="eastAsia"/>
        </w:rPr>
        <w:t>岸线生态</w:t>
      </w:r>
      <w:r>
        <w:t>性</w:t>
      </w:r>
      <w:r>
        <w:rPr>
          <w:rFonts w:hint="eastAsia"/>
        </w:rPr>
        <w:t>包括生态岸线比例（</w:t>
      </w:r>
      <w:r>
        <w:t>PE</w:t>
      </w:r>
      <w:r>
        <w:rPr>
          <w:vertAlign w:val="subscript"/>
        </w:rPr>
        <w:t>r</w:t>
      </w:r>
      <w:r>
        <w:rPr>
          <w:rFonts w:hint="eastAsia"/>
        </w:rPr>
        <w:t>）、</w:t>
      </w:r>
      <w:r>
        <w:t>岸线植被覆盖率</w:t>
      </w:r>
      <w:r>
        <w:rPr>
          <w:rFonts w:hint="eastAsia"/>
        </w:rPr>
        <w:t>（P</w:t>
      </w:r>
      <w:r>
        <w:t>C</w:t>
      </w:r>
      <w:r>
        <w:rPr>
          <w:vertAlign w:val="subscript"/>
        </w:rPr>
        <w:t>r</w:t>
      </w:r>
      <w:r>
        <w:rPr>
          <w:rFonts w:hint="eastAsia"/>
        </w:rPr>
        <w:t>）2项调查内容</w:t>
      </w:r>
      <w:r>
        <w:rPr>
          <w:rFonts w:hint="eastAsia" w:hAnsi="宋体" w:cs="宋体"/>
        </w:rPr>
        <w:t>，采用赋分的平均值作为该项指标赋分结果</w:t>
      </w:r>
      <w:r>
        <w:rPr>
          <w:rFonts w:hint="eastAsia"/>
        </w:rPr>
        <w:t>。</w:t>
      </w:r>
      <w:bookmarkStart w:id="72" w:name="_Hlk119487659"/>
    </w:p>
    <w:p w14:paraId="31D6BC14">
      <w:pPr>
        <w:pStyle w:val="166"/>
        <w:rPr>
          <w:rFonts w:hAnsi="宋体" w:cs="宋体"/>
        </w:rPr>
      </w:pPr>
      <w:r>
        <w:rPr>
          <w:rFonts w:hint="eastAsia"/>
        </w:rPr>
        <w:t>生态岸线</w:t>
      </w:r>
      <w:bookmarkEnd w:id="72"/>
      <w:r>
        <w:rPr>
          <w:rFonts w:hint="eastAsia"/>
        </w:rPr>
        <w:t>比例（</w:t>
      </w:r>
      <w:r>
        <w:t>PE</w:t>
      </w:r>
      <w:r>
        <w:rPr>
          <w:vertAlign w:val="subscript"/>
        </w:rPr>
        <w:t>r</w:t>
      </w:r>
      <w:r>
        <w:rPr>
          <w:rFonts w:hint="eastAsia"/>
        </w:rPr>
        <w:t>）</w:t>
      </w:r>
      <w:r>
        <w:rPr>
          <w:rFonts w:hint="eastAsia" w:hAnsi="宋体" w:cs="宋体"/>
        </w:rPr>
        <w:t>得分</w:t>
      </w:r>
      <w:r>
        <w:rPr>
          <w:rFonts w:hint="eastAsia"/>
          <w:color w:val="000000" w:themeColor="text1"/>
          <w14:textFill>
            <w14:solidFill>
              <w14:schemeClr w14:val="tx1"/>
            </w14:solidFill>
          </w14:textFill>
        </w:rPr>
        <w:t>按公式（7）计算</w:t>
      </w:r>
      <w:r>
        <w:rPr>
          <w:rFonts w:hint="eastAsia"/>
        </w:rPr>
        <w:t>。生态岸线判别依据是利用植物或者植物与土木工程相结合的方法，具备防止水系岸线坍塌之外，还具备使水体与土壤相互渗透，促进水系的横向连通，兼具自然景观效果的岸线形式。</w:t>
      </w:r>
    </w:p>
    <w:p w14:paraId="4DA6ABC8">
      <w:pPr>
        <w:spacing w:line="240" w:lineRule="auto"/>
        <w:ind w:right="23"/>
        <w:jc w:val="right"/>
        <w:rPr>
          <w:rFonts w:ascii="宋体" w:hAnsi="宋体"/>
        </w:rPr>
      </w:pPr>
      <m:oMath>
        <m:sSub>
          <m:sSubPr>
            <m:ctrlPr>
              <w:rPr>
                <w:rFonts w:ascii="Cambria Math" w:hAnsi="Cambria Math" w:cs="微软雅黑"/>
                <w:i/>
              </w:rPr>
            </m:ctrlPr>
          </m:sSubPr>
          <m:e>
            <m:r>
              <m:rPr/>
              <w:rPr>
                <w:rFonts w:ascii="Cambria Math" w:hAnsi="Cambria Math" w:cs="微软雅黑"/>
              </w:rPr>
              <m:t>PE</m:t>
            </m:r>
            <m:ctrlPr>
              <w:rPr>
                <w:rFonts w:ascii="Cambria Math" w:hAnsi="Cambria Math" w:cs="微软雅黑"/>
                <w:i/>
              </w:rPr>
            </m:ctrlPr>
          </m:e>
          <m:sub>
            <m:r>
              <m:rPr/>
              <w:rPr>
                <w:rFonts w:hint="eastAsia" w:ascii="Cambria Math" w:hAnsi="Cambria Math" w:cs="微软雅黑"/>
              </w:rPr>
              <m:t>r</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4</m:t>
                </m:r>
                <m:ctrlPr>
                  <w:rPr>
                    <w:rFonts w:ascii="Cambria Math" w:hAnsi="Cambria Math" w:cs="微软雅黑"/>
                    <w:i/>
                  </w:rPr>
                </m:ctrlPr>
              </m:sub>
            </m:sSub>
            <m:ctrlPr>
              <w:rPr>
                <w:rFonts w:ascii="Cambria Math" w:hAnsi="Cambria Math" w:cs="微软雅黑"/>
                <w:i/>
              </w:rPr>
            </m:ctrlPr>
          </m:num>
          <m:den>
            <m:sSub>
              <m:sSubPr>
                <m:ctrlPr>
                  <w:rPr>
                    <w:rFonts w:ascii="Cambria Math" w:hAnsi="Cambria Math" w:cs="微软雅黑"/>
                    <w:i/>
                  </w:rPr>
                </m:ctrlPr>
              </m:sSubPr>
              <m:e>
                <m:r>
                  <m:rPr/>
                  <w:rPr>
                    <w:rFonts w:ascii="Cambria Math" w:hAnsi="Cambria Math" w:cs="微软雅黑"/>
                  </w:rPr>
                  <m:t>A</m:t>
                </m:r>
                <m:ctrlPr>
                  <w:rPr>
                    <w:rFonts w:ascii="Cambria Math" w:hAnsi="Cambria Math" w:cs="微软雅黑"/>
                    <w:i/>
                  </w:rPr>
                </m:ctrlPr>
              </m:e>
              <m:sub>
                <m:r>
                  <m:rPr/>
                  <w:rPr>
                    <w:rFonts w:ascii="Cambria Math" w:hAnsi="Cambria Math" w:cs="微软雅黑"/>
                  </w:rPr>
                  <m:t>4</m:t>
                </m:r>
                <m:ctrlPr>
                  <w:rPr>
                    <w:rFonts w:ascii="Cambria Math" w:hAnsi="Cambria Math" w:cs="微软雅黑"/>
                    <w:i/>
                  </w:rPr>
                </m:ctrlPr>
              </m:sub>
            </m:sSub>
            <m:ctrlPr>
              <w:rPr>
                <w:rFonts w:ascii="Cambria Math" w:hAnsi="Cambria Math" w:cs="微软雅黑"/>
                <w:i/>
              </w:rPr>
            </m:ctrlPr>
          </m:den>
        </m:f>
        <m:r>
          <m:rPr/>
          <w:rPr>
            <w:rFonts w:ascii="Cambria Math" w:hAnsi="Cambria Math" w:cs="微软雅黑"/>
          </w:rPr>
          <m:t>×100</m:t>
        </m:r>
      </m:oMath>
      <w:r>
        <w:rPr>
          <w:rFonts w:ascii="宋体" w:hAnsi="宋体" w:cs="微软雅黑"/>
          <w:w w:val="101"/>
        </w:rPr>
        <w:t xml:space="preserve"> </w:t>
      </w:r>
      <w:r>
        <w:rPr>
          <w:rFonts w:ascii="宋体" w:hAnsi="宋体" w:cs="微软雅黑"/>
          <w:position w:val="2"/>
        </w:rPr>
        <w:t xml:space="preserve">                                </w:t>
      </w:r>
      <w:r>
        <w:rPr>
          <w:rFonts w:hint="eastAsia" w:ascii="宋体" w:hAnsi="宋体"/>
        </w:rPr>
        <w:t>（7）</w:t>
      </w:r>
    </w:p>
    <w:p w14:paraId="0E190342">
      <w:pPr>
        <w:pStyle w:val="57"/>
        <w:ind w:firstLine="420"/>
      </w:pPr>
      <w:r>
        <w:rPr>
          <w:rFonts w:hint="eastAsia"/>
        </w:rPr>
        <w:t>式中：</w:t>
      </w:r>
    </w:p>
    <w:p w14:paraId="709EA828">
      <w:pPr>
        <w:pStyle w:val="57"/>
        <w:ind w:firstLine="420"/>
      </w:pPr>
      <m:oMath>
        <m:sSub>
          <m:sSubPr>
            <m:ctrlPr>
              <w:rPr>
                <w:rFonts w:ascii="Cambria Math" w:hAnsi="Cambria Math" w:cs="微软雅黑"/>
                <w:i/>
              </w:rPr>
            </m:ctrlPr>
          </m:sSubPr>
          <m:e>
            <m:r>
              <m:rPr/>
              <w:rPr>
                <w:rFonts w:ascii="Cambria Math" w:hAnsi="Cambria Math" w:cs="微软雅黑"/>
              </w:rPr>
              <m:t>PE</m:t>
            </m:r>
            <m:ctrlPr>
              <w:rPr>
                <w:rFonts w:ascii="Cambria Math" w:hAnsi="Cambria Math" w:cs="微软雅黑"/>
                <w:i/>
              </w:rPr>
            </m:ctrlPr>
          </m:e>
          <m:sub>
            <m:r>
              <m:rPr/>
              <w:rPr>
                <w:rFonts w:hint="eastAsia" w:ascii="Cambria Math" w:hAnsi="Cambria Math" w:cs="微软雅黑"/>
              </w:rPr>
              <m:t>r</m:t>
            </m:r>
            <m:ctrlPr>
              <w:rPr>
                <w:rFonts w:ascii="Cambria Math" w:hAnsi="Cambria Math" w:cs="微软雅黑"/>
                <w:i/>
              </w:rPr>
            </m:ctrlPr>
          </m:sub>
        </m:sSub>
        <m:r>
          <m:rPr/>
          <w:rPr>
            <w:rFonts w:ascii="Cambria Math" w:hAnsi="Cambria Math" w:cs="微软雅黑"/>
          </w:rPr>
          <m:t xml:space="preserve"> </m:t>
        </m:r>
      </m:oMath>
      <w:r>
        <w:rPr>
          <w:rFonts w:hint="eastAsia"/>
        </w:rPr>
        <w:t>——生态岸线比例得分；</w:t>
      </w:r>
    </w:p>
    <w:p w14:paraId="11A5F4AE">
      <w:pPr>
        <w:pStyle w:val="57"/>
        <w:ind w:firstLine="420"/>
      </w:pPr>
      <m:oMath>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4</m:t>
            </m:r>
            <m:ctrlPr>
              <w:rPr>
                <w:rFonts w:ascii="Cambria Math" w:hAnsi="Cambria Math" w:cs="微软雅黑"/>
                <w:i/>
              </w:rPr>
            </m:ctrlPr>
          </m:sub>
        </m:sSub>
        <m:r>
          <m:rPr/>
          <w:rPr>
            <w:rFonts w:ascii="Cambria Math" w:hAnsi="Cambria Math" w:cs="微软雅黑"/>
          </w:rPr>
          <m:t xml:space="preserve">    </m:t>
        </m:r>
      </m:oMath>
      <w:r>
        <w:rPr>
          <w:rFonts w:hint="eastAsia"/>
        </w:rPr>
        <w:t>——生态岸线长度，单位为千米（km）；</w:t>
      </w:r>
    </w:p>
    <w:p w14:paraId="459898B0">
      <w:pPr>
        <w:pStyle w:val="57"/>
        <w:ind w:firstLine="420"/>
      </w:pPr>
      <m:oMath>
        <m:sSub>
          <m:sSubPr>
            <m:ctrlPr>
              <w:rPr>
                <w:rFonts w:ascii="Cambria Math" w:hAnsi="Cambria Math" w:cs="微软雅黑"/>
                <w:i/>
                <w:kern w:val="2"/>
                <w:szCs w:val="21"/>
              </w:rPr>
            </m:ctrlPr>
          </m:sSubPr>
          <m:e>
            <m:r>
              <m:rPr/>
              <w:rPr>
                <w:rFonts w:ascii="Cambria Math" w:hAnsi="Cambria Math" w:cs="微软雅黑"/>
              </w:rPr>
              <m:t>A</m:t>
            </m:r>
            <m:ctrlPr>
              <w:rPr>
                <w:rFonts w:ascii="Cambria Math" w:hAnsi="Cambria Math" w:cs="微软雅黑"/>
                <w:i/>
                <w:kern w:val="2"/>
                <w:szCs w:val="21"/>
              </w:rPr>
            </m:ctrlPr>
          </m:e>
          <m:sub>
            <m:r>
              <m:rPr/>
              <w:rPr>
                <w:rFonts w:ascii="Cambria Math" w:hAnsi="Cambria Math" w:cs="微软雅黑"/>
              </w:rPr>
              <m:t xml:space="preserve">4 </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——河段长度，单位为千米（km）。</w:t>
      </w:r>
    </w:p>
    <w:p w14:paraId="15FA1DD7">
      <w:pPr>
        <w:pStyle w:val="166"/>
      </w:pPr>
      <w:r>
        <w:t>岸线植被</w:t>
      </w:r>
      <w:r>
        <w:rPr>
          <w:rFonts w:hAnsi="宋体" w:cs="宋体"/>
        </w:rPr>
        <w:t>覆盖率</w:t>
      </w:r>
      <w:r>
        <w:rPr>
          <w:rFonts w:hint="eastAsia"/>
        </w:rPr>
        <w:t>（P</w:t>
      </w:r>
      <w:r>
        <w:t>C</w:t>
      </w:r>
      <w:r>
        <w:rPr>
          <w:vertAlign w:val="subscript"/>
        </w:rPr>
        <w:t>r</w:t>
      </w:r>
      <w:r>
        <w:rPr>
          <w:rFonts w:hint="eastAsia"/>
        </w:rPr>
        <w:t>）</w:t>
      </w:r>
      <w:r>
        <w:rPr>
          <w:rFonts w:hint="eastAsia" w:hAnsi="宋体" w:cs="宋体"/>
        </w:rPr>
        <w:t>按公式（8）计算</w:t>
      </w:r>
      <w:r>
        <w:rPr>
          <w:rFonts w:hint="eastAsia"/>
        </w:rPr>
        <w:t>。</w:t>
      </w:r>
      <w:r>
        <w:rPr>
          <w:rFonts w:hint="eastAsia" w:hAnsi="宋体" w:cs="宋体"/>
        </w:rPr>
        <w:t>赋分标准见表</w:t>
      </w:r>
      <w:r>
        <w:rPr>
          <w:rFonts w:hAnsi="宋体" w:cs="宋体"/>
        </w:rPr>
        <w:t>7</w:t>
      </w:r>
      <w:r>
        <w:rPr>
          <w:rFonts w:hint="eastAsia" w:hAnsi="宋体" w:cs="宋体"/>
        </w:rPr>
        <w:t>。</w:t>
      </w:r>
      <w:r>
        <w:rPr>
          <w:rFonts w:hint="eastAsia"/>
        </w:rPr>
        <w:t>外来入侵植物不计入岸线植被覆盖率。</w:t>
      </w:r>
    </w:p>
    <w:p w14:paraId="47146AD7">
      <w:pPr>
        <w:spacing w:line="240" w:lineRule="auto"/>
        <w:ind w:right="23"/>
        <w:jc w:val="right"/>
        <w:rPr>
          <w:rFonts w:ascii="宋体" w:hAnsi="宋体"/>
        </w:rPr>
      </w:pPr>
      <m:oMath>
        <m:sSub>
          <m:sSubPr>
            <m:ctrlPr>
              <w:rPr>
                <w:rFonts w:ascii="Cambria Math" w:hAnsi="Cambria Math" w:cs="微软雅黑"/>
                <w:i/>
              </w:rPr>
            </m:ctrlPr>
          </m:sSubPr>
          <m:e>
            <m:r>
              <m:rPr/>
              <w:rPr>
                <w:rFonts w:ascii="Cambria Math" w:hAnsi="Cambria Math" w:cs="微软雅黑"/>
              </w:rPr>
              <m:t>PC</m:t>
            </m:r>
            <m:ctrlPr>
              <w:rPr>
                <w:rFonts w:ascii="Cambria Math" w:hAnsi="Cambria Math" w:cs="微软雅黑"/>
                <w:i/>
              </w:rPr>
            </m:ctrlPr>
          </m:e>
          <m:sub>
            <m:r>
              <m:rPr/>
              <w:rPr>
                <w:rFonts w:hint="eastAsia" w:ascii="Cambria Math" w:hAnsi="Cambria Math" w:cs="微软雅黑"/>
              </w:rPr>
              <m:t>r</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5</m:t>
                </m:r>
                <m:ctrlPr>
                  <w:rPr>
                    <w:rFonts w:ascii="Cambria Math" w:hAnsi="Cambria Math" w:cs="微软雅黑"/>
                    <w:i/>
                  </w:rPr>
                </m:ctrlPr>
              </m:sub>
            </m:sSub>
            <m:ctrlPr>
              <w:rPr>
                <w:rFonts w:ascii="Cambria Math" w:hAnsi="Cambria Math" w:cs="微软雅黑"/>
                <w:i/>
              </w:rPr>
            </m:ctrlPr>
          </m:num>
          <m:den>
            <m:sSub>
              <m:sSubPr>
                <m:ctrlPr>
                  <w:rPr>
                    <w:rFonts w:ascii="Cambria Math" w:hAnsi="Cambria Math" w:cs="微软雅黑"/>
                    <w:i/>
                  </w:rPr>
                </m:ctrlPr>
              </m:sSubPr>
              <m:e>
                <m:r>
                  <m:rPr/>
                  <w:rPr>
                    <w:rFonts w:ascii="Cambria Math" w:hAnsi="Cambria Math" w:cs="微软雅黑"/>
                  </w:rPr>
                  <m:t>A</m:t>
                </m:r>
                <m:ctrlPr>
                  <w:rPr>
                    <w:rFonts w:ascii="Cambria Math" w:hAnsi="Cambria Math" w:cs="微软雅黑"/>
                    <w:i/>
                  </w:rPr>
                </m:ctrlPr>
              </m:e>
              <m:sub>
                <m:r>
                  <m:rPr/>
                  <w:rPr>
                    <w:rFonts w:ascii="Cambria Math" w:hAnsi="Cambria Math" w:cs="微软雅黑"/>
                  </w:rPr>
                  <m:t>5</m:t>
                </m:r>
                <m:ctrlPr>
                  <w:rPr>
                    <w:rFonts w:ascii="Cambria Math" w:hAnsi="Cambria Math" w:cs="微软雅黑"/>
                    <w:i/>
                  </w:rPr>
                </m:ctrlPr>
              </m:sub>
            </m:sSub>
            <m:ctrlPr>
              <w:rPr>
                <w:rFonts w:ascii="Cambria Math" w:hAnsi="Cambria Math" w:cs="微软雅黑"/>
                <w:i/>
              </w:rPr>
            </m:ctrlPr>
          </m:den>
        </m:f>
        <m:r>
          <m:rPr/>
          <w:rPr>
            <w:rFonts w:ascii="Cambria Math" w:hAnsi="Cambria Math" w:cs="微软雅黑"/>
          </w:rPr>
          <m:t>×100</m:t>
        </m:r>
        <m:r>
          <m:rPr/>
          <w:rPr>
            <w:rFonts w:hint="eastAsia" w:ascii="Cambria Math" w:hAnsi="Cambria Math" w:cs="微软雅黑"/>
          </w:rPr>
          <m:t>%</m:t>
        </m:r>
      </m:oMath>
      <w:r>
        <w:rPr>
          <w:rFonts w:ascii="宋体" w:hAnsi="宋体" w:cs="微软雅黑"/>
          <w:w w:val="101"/>
        </w:rPr>
        <w:t xml:space="preserve"> </w:t>
      </w:r>
      <w:r>
        <w:rPr>
          <w:rFonts w:ascii="宋体" w:hAnsi="宋体" w:cs="微软雅黑"/>
          <w:position w:val="2"/>
        </w:rPr>
        <w:t xml:space="preserve">                                </w:t>
      </w:r>
      <w:r>
        <w:rPr>
          <w:rFonts w:hint="eastAsia" w:ascii="宋体" w:hAnsi="宋体"/>
        </w:rPr>
        <w:t>（8）</w:t>
      </w:r>
    </w:p>
    <w:p w14:paraId="75538A6D">
      <w:pPr>
        <w:pStyle w:val="57"/>
        <w:ind w:firstLine="420"/>
      </w:pPr>
      <w:r>
        <w:rPr>
          <w:rFonts w:hint="eastAsia"/>
        </w:rPr>
        <w:t>式中：</w:t>
      </w:r>
    </w:p>
    <w:p w14:paraId="20F26D03">
      <w:pPr>
        <w:pStyle w:val="57"/>
        <w:ind w:firstLine="420"/>
      </w:pPr>
      <m:oMath>
        <m:sSub>
          <m:sSubPr>
            <m:ctrlPr>
              <w:rPr>
                <w:rFonts w:ascii="Cambria Math" w:hAnsi="Cambria Math" w:cs="微软雅黑"/>
                <w:i/>
              </w:rPr>
            </m:ctrlPr>
          </m:sSubPr>
          <m:e>
            <m:r>
              <m:rPr/>
              <w:rPr>
                <w:rFonts w:ascii="Cambria Math" w:hAnsi="Cambria Math" w:cs="微软雅黑"/>
              </w:rPr>
              <m:t>PC</m:t>
            </m:r>
            <m:ctrlPr>
              <w:rPr>
                <w:rFonts w:ascii="Cambria Math" w:hAnsi="Cambria Math" w:cs="微软雅黑"/>
                <w:i/>
              </w:rPr>
            </m:ctrlPr>
          </m:e>
          <m:sub>
            <m:r>
              <m:rPr/>
              <w:rPr>
                <w:rFonts w:hint="eastAsia" w:ascii="Cambria Math" w:hAnsi="Cambria Math" w:cs="微软雅黑"/>
              </w:rPr>
              <m:t>r</m:t>
            </m:r>
            <m:ctrlPr>
              <w:rPr>
                <w:rFonts w:ascii="Cambria Math" w:hAnsi="Cambria Math" w:cs="微软雅黑"/>
                <w:i/>
              </w:rPr>
            </m:ctrlPr>
          </m:sub>
        </m:sSub>
        <m:r>
          <m:rPr/>
          <w:rPr>
            <w:rFonts w:ascii="Cambria Math" w:hAnsi="Cambria Math" w:cs="微软雅黑"/>
          </w:rPr>
          <m:t xml:space="preserve"> </m:t>
        </m:r>
      </m:oMath>
      <w:r>
        <w:rPr>
          <w:rFonts w:hint="eastAsia"/>
        </w:rPr>
        <w:t>——岸线植被覆盖率；</w:t>
      </w:r>
    </w:p>
    <w:p w14:paraId="0F4CD7D8">
      <w:pPr>
        <w:pStyle w:val="57"/>
        <w:ind w:firstLine="420"/>
      </w:pPr>
      <m:oMath>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5</m:t>
            </m:r>
            <m:ctrlPr>
              <w:rPr>
                <w:rFonts w:ascii="Cambria Math" w:hAnsi="Cambria Math" w:cs="微软雅黑"/>
                <w:i/>
              </w:rPr>
            </m:ctrlPr>
          </m:sub>
        </m:sSub>
        <m:r>
          <m:rPr/>
          <w:rPr>
            <w:rFonts w:ascii="Cambria Math" w:hAnsi="Cambria Math" w:cs="微软雅黑"/>
          </w:rPr>
          <m:t xml:space="preserve">    </m:t>
        </m:r>
      </m:oMath>
      <w:r>
        <w:rPr>
          <w:rFonts w:hint="eastAsia"/>
        </w:rPr>
        <w:t>——植被覆盖投影面积，单位为平方千米（km</w:t>
      </w:r>
      <w:r>
        <w:rPr>
          <w:vertAlign w:val="superscript"/>
        </w:rPr>
        <w:t>2</w:t>
      </w:r>
      <w:r>
        <w:rPr>
          <w:rFonts w:hint="eastAsia"/>
        </w:rPr>
        <w:t>）；</w:t>
      </w:r>
    </w:p>
    <w:p w14:paraId="5E5C1BD2">
      <w:pPr>
        <w:pStyle w:val="57"/>
        <w:ind w:firstLine="420"/>
      </w:pPr>
      <m:oMath>
        <m:sSub>
          <m:sSubPr>
            <m:ctrlPr>
              <w:rPr>
                <w:rFonts w:ascii="Cambria Math" w:hAnsi="Cambria Math" w:cs="微软雅黑"/>
                <w:i/>
                <w:kern w:val="2"/>
                <w:szCs w:val="21"/>
              </w:rPr>
            </m:ctrlPr>
          </m:sSubPr>
          <m:e>
            <m:r>
              <m:rPr/>
              <w:rPr>
                <w:rFonts w:ascii="Cambria Math" w:hAnsi="Cambria Math" w:cs="微软雅黑"/>
              </w:rPr>
              <m:t>A</m:t>
            </m:r>
            <m:ctrlPr>
              <w:rPr>
                <w:rFonts w:ascii="Cambria Math" w:hAnsi="Cambria Math" w:cs="微软雅黑"/>
                <w:i/>
                <w:kern w:val="2"/>
                <w:szCs w:val="21"/>
              </w:rPr>
            </m:ctrlPr>
          </m:e>
          <m:sub>
            <m:r>
              <m:rPr/>
              <w:rPr>
                <w:rFonts w:ascii="Cambria Math" w:hAnsi="Cambria Math" w:cs="微软雅黑"/>
              </w:rPr>
              <m:t>5</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——调查岸带投影面积，单位为平方千米（km</w:t>
      </w:r>
      <w:r>
        <w:rPr>
          <w:rFonts w:hint="eastAsia"/>
          <w:vertAlign w:val="superscript"/>
        </w:rPr>
        <w:t>2</w:t>
      </w:r>
      <w:r>
        <w:rPr>
          <w:rFonts w:hint="eastAsia"/>
        </w:rPr>
        <w:t>）。</w:t>
      </w:r>
    </w:p>
    <w:p w14:paraId="37577B07">
      <w:pPr>
        <w:pStyle w:val="113"/>
        <w:spacing w:before="156" w:after="156"/>
      </w:pPr>
      <w:r>
        <w:t>岸线植被覆盖率指标赋分标准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952"/>
        <w:gridCol w:w="3118"/>
        <w:gridCol w:w="1264"/>
      </w:tblGrid>
      <w:tr w14:paraId="7E76F0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952" w:type="dxa"/>
            <w:tcBorders>
              <w:top w:val="single" w:color="auto" w:sz="8" w:space="0"/>
              <w:bottom w:val="single" w:color="auto" w:sz="8" w:space="0"/>
            </w:tcBorders>
            <w:shd w:val="clear" w:color="auto" w:fill="auto"/>
            <w:vAlign w:val="center"/>
          </w:tcPr>
          <w:p w14:paraId="6174800C">
            <w:pPr>
              <w:pStyle w:val="179"/>
            </w:pPr>
            <w:r>
              <w:rPr>
                <w:rFonts w:hint="eastAsia"/>
              </w:rPr>
              <w:t>岸线植被覆盖率（</w:t>
            </w:r>
            <w:bookmarkStart w:id="73" w:name="OLE_LINK7"/>
            <w:r>
              <w:rPr>
                <w:rFonts w:hint="eastAsia"/>
              </w:rPr>
              <w:t>PC</w:t>
            </w:r>
            <w:r>
              <w:rPr>
                <w:rFonts w:hint="eastAsia"/>
                <w:vertAlign w:val="subscript"/>
              </w:rPr>
              <w:t>r</w:t>
            </w:r>
            <w:bookmarkEnd w:id="73"/>
            <w:r>
              <w:rPr>
                <w:rFonts w:hint="eastAsia"/>
              </w:rPr>
              <w:t>）</w:t>
            </w:r>
          </w:p>
        </w:tc>
        <w:tc>
          <w:tcPr>
            <w:tcW w:w="3118" w:type="dxa"/>
            <w:tcBorders>
              <w:top w:val="single" w:color="auto" w:sz="8" w:space="0"/>
              <w:bottom w:val="single" w:color="auto" w:sz="8" w:space="0"/>
            </w:tcBorders>
            <w:shd w:val="clear" w:color="auto" w:fill="auto"/>
            <w:vAlign w:val="center"/>
          </w:tcPr>
          <w:p w14:paraId="4D612C7E">
            <w:pPr>
              <w:pStyle w:val="179"/>
            </w:pPr>
            <w:r>
              <w:rPr>
                <w:rFonts w:hint="eastAsia"/>
              </w:rPr>
              <w:t>说明</w:t>
            </w:r>
          </w:p>
        </w:tc>
        <w:tc>
          <w:tcPr>
            <w:tcW w:w="1264" w:type="dxa"/>
            <w:tcBorders>
              <w:top w:val="single" w:color="auto" w:sz="8" w:space="0"/>
              <w:bottom w:val="single" w:color="auto" w:sz="8" w:space="0"/>
            </w:tcBorders>
            <w:shd w:val="clear" w:color="auto" w:fill="auto"/>
            <w:vAlign w:val="center"/>
          </w:tcPr>
          <w:p w14:paraId="23F4B956">
            <w:pPr>
              <w:pStyle w:val="179"/>
            </w:pPr>
            <w:r>
              <w:rPr>
                <w:rFonts w:hint="eastAsia"/>
              </w:rPr>
              <w:t>赋分</w:t>
            </w:r>
          </w:p>
        </w:tc>
      </w:tr>
      <w:tr w14:paraId="08A74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952" w:type="dxa"/>
            <w:tcBorders>
              <w:top w:val="single" w:color="auto" w:sz="8" w:space="0"/>
            </w:tcBorders>
            <w:shd w:val="clear" w:color="auto" w:fill="auto"/>
            <w:vAlign w:val="center"/>
          </w:tcPr>
          <w:p w14:paraId="33FE23A1">
            <w:pPr>
              <w:pStyle w:val="179"/>
            </w:pPr>
            <w:r>
              <w:t>PC</w:t>
            </w:r>
            <w:r>
              <w:rPr>
                <w:vertAlign w:val="subscript"/>
              </w:rPr>
              <w:t>r</w:t>
            </w:r>
            <w:r>
              <w:rPr>
                <w:rFonts w:hint="eastAsia"/>
              </w:rPr>
              <w:t>≤5%</w:t>
            </w:r>
          </w:p>
        </w:tc>
        <w:tc>
          <w:tcPr>
            <w:tcW w:w="3118" w:type="dxa"/>
            <w:tcBorders>
              <w:top w:val="single" w:color="auto" w:sz="8" w:space="0"/>
            </w:tcBorders>
            <w:shd w:val="clear" w:color="auto" w:fill="auto"/>
            <w:vAlign w:val="center"/>
          </w:tcPr>
          <w:p w14:paraId="37A9AE55">
            <w:pPr>
              <w:pStyle w:val="179"/>
            </w:pPr>
            <w:r>
              <w:rPr>
                <w:rFonts w:hint="eastAsia"/>
              </w:rPr>
              <w:t>几乎无植被</w:t>
            </w:r>
          </w:p>
        </w:tc>
        <w:tc>
          <w:tcPr>
            <w:tcW w:w="1264" w:type="dxa"/>
            <w:tcBorders>
              <w:top w:val="single" w:color="auto" w:sz="8" w:space="0"/>
            </w:tcBorders>
            <w:shd w:val="clear" w:color="auto" w:fill="auto"/>
            <w:vAlign w:val="center"/>
          </w:tcPr>
          <w:p w14:paraId="0391BA5D">
            <w:pPr>
              <w:pStyle w:val="179"/>
            </w:pPr>
            <w:r>
              <w:rPr>
                <w:rFonts w:hint="eastAsia"/>
              </w:rPr>
              <w:t>0</w:t>
            </w:r>
          </w:p>
        </w:tc>
      </w:tr>
      <w:tr w14:paraId="50DF9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952" w:type="dxa"/>
            <w:shd w:val="clear" w:color="auto" w:fill="auto"/>
            <w:vAlign w:val="center"/>
          </w:tcPr>
          <w:p w14:paraId="1356CA22">
            <w:pPr>
              <w:pStyle w:val="179"/>
            </w:pPr>
            <w:r>
              <w:rPr>
                <w:rFonts w:hint="eastAsia"/>
              </w:rPr>
              <w:t>5%＜</w:t>
            </w:r>
            <w:r>
              <w:t>PC</w:t>
            </w:r>
            <w:r>
              <w:rPr>
                <w:vertAlign w:val="subscript"/>
              </w:rPr>
              <w:t>r</w:t>
            </w:r>
            <w:r>
              <w:rPr>
                <w:rFonts w:hint="eastAsia"/>
              </w:rPr>
              <w:t>≤25%</w:t>
            </w:r>
          </w:p>
        </w:tc>
        <w:tc>
          <w:tcPr>
            <w:tcW w:w="3118" w:type="dxa"/>
            <w:shd w:val="clear" w:color="auto" w:fill="auto"/>
            <w:vAlign w:val="center"/>
          </w:tcPr>
          <w:p w14:paraId="03953985">
            <w:pPr>
              <w:pStyle w:val="179"/>
            </w:pPr>
            <w:r>
              <w:rPr>
                <w:rFonts w:hint="eastAsia"/>
              </w:rPr>
              <w:t>植被稀疏</w:t>
            </w:r>
          </w:p>
        </w:tc>
        <w:tc>
          <w:tcPr>
            <w:tcW w:w="1264" w:type="dxa"/>
            <w:shd w:val="clear" w:color="auto" w:fill="auto"/>
            <w:vAlign w:val="center"/>
          </w:tcPr>
          <w:p w14:paraId="0ECC5B84">
            <w:pPr>
              <w:pStyle w:val="179"/>
            </w:pPr>
            <w:r>
              <w:rPr>
                <w:rFonts w:hint="eastAsia"/>
              </w:rPr>
              <w:t>25</w:t>
            </w:r>
          </w:p>
        </w:tc>
      </w:tr>
      <w:tr w14:paraId="7A69D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952" w:type="dxa"/>
            <w:shd w:val="clear" w:color="auto" w:fill="auto"/>
            <w:vAlign w:val="center"/>
          </w:tcPr>
          <w:p w14:paraId="2C21A060">
            <w:pPr>
              <w:pStyle w:val="179"/>
            </w:pPr>
            <w:r>
              <w:rPr>
                <w:rFonts w:hint="eastAsia"/>
              </w:rPr>
              <w:t>25%＜</w:t>
            </w:r>
            <w:r>
              <w:t>PC</w:t>
            </w:r>
            <w:r>
              <w:rPr>
                <w:vertAlign w:val="subscript"/>
              </w:rPr>
              <w:t>r</w:t>
            </w:r>
            <w:r>
              <w:rPr>
                <w:rFonts w:hint="eastAsia"/>
              </w:rPr>
              <w:t>≤50%</w:t>
            </w:r>
          </w:p>
        </w:tc>
        <w:tc>
          <w:tcPr>
            <w:tcW w:w="3118" w:type="dxa"/>
            <w:shd w:val="clear" w:color="auto" w:fill="auto"/>
            <w:vAlign w:val="center"/>
          </w:tcPr>
          <w:p w14:paraId="21124257">
            <w:pPr>
              <w:pStyle w:val="179"/>
            </w:pPr>
            <w:r>
              <w:rPr>
                <w:rFonts w:hint="eastAsia"/>
              </w:rPr>
              <w:t>中密度覆盖</w:t>
            </w:r>
          </w:p>
        </w:tc>
        <w:tc>
          <w:tcPr>
            <w:tcW w:w="1264" w:type="dxa"/>
            <w:shd w:val="clear" w:color="auto" w:fill="auto"/>
            <w:vAlign w:val="center"/>
          </w:tcPr>
          <w:p w14:paraId="5487D7AD">
            <w:pPr>
              <w:pStyle w:val="179"/>
            </w:pPr>
            <w:r>
              <w:rPr>
                <w:rFonts w:hint="eastAsia"/>
              </w:rPr>
              <w:t>50</w:t>
            </w:r>
          </w:p>
        </w:tc>
      </w:tr>
      <w:tr w14:paraId="147D8F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952" w:type="dxa"/>
            <w:shd w:val="clear" w:color="auto" w:fill="auto"/>
            <w:vAlign w:val="center"/>
          </w:tcPr>
          <w:p w14:paraId="49DEBBCD">
            <w:pPr>
              <w:pStyle w:val="179"/>
            </w:pPr>
            <w:r>
              <w:rPr>
                <w:rFonts w:hint="eastAsia"/>
              </w:rPr>
              <w:t>50%＜</w:t>
            </w:r>
            <w:r>
              <w:t>PC</w:t>
            </w:r>
            <w:r>
              <w:rPr>
                <w:vertAlign w:val="subscript"/>
              </w:rPr>
              <w:t>r</w:t>
            </w:r>
            <w:r>
              <w:rPr>
                <w:rFonts w:hint="eastAsia"/>
              </w:rPr>
              <w:t>≤75%</w:t>
            </w:r>
          </w:p>
        </w:tc>
        <w:tc>
          <w:tcPr>
            <w:tcW w:w="3118" w:type="dxa"/>
            <w:shd w:val="clear" w:color="auto" w:fill="auto"/>
            <w:vAlign w:val="center"/>
          </w:tcPr>
          <w:p w14:paraId="00D77F38">
            <w:pPr>
              <w:pStyle w:val="179"/>
            </w:pPr>
            <w:r>
              <w:rPr>
                <w:rFonts w:hint="eastAsia"/>
              </w:rPr>
              <w:t>高密度覆盖</w:t>
            </w:r>
          </w:p>
        </w:tc>
        <w:tc>
          <w:tcPr>
            <w:tcW w:w="1264" w:type="dxa"/>
            <w:shd w:val="clear" w:color="auto" w:fill="auto"/>
            <w:vAlign w:val="center"/>
          </w:tcPr>
          <w:p w14:paraId="66382F5A">
            <w:pPr>
              <w:pStyle w:val="179"/>
            </w:pPr>
            <w:r>
              <w:rPr>
                <w:rFonts w:hint="eastAsia"/>
              </w:rPr>
              <w:t>75</w:t>
            </w:r>
          </w:p>
        </w:tc>
      </w:tr>
      <w:tr w14:paraId="4AD693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952" w:type="dxa"/>
            <w:shd w:val="clear" w:color="auto" w:fill="auto"/>
            <w:vAlign w:val="center"/>
          </w:tcPr>
          <w:p w14:paraId="300087F3">
            <w:pPr>
              <w:pStyle w:val="179"/>
            </w:pPr>
            <w:r>
              <w:rPr>
                <w:rFonts w:hint="eastAsia"/>
              </w:rPr>
              <w:t>＞75%</w:t>
            </w:r>
          </w:p>
        </w:tc>
        <w:tc>
          <w:tcPr>
            <w:tcW w:w="3118" w:type="dxa"/>
            <w:shd w:val="clear" w:color="auto" w:fill="auto"/>
            <w:vAlign w:val="center"/>
          </w:tcPr>
          <w:p w14:paraId="1F6C4EE5">
            <w:pPr>
              <w:pStyle w:val="179"/>
            </w:pPr>
            <w:r>
              <w:rPr>
                <w:rFonts w:hint="eastAsia"/>
              </w:rPr>
              <w:t>极高密度覆盖</w:t>
            </w:r>
          </w:p>
        </w:tc>
        <w:tc>
          <w:tcPr>
            <w:tcW w:w="1264" w:type="dxa"/>
            <w:shd w:val="clear" w:color="auto" w:fill="auto"/>
            <w:vAlign w:val="center"/>
          </w:tcPr>
          <w:p w14:paraId="191B63F6">
            <w:pPr>
              <w:pStyle w:val="179"/>
            </w:pPr>
            <w:r>
              <w:rPr>
                <w:rFonts w:hint="eastAsia"/>
              </w:rPr>
              <w:t>100</w:t>
            </w:r>
          </w:p>
        </w:tc>
      </w:tr>
    </w:tbl>
    <w:p w14:paraId="2B5E9161">
      <w:pPr>
        <w:pStyle w:val="106"/>
        <w:spacing w:before="156" w:after="156"/>
      </w:pPr>
      <w:bookmarkStart w:id="74" w:name="_Toc242796890"/>
      <w:bookmarkStart w:id="75" w:name="_Toc242804734"/>
      <w:r>
        <w:rPr>
          <w:rFonts w:hint="eastAsia"/>
        </w:rPr>
        <w:t>水质优劣程度</w:t>
      </w:r>
      <w:bookmarkEnd w:id="74"/>
      <w:bookmarkEnd w:id="75"/>
    </w:p>
    <w:p w14:paraId="65FBF21B">
      <w:pPr>
        <w:pStyle w:val="57"/>
        <w:ind w:firstLine="420"/>
      </w:pPr>
      <w:r>
        <w:rPr>
          <w:rFonts w:hint="eastAsia"/>
        </w:rPr>
        <w:t>按照G</w:t>
      </w:r>
      <w:r>
        <w:t>B</w:t>
      </w:r>
      <w:r>
        <w:rPr>
          <w:rFonts w:hint="eastAsia"/>
        </w:rPr>
        <w:t xml:space="preserve"> </w:t>
      </w:r>
      <w:r>
        <w:t>3838</w:t>
      </w:r>
      <w:r>
        <w:rPr>
          <w:rFonts w:hint="eastAsia"/>
        </w:rPr>
        <w:t>的规定确定水质优劣程度。计算高锰酸盐指数、氨氮、总磷、总氮（湖泊）等指标的年均值，有多个断面监测数据时宜计算各断面监测结果的平均值，有多次监测数据时宜采用多次监测结果的平均值。按照河湖各指标年均值所处最劣等级确定河湖水质类别。赋分标准见表8。</w:t>
      </w:r>
    </w:p>
    <w:p w14:paraId="5EC4F76D">
      <w:pPr>
        <w:pStyle w:val="113"/>
        <w:spacing w:before="156" w:after="156"/>
      </w:pPr>
      <w:r>
        <w:t>水质优劣程度赋分标准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132"/>
        <w:gridCol w:w="1132"/>
        <w:gridCol w:w="1132"/>
        <w:gridCol w:w="1132"/>
        <w:gridCol w:w="1132"/>
        <w:gridCol w:w="1132"/>
      </w:tblGrid>
      <w:tr w14:paraId="43C41C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vAlign w:val="center"/>
          </w:tcPr>
          <w:p w14:paraId="39C75EC3">
            <w:pPr>
              <w:pStyle w:val="179"/>
              <w:rPr>
                <w:szCs w:val="18"/>
              </w:rPr>
            </w:pPr>
            <w:r>
              <w:rPr>
                <w:rFonts w:hint="eastAsia"/>
                <w:szCs w:val="18"/>
              </w:rPr>
              <w:t>水质优劣</w:t>
            </w:r>
          </w:p>
        </w:tc>
        <w:tc>
          <w:tcPr>
            <w:tcW w:w="1132" w:type="dxa"/>
            <w:tcBorders>
              <w:top w:val="single" w:color="auto" w:sz="8" w:space="0"/>
              <w:bottom w:val="single" w:color="auto" w:sz="8" w:space="0"/>
            </w:tcBorders>
            <w:shd w:val="clear" w:color="auto" w:fill="auto"/>
            <w:vAlign w:val="center"/>
          </w:tcPr>
          <w:p w14:paraId="308B2E6A">
            <w:pPr>
              <w:pStyle w:val="179"/>
              <w:rPr>
                <w:szCs w:val="18"/>
              </w:rPr>
            </w:pPr>
            <w:r>
              <w:rPr>
                <w:rFonts w:hint="eastAsia"/>
                <w:szCs w:val="18"/>
              </w:rPr>
              <w:t>I类</w:t>
            </w:r>
          </w:p>
        </w:tc>
        <w:tc>
          <w:tcPr>
            <w:tcW w:w="1132" w:type="dxa"/>
            <w:tcBorders>
              <w:top w:val="single" w:color="auto" w:sz="8" w:space="0"/>
              <w:bottom w:val="single" w:color="auto" w:sz="8" w:space="0"/>
            </w:tcBorders>
            <w:shd w:val="clear" w:color="auto" w:fill="auto"/>
          </w:tcPr>
          <w:p w14:paraId="66806E99">
            <w:pPr>
              <w:pStyle w:val="179"/>
              <w:rPr>
                <w:szCs w:val="18"/>
              </w:rPr>
            </w:pPr>
            <w:r>
              <w:rPr>
                <w:rFonts w:hint="eastAsia"/>
                <w:szCs w:val="18"/>
              </w:rPr>
              <w:t>Ⅱ类</w:t>
            </w:r>
          </w:p>
        </w:tc>
        <w:tc>
          <w:tcPr>
            <w:tcW w:w="1132" w:type="dxa"/>
            <w:tcBorders>
              <w:top w:val="single" w:color="auto" w:sz="8" w:space="0"/>
              <w:bottom w:val="single" w:color="auto" w:sz="8" w:space="0"/>
            </w:tcBorders>
            <w:shd w:val="clear" w:color="auto" w:fill="auto"/>
            <w:vAlign w:val="center"/>
          </w:tcPr>
          <w:p w14:paraId="681FD878">
            <w:pPr>
              <w:pStyle w:val="179"/>
              <w:rPr>
                <w:szCs w:val="18"/>
              </w:rPr>
            </w:pPr>
            <w:r>
              <w:rPr>
                <w:rFonts w:hint="eastAsia"/>
                <w:szCs w:val="18"/>
              </w:rPr>
              <w:t>Ⅲ类</w:t>
            </w:r>
          </w:p>
        </w:tc>
        <w:tc>
          <w:tcPr>
            <w:tcW w:w="1132" w:type="dxa"/>
            <w:tcBorders>
              <w:top w:val="single" w:color="auto" w:sz="8" w:space="0"/>
              <w:bottom w:val="single" w:color="auto" w:sz="8" w:space="0"/>
            </w:tcBorders>
            <w:shd w:val="clear" w:color="auto" w:fill="auto"/>
            <w:vAlign w:val="center"/>
          </w:tcPr>
          <w:p w14:paraId="28C05B39">
            <w:pPr>
              <w:pStyle w:val="179"/>
              <w:rPr>
                <w:szCs w:val="18"/>
              </w:rPr>
            </w:pPr>
            <w:r>
              <w:rPr>
                <w:rFonts w:hint="eastAsia"/>
                <w:szCs w:val="18"/>
              </w:rPr>
              <w:t>Ⅳ类</w:t>
            </w:r>
          </w:p>
        </w:tc>
        <w:tc>
          <w:tcPr>
            <w:tcW w:w="1132" w:type="dxa"/>
            <w:tcBorders>
              <w:top w:val="single" w:color="auto" w:sz="8" w:space="0"/>
              <w:bottom w:val="single" w:color="auto" w:sz="8" w:space="0"/>
            </w:tcBorders>
            <w:shd w:val="clear" w:color="auto" w:fill="auto"/>
            <w:vAlign w:val="center"/>
          </w:tcPr>
          <w:p w14:paraId="76785532">
            <w:pPr>
              <w:pStyle w:val="179"/>
              <w:rPr>
                <w:szCs w:val="18"/>
              </w:rPr>
            </w:pPr>
            <w:r>
              <w:rPr>
                <w:rFonts w:hint="eastAsia"/>
                <w:szCs w:val="18"/>
              </w:rPr>
              <w:t>Ⅴ类</w:t>
            </w:r>
          </w:p>
        </w:tc>
        <w:tc>
          <w:tcPr>
            <w:tcW w:w="1132" w:type="dxa"/>
            <w:tcBorders>
              <w:top w:val="single" w:color="auto" w:sz="8" w:space="0"/>
              <w:bottom w:val="single" w:color="auto" w:sz="8" w:space="0"/>
            </w:tcBorders>
            <w:shd w:val="clear" w:color="auto" w:fill="auto"/>
            <w:vAlign w:val="center"/>
          </w:tcPr>
          <w:p w14:paraId="016967EA">
            <w:pPr>
              <w:pStyle w:val="179"/>
              <w:rPr>
                <w:szCs w:val="18"/>
              </w:rPr>
            </w:pPr>
            <w:r>
              <w:rPr>
                <w:rFonts w:hint="eastAsia"/>
                <w:szCs w:val="18"/>
              </w:rPr>
              <w:t>劣Ⅴ类</w:t>
            </w:r>
          </w:p>
        </w:tc>
      </w:tr>
      <w:tr w14:paraId="1C608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vAlign w:val="center"/>
          </w:tcPr>
          <w:p w14:paraId="5578DB16">
            <w:pPr>
              <w:pStyle w:val="179"/>
              <w:rPr>
                <w:szCs w:val="18"/>
              </w:rPr>
            </w:pPr>
            <w:r>
              <w:rPr>
                <w:rFonts w:hint="eastAsia"/>
                <w:szCs w:val="18"/>
              </w:rPr>
              <w:t>赋分</w:t>
            </w:r>
          </w:p>
        </w:tc>
        <w:tc>
          <w:tcPr>
            <w:tcW w:w="1132" w:type="dxa"/>
            <w:tcBorders>
              <w:top w:val="single" w:color="auto" w:sz="8" w:space="0"/>
            </w:tcBorders>
            <w:shd w:val="clear" w:color="auto" w:fill="auto"/>
            <w:vAlign w:val="center"/>
          </w:tcPr>
          <w:p w14:paraId="1879B4E9">
            <w:pPr>
              <w:pStyle w:val="179"/>
              <w:rPr>
                <w:szCs w:val="18"/>
              </w:rPr>
            </w:pPr>
            <w:r>
              <w:rPr>
                <w:rFonts w:hint="eastAsia"/>
                <w:szCs w:val="18"/>
              </w:rPr>
              <w:t>100</w:t>
            </w:r>
          </w:p>
        </w:tc>
        <w:tc>
          <w:tcPr>
            <w:tcW w:w="1132" w:type="dxa"/>
            <w:tcBorders>
              <w:top w:val="single" w:color="auto" w:sz="8" w:space="0"/>
            </w:tcBorders>
            <w:shd w:val="clear" w:color="auto" w:fill="auto"/>
          </w:tcPr>
          <w:p w14:paraId="101E00ED">
            <w:pPr>
              <w:pStyle w:val="179"/>
              <w:rPr>
                <w:szCs w:val="18"/>
              </w:rPr>
            </w:pPr>
            <w:r>
              <w:rPr>
                <w:rFonts w:hint="eastAsia"/>
                <w:szCs w:val="18"/>
              </w:rPr>
              <w:t>90</w:t>
            </w:r>
          </w:p>
        </w:tc>
        <w:tc>
          <w:tcPr>
            <w:tcW w:w="1132" w:type="dxa"/>
            <w:tcBorders>
              <w:top w:val="single" w:color="auto" w:sz="8" w:space="0"/>
            </w:tcBorders>
            <w:shd w:val="clear" w:color="auto" w:fill="auto"/>
            <w:vAlign w:val="center"/>
          </w:tcPr>
          <w:p w14:paraId="6A163300">
            <w:pPr>
              <w:pStyle w:val="179"/>
              <w:rPr>
                <w:szCs w:val="18"/>
              </w:rPr>
            </w:pPr>
            <w:r>
              <w:rPr>
                <w:rFonts w:hint="eastAsia"/>
                <w:szCs w:val="18"/>
              </w:rPr>
              <w:t>75</w:t>
            </w:r>
          </w:p>
        </w:tc>
        <w:tc>
          <w:tcPr>
            <w:tcW w:w="1132" w:type="dxa"/>
            <w:tcBorders>
              <w:top w:val="single" w:color="auto" w:sz="8" w:space="0"/>
            </w:tcBorders>
            <w:shd w:val="clear" w:color="auto" w:fill="auto"/>
          </w:tcPr>
          <w:p w14:paraId="70AF7BF6">
            <w:pPr>
              <w:pStyle w:val="179"/>
              <w:rPr>
                <w:szCs w:val="18"/>
              </w:rPr>
            </w:pPr>
            <w:r>
              <w:rPr>
                <w:rFonts w:hint="eastAsia"/>
                <w:szCs w:val="18"/>
              </w:rPr>
              <w:t>60</w:t>
            </w:r>
          </w:p>
        </w:tc>
        <w:tc>
          <w:tcPr>
            <w:tcW w:w="1132" w:type="dxa"/>
            <w:tcBorders>
              <w:top w:val="single" w:color="auto" w:sz="8" w:space="0"/>
            </w:tcBorders>
            <w:shd w:val="clear" w:color="auto" w:fill="auto"/>
            <w:vAlign w:val="center"/>
          </w:tcPr>
          <w:p w14:paraId="17337AF7">
            <w:pPr>
              <w:pStyle w:val="179"/>
              <w:rPr>
                <w:szCs w:val="18"/>
              </w:rPr>
            </w:pPr>
            <w:r>
              <w:rPr>
                <w:rFonts w:hint="eastAsia"/>
                <w:szCs w:val="18"/>
              </w:rPr>
              <w:t>40</w:t>
            </w:r>
          </w:p>
        </w:tc>
        <w:tc>
          <w:tcPr>
            <w:tcW w:w="1132" w:type="dxa"/>
            <w:tcBorders>
              <w:top w:val="single" w:color="auto" w:sz="8" w:space="0"/>
            </w:tcBorders>
            <w:shd w:val="clear" w:color="auto" w:fill="auto"/>
            <w:vAlign w:val="center"/>
          </w:tcPr>
          <w:p w14:paraId="2D010D1B">
            <w:pPr>
              <w:pStyle w:val="179"/>
              <w:rPr>
                <w:szCs w:val="18"/>
              </w:rPr>
            </w:pPr>
            <w:r>
              <w:rPr>
                <w:rFonts w:hint="eastAsia"/>
                <w:szCs w:val="18"/>
              </w:rPr>
              <w:t>0</w:t>
            </w:r>
          </w:p>
        </w:tc>
      </w:tr>
    </w:tbl>
    <w:p w14:paraId="71680BDD">
      <w:pPr>
        <w:pStyle w:val="106"/>
        <w:spacing w:before="156" w:after="156"/>
      </w:pPr>
      <w:bookmarkStart w:id="76" w:name="_Toc242796891"/>
      <w:bookmarkStart w:id="77" w:name="_Toc242804735"/>
      <w:r>
        <w:rPr>
          <w:rFonts w:hint="eastAsia"/>
        </w:rPr>
        <w:t>水体自净能力</w:t>
      </w:r>
      <w:bookmarkEnd w:id="76"/>
      <w:bookmarkEnd w:id="77"/>
    </w:p>
    <w:p w14:paraId="3F9C2222">
      <w:pPr>
        <w:pStyle w:val="166"/>
      </w:pPr>
      <w:r>
        <w:t>根据溶解氧与高锰酸盐指数的年平均浓度比值确定</w:t>
      </w:r>
      <w:r>
        <w:rPr>
          <w:rFonts w:hint="eastAsia"/>
        </w:rPr>
        <w:t>，</w:t>
      </w:r>
      <w:r>
        <w:t>赋分标准见表9。</w:t>
      </w:r>
    </w:p>
    <w:p w14:paraId="63D64E23">
      <w:pPr>
        <w:pStyle w:val="166"/>
      </w:pPr>
      <w:r>
        <w:t>当溶解氧浓度超过当地大气压下饱和值的110%</w:t>
      </w:r>
      <w:r>
        <w:rPr>
          <w:rFonts w:hint="eastAsia"/>
        </w:rPr>
        <w:t>（</w:t>
      </w:r>
      <w:r>
        <w:t>饱和值无法测算时建议饱和值取14.4mg/L</w:t>
      </w:r>
      <w:r>
        <w:rPr>
          <w:rFonts w:hint="eastAsia"/>
        </w:rPr>
        <w:t>），</w:t>
      </w:r>
      <w:r>
        <w:t>直接赋0分。</w:t>
      </w:r>
    </w:p>
    <w:p w14:paraId="2F80821D">
      <w:pPr>
        <w:pStyle w:val="166"/>
      </w:pPr>
      <w:r>
        <w:t>因自然原因导致水体溶解氧或高锰酸盐指数本底值异常的</w:t>
      </w:r>
      <w:r>
        <w:rPr>
          <w:rFonts w:hint="eastAsia"/>
        </w:rPr>
        <w:t>，</w:t>
      </w:r>
      <w:r>
        <w:t>确定为环境本底的可直接赋100分。</w:t>
      </w:r>
    </w:p>
    <w:p w14:paraId="700C4D80">
      <w:pPr>
        <w:pStyle w:val="113"/>
        <w:spacing w:before="156" w:after="156"/>
      </w:pPr>
      <w:r>
        <w:t>水体自净能力赋分标准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32"/>
        <w:gridCol w:w="1333"/>
        <w:gridCol w:w="1333"/>
        <w:gridCol w:w="1334"/>
        <w:gridCol w:w="1334"/>
        <w:gridCol w:w="1334"/>
        <w:gridCol w:w="1334"/>
      </w:tblGrid>
      <w:tr w14:paraId="512B1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tcBorders>
              <w:top w:val="single" w:color="auto" w:sz="8" w:space="0"/>
              <w:bottom w:val="single" w:color="auto" w:sz="8" w:space="0"/>
            </w:tcBorders>
            <w:shd w:val="clear" w:color="auto" w:fill="auto"/>
          </w:tcPr>
          <w:p w14:paraId="430B568A">
            <w:pPr>
              <w:pStyle w:val="179"/>
              <w:rPr>
                <w:rFonts w:hAnsi="宋体"/>
                <w:szCs w:val="18"/>
              </w:rPr>
            </w:pPr>
            <w:r>
              <w:rPr>
                <w:rFonts w:hAnsi="宋体"/>
                <w:szCs w:val="18"/>
              </w:rPr>
              <w:t>DO/COD</w:t>
            </w:r>
            <w:r>
              <w:rPr>
                <w:rFonts w:hAnsi="宋体"/>
                <w:position w:val="-2"/>
                <w:szCs w:val="18"/>
                <w:vertAlign w:val="subscript"/>
              </w:rPr>
              <w:t>Mn</w:t>
            </w:r>
          </w:p>
        </w:tc>
        <w:tc>
          <w:tcPr>
            <w:tcW w:w="1333" w:type="dxa"/>
            <w:tcBorders>
              <w:top w:val="single" w:color="auto" w:sz="8" w:space="0"/>
              <w:bottom w:val="single" w:color="auto" w:sz="8" w:space="0"/>
            </w:tcBorders>
            <w:shd w:val="clear" w:color="auto" w:fill="auto"/>
          </w:tcPr>
          <w:p w14:paraId="2503BD6F">
            <w:pPr>
              <w:pStyle w:val="179"/>
              <w:rPr>
                <w:rFonts w:hAnsi="宋体"/>
                <w:szCs w:val="18"/>
              </w:rPr>
            </w:pPr>
            <w:r>
              <w:rPr>
                <w:rFonts w:hAnsi="宋体"/>
                <w:szCs w:val="18"/>
              </w:rPr>
              <w:t>≥5.5</w:t>
            </w:r>
          </w:p>
        </w:tc>
        <w:tc>
          <w:tcPr>
            <w:tcW w:w="1333" w:type="dxa"/>
            <w:tcBorders>
              <w:top w:val="single" w:color="auto" w:sz="8" w:space="0"/>
              <w:bottom w:val="single" w:color="auto" w:sz="8" w:space="0"/>
            </w:tcBorders>
            <w:shd w:val="clear" w:color="auto" w:fill="auto"/>
          </w:tcPr>
          <w:p w14:paraId="1B8701E0">
            <w:pPr>
              <w:pStyle w:val="179"/>
              <w:rPr>
                <w:rFonts w:hAnsi="宋体"/>
                <w:szCs w:val="18"/>
              </w:rPr>
            </w:pPr>
            <w:r>
              <w:rPr>
                <w:rFonts w:hAnsi="宋体"/>
                <w:szCs w:val="18"/>
              </w:rPr>
              <w:t>[4.0</w:t>
            </w:r>
            <w:bookmarkStart w:id="78" w:name="OLE_LINK12"/>
            <w:r>
              <w:rPr>
                <w:rFonts w:hint="eastAsia" w:hAnsi="宋体"/>
                <w:szCs w:val="18"/>
              </w:rPr>
              <w:t>，</w:t>
            </w:r>
            <w:bookmarkEnd w:id="78"/>
            <w:r>
              <w:rPr>
                <w:rFonts w:hAnsi="宋体"/>
                <w:szCs w:val="18"/>
              </w:rPr>
              <w:t>5.5)</w:t>
            </w:r>
          </w:p>
        </w:tc>
        <w:tc>
          <w:tcPr>
            <w:tcW w:w="1334" w:type="dxa"/>
            <w:tcBorders>
              <w:top w:val="single" w:color="auto" w:sz="8" w:space="0"/>
              <w:bottom w:val="single" w:color="auto" w:sz="8" w:space="0"/>
            </w:tcBorders>
            <w:shd w:val="clear" w:color="auto" w:fill="auto"/>
          </w:tcPr>
          <w:p w14:paraId="255FAAD8">
            <w:pPr>
              <w:pStyle w:val="179"/>
              <w:rPr>
                <w:rFonts w:hAnsi="宋体"/>
                <w:szCs w:val="18"/>
              </w:rPr>
            </w:pPr>
            <w:r>
              <w:rPr>
                <w:rFonts w:hAnsi="宋体"/>
                <w:szCs w:val="18"/>
              </w:rPr>
              <w:t>[2.5</w:t>
            </w:r>
            <w:r>
              <w:rPr>
                <w:rFonts w:hint="eastAsia" w:hAnsi="宋体"/>
                <w:szCs w:val="18"/>
              </w:rPr>
              <w:t>，</w:t>
            </w:r>
            <w:r>
              <w:rPr>
                <w:rFonts w:hAnsi="宋体"/>
                <w:szCs w:val="18"/>
              </w:rPr>
              <w:t>4.0)</w:t>
            </w:r>
          </w:p>
        </w:tc>
        <w:tc>
          <w:tcPr>
            <w:tcW w:w="1334" w:type="dxa"/>
            <w:tcBorders>
              <w:top w:val="single" w:color="auto" w:sz="8" w:space="0"/>
              <w:bottom w:val="single" w:color="auto" w:sz="8" w:space="0"/>
            </w:tcBorders>
            <w:shd w:val="clear" w:color="auto" w:fill="auto"/>
          </w:tcPr>
          <w:p w14:paraId="6229EA59">
            <w:pPr>
              <w:pStyle w:val="179"/>
              <w:rPr>
                <w:rFonts w:hAnsi="宋体"/>
                <w:szCs w:val="18"/>
              </w:rPr>
            </w:pPr>
            <w:r>
              <w:rPr>
                <w:rFonts w:hAnsi="宋体"/>
                <w:szCs w:val="18"/>
              </w:rPr>
              <w:t>[1.0</w:t>
            </w:r>
            <w:r>
              <w:rPr>
                <w:rFonts w:hint="eastAsia" w:hAnsi="宋体"/>
                <w:szCs w:val="18"/>
              </w:rPr>
              <w:t>，</w:t>
            </w:r>
            <w:r>
              <w:rPr>
                <w:rFonts w:hAnsi="宋体"/>
                <w:szCs w:val="18"/>
              </w:rPr>
              <w:t>2.5)</w:t>
            </w:r>
          </w:p>
        </w:tc>
        <w:tc>
          <w:tcPr>
            <w:tcW w:w="1334" w:type="dxa"/>
            <w:tcBorders>
              <w:top w:val="single" w:color="auto" w:sz="8" w:space="0"/>
              <w:bottom w:val="single" w:color="auto" w:sz="8" w:space="0"/>
            </w:tcBorders>
            <w:shd w:val="clear" w:color="auto" w:fill="auto"/>
          </w:tcPr>
          <w:p w14:paraId="7D1035EA">
            <w:pPr>
              <w:pStyle w:val="179"/>
              <w:rPr>
                <w:rFonts w:hAnsi="宋体"/>
                <w:szCs w:val="18"/>
              </w:rPr>
            </w:pPr>
            <w:r>
              <w:rPr>
                <w:rFonts w:hAnsi="宋体"/>
                <w:szCs w:val="18"/>
              </w:rPr>
              <w:t>[0.5</w:t>
            </w:r>
            <w:r>
              <w:rPr>
                <w:rFonts w:hint="eastAsia" w:hAnsi="宋体"/>
                <w:szCs w:val="18"/>
              </w:rPr>
              <w:t>，</w:t>
            </w:r>
            <w:r>
              <w:rPr>
                <w:rFonts w:hAnsi="宋体"/>
                <w:szCs w:val="18"/>
              </w:rPr>
              <w:t>1.0)</w:t>
            </w:r>
          </w:p>
        </w:tc>
        <w:tc>
          <w:tcPr>
            <w:tcW w:w="1334" w:type="dxa"/>
            <w:tcBorders>
              <w:top w:val="single" w:color="auto" w:sz="8" w:space="0"/>
              <w:bottom w:val="single" w:color="auto" w:sz="8" w:space="0"/>
            </w:tcBorders>
            <w:shd w:val="clear" w:color="auto" w:fill="auto"/>
          </w:tcPr>
          <w:p w14:paraId="71F14D30">
            <w:pPr>
              <w:pStyle w:val="179"/>
              <w:rPr>
                <w:rFonts w:hAnsi="宋体"/>
                <w:szCs w:val="18"/>
              </w:rPr>
            </w:pPr>
            <w:r>
              <w:rPr>
                <w:rFonts w:hint="eastAsia" w:hAnsi="宋体"/>
                <w:szCs w:val="18"/>
              </w:rPr>
              <w:t>＜</w:t>
            </w:r>
            <w:r>
              <w:rPr>
                <w:rFonts w:hAnsi="宋体"/>
                <w:szCs w:val="18"/>
              </w:rPr>
              <w:t>0.5</w:t>
            </w:r>
          </w:p>
        </w:tc>
      </w:tr>
      <w:tr w14:paraId="49EB3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tcBorders>
              <w:top w:val="single" w:color="auto" w:sz="8" w:space="0"/>
            </w:tcBorders>
            <w:shd w:val="clear" w:color="auto" w:fill="auto"/>
          </w:tcPr>
          <w:p w14:paraId="7DDC40AB">
            <w:pPr>
              <w:pStyle w:val="179"/>
              <w:rPr>
                <w:rFonts w:hAnsi="宋体"/>
                <w:szCs w:val="18"/>
              </w:rPr>
            </w:pPr>
            <w:r>
              <w:rPr>
                <w:rFonts w:hAnsi="宋体"/>
                <w:szCs w:val="18"/>
              </w:rPr>
              <w:t>赋分/分</w:t>
            </w:r>
          </w:p>
        </w:tc>
        <w:tc>
          <w:tcPr>
            <w:tcW w:w="1333" w:type="dxa"/>
            <w:tcBorders>
              <w:top w:val="single" w:color="auto" w:sz="8" w:space="0"/>
            </w:tcBorders>
            <w:shd w:val="clear" w:color="auto" w:fill="auto"/>
          </w:tcPr>
          <w:p w14:paraId="05A9E8F2">
            <w:pPr>
              <w:pStyle w:val="179"/>
              <w:rPr>
                <w:rFonts w:hAnsi="宋体"/>
                <w:szCs w:val="18"/>
              </w:rPr>
            </w:pPr>
            <w:r>
              <w:rPr>
                <w:rFonts w:hAnsi="宋体"/>
                <w:szCs w:val="18"/>
              </w:rPr>
              <w:t>100</w:t>
            </w:r>
          </w:p>
        </w:tc>
        <w:tc>
          <w:tcPr>
            <w:tcW w:w="1333" w:type="dxa"/>
            <w:tcBorders>
              <w:top w:val="single" w:color="auto" w:sz="8" w:space="0"/>
            </w:tcBorders>
            <w:shd w:val="clear" w:color="auto" w:fill="auto"/>
          </w:tcPr>
          <w:p w14:paraId="625A331A">
            <w:pPr>
              <w:pStyle w:val="179"/>
              <w:rPr>
                <w:rFonts w:hAnsi="宋体"/>
                <w:szCs w:val="18"/>
              </w:rPr>
            </w:pPr>
            <w:r>
              <w:rPr>
                <w:rFonts w:hAnsi="宋体"/>
                <w:szCs w:val="18"/>
              </w:rPr>
              <w:t>80</w:t>
            </w:r>
          </w:p>
        </w:tc>
        <w:tc>
          <w:tcPr>
            <w:tcW w:w="1334" w:type="dxa"/>
            <w:tcBorders>
              <w:top w:val="single" w:color="auto" w:sz="8" w:space="0"/>
            </w:tcBorders>
            <w:shd w:val="clear" w:color="auto" w:fill="auto"/>
          </w:tcPr>
          <w:p w14:paraId="39674636">
            <w:pPr>
              <w:pStyle w:val="179"/>
              <w:rPr>
                <w:rFonts w:hAnsi="宋体"/>
                <w:szCs w:val="18"/>
              </w:rPr>
            </w:pPr>
            <w:r>
              <w:rPr>
                <w:rFonts w:hAnsi="宋体"/>
                <w:szCs w:val="18"/>
              </w:rPr>
              <w:t>60</w:t>
            </w:r>
          </w:p>
        </w:tc>
        <w:tc>
          <w:tcPr>
            <w:tcW w:w="1334" w:type="dxa"/>
            <w:tcBorders>
              <w:top w:val="single" w:color="auto" w:sz="8" w:space="0"/>
            </w:tcBorders>
            <w:shd w:val="clear" w:color="auto" w:fill="auto"/>
          </w:tcPr>
          <w:p w14:paraId="49FD5052">
            <w:pPr>
              <w:pStyle w:val="179"/>
              <w:rPr>
                <w:rFonts w:hAnsi="宋体"/>
                <w:szCs w:val="18"/>
              </w:rPr>
            </w:pPr>
            <w:r>
              <w:rPr>
                <w:rFonts w:hAnsi="宋体"/>
                <w:szCs w:val="18"/>
              </w:rPr>
              <w:t>40</w:t>
            </w:r>
          </w:p>
        </w:tc>
        <w:tc>
          <w:tcPr>
            <w:tcW w:w="1334" w:type="dxa"/>
            <w:tcBorders>
              <w:top w:val="single" w:color="auto" w:sz="8" w:space="0"/>
            </w:tcBorders>
            <w:shd w:val="clear" w:color="auto" w:fill="auto"/>
          </w:tcPr>
          <w:p w14:paraId="15FF374D">
            <w:pPr>
              <w:pStyle w:val="179"/>
              <w:rPr>
                <w:rFonts w:hAnsi="宋体"/>
                <w:szCs w:val="18"/>
              </w:rPr>
            </w:pPr>
            <w:r>
              <w:rPr>
                <w:rFonts w:hAnsi="宋体"/>
                <w:szCs w:val="18"/>
              </w:rPr>
              <w:t>20</w:t>
            </w:r>
          </w:p>
        </w:tc>
        <w:tc>
          <w:tcPr>
            <w:tcW w:w="1334" w:type="dxa"/>
            <w:tcBorders>
              <w:top w:val="single" w:color="auto" w:sz="8" w:space="0"/>
            </w:tcBorders>
            <w:shd w:val="clear" w:color="auto" w:fill="auto"/>
          </w:tcPr>
          <w:p w14:paraId="7AF952D2">
            <w:pPr>
              <w:pStyle w:val="179"/>
              <w:rPr>
                <w:rFonts w:hAnsi="宋体"/>
                <w:szCs w:val="18"/>
              </w:rPr>
            </w:pPr>
            <w:r>
              <w:rPr>
                <w:rFonts w:hAnsi="宋体"/>
                <w:szCs w:val="18"/>
              </w:rPr>
              <w:t>0</w:t>
            </w:r>
          </w:p>
        </w:tc>
      </w:tr>
    </w:tbl>
    <w:p w14:paraId="492DD1AB">
      <w:pPr>
        <w:pStyle w:val="57"/>
        <w:ind w:firstLine="420"/>
      </w:pPr>
    </w:p>
    <w:p w14:paraId="087B1347">
      <w:pPr>
        <w:pStyle w:val="106"/>
        <w:spacing w:before="156" w:after="156"/>
      </w:pPr>
      <w:bookmarkStart w:id="79" w:name="_Toc242796892"/>
      <w:bookmarkStart w:id="80" w:name="_Toc242804736"/>
      <w:r>
        <w:rPr>
          <w:rFonts w:hint="eastAsia"/>
        </w:rPr>
        <w:t>营养状态</w:t>
      </w:r>
      <w:bookmarkEnd w:id="79"/>
      <w:bookmarkEnd w:id="80"/>
    </w:p>
    <w:p w14:paraId="749F3B6B">
      <w:pPr>
        <w:pStyle w:val="57"/>
        <w:ind w:firstLine="420"/>
      </w:pPr>
      <w:r>
        <w:t>根据营养状态指数确定</w:t>
      </w:r>
      <w:r>
        <w:rPr>
          <w:rFonts w:hint="eastAsia"/>
        </w:rPr>
        <w:t>，</w:t>
      </w:r>
      <w:r>
        <w:t>按SL</w:t>
      </w:r>
      <w:r>
        <w:rPr>
          <w:rFonts w:hint="eastAsia"/>
        </w:rPr>
        <w:t xml:space="preserve"> </w:t>
      </w:r>
      <w:r>
        <w:t>395计算营养状态指数</w:t>
      </w:r>
      <w:r>
        <w:rPr>
          <w:rFonts w:hint="eastAsia"/>
        </w:rPr>
        <w:t>，</w:t>
      </w:r>
      <w:r>
        <w:t>赋分标准见表10</w:t>
      </w:r>
      <w:r>
        <w:rPr>
          <w:rFonts w:hint="eastAsia"/>
        </w:rPr>
        <w:t>，</w:t>
      </w:r>
      <w:r>
        <w:t>采用线性插值法计算。</w:t>
      </w:r>
    </w:p>
    <w:p w14:paraId="1BB773A8">
      <w:pPr>
        <w:pStyle w:val="113"/>
        <w:spacing w:before="156" w:after="156"/>
      </w:pPr>
      <w:r>
        <w:t>营养状态赋分标准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691"/>
        <w:gridCol w:w="1091"/>
        <w:gridCol w:w="1092"/>
        <w:gridCol w:w="1092"/>
        <w:gridCol w:w="1092"/>
        <w:gridCol w:w="1092"/>
        <w:gridCol w:w="1092"/>
        <w:gridCol w:w="1092"/>
      </w:tblGrid>
      <w:tr w14:paraId="44225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691" w:type="dxa"/>
            <w:tcBorders>
              <w:top w:val="single" w:color="auto" w:sz="8" w:space="0"/>
              <w:bottom w:val="single" w:color="auto" w:sz="8" w:space="0"/>
            </w:tcBorders>
            <w:shd w:val="clear" w:color="auto" w:fill="auto"/>
          </w:tcPr>
          <w:p w14:paraId="7991D083">
            <w:pPr>
              <w:pStyle w:val="179"/>
              <w:rPr>
                <w:rFonts w:hAnsi="宋体"/>
              </w:rPr>
            </w:pPr>
            <w:r>
              <w:rPr>
                <w:rFonts w:hAnsi="宋体"/>
              </w:rPr>
              <w:t>营养状态指数</w:t>
            </w:r>
          </w:p>
        </w:tc>
        <w:tc>
          <w:tcPr>
            <w:tcW w:w="1091" w:type="dxa"/>
            <w:tcBorders>
              <w:top w:val="single" w:color="auto" w:sz="8" w:space="0"/>
              <w:bottom w:val="single" w:color="auto" w:sz="8" w:space="0"/>
            </w:tcBorders>
            <w:shd w:val="clear" w:color="auto" w:fill="auto"/>
          </w:tcPr>
          <w:p w14:paraId="69F929D9">
            <w:pPr>
              <w:pStyle w:val="179"/>
              <w:rPr>
                <w:rFonts w:hAnsi="宋体"/>
              </w:rPr>
            </w:pPr>
            <w:r>
              <w:rPr>
                <w:rFonts w:hAnsi="宋体"/>
              </w:rPr>
              <w:t>≤20</w:t>
            </w:r>
          </w:p>
        </w:tc>
        <w:tc>
          <w:tcPr>
            <w:tcW w:w="1092" w:type="dxa"/>
            <w:tcBorders>
              <w:top w:val="single" w:color="auto" w:sz="8" w:space="0"/>
              <w:bottom w:val="single" w:color="auto" w:sz="8" w:space="0"/>
            </w:tcBorders>
            <w:shd w:val="clear" w:color="auto" w:fill="auto"/>
          </w:tcPr>
          <w:p w14:paraId="16C75834">
            <w:pPr>
              <w:pStyle w:val="179"/>
              <w:rPr>
                <w:rFonts w:hAnsi="宋体"/>
              </w:rPr>
            </w:pPr>
            <w:r>
              <w:rPr>
                <w:rFonts w:hAnsi="宋体"/>
              </w:rPr>
              <w:t>42</w:t>
            </w:r>
          </w:p>
        </w:tc>
        <w:tc>
          <w:tcPr>
            <w:tcW w:w="1092" w:type="dxa"/>
            <w:tcBorders>
              <w:top w:val="single" w:color="auto" w:sz="8" w:space="0"/>
              <w:bottom w:val="single" w:color="auto" w:sz="8" w:space="0"/>
            </w:tcBorders>
            <w:shd w:val="clear" w:color="auto" w:fill="auto"/>
          </w:tcPr>
          <w:p w14:paraId="788F8BB8">
            <w:pPr>
              <w:pStyle w:val="179"/>
              <w:rPr>
                <w:rFonts w:hAnsi="宋体"/>
              </w:rPr>
            </w:pPr>
            <w:r>
              <w:rPr>
                <w:rFonts w:hAnsi="宋体"/>
              </w:rPr>
              <w:t>45</w:t>
            </w:r>
          </w:p>
        </w:tc>
        <w:tc>
          <w:tcPr>
            <w:tcW w:w="1092" w:type="dxa"/>
            <w:tcBorders>
              <w:top w:val="single" w:color="auto" w:sz="8" w:space="0"/>
              <w:bottom w:val="single" w:color="auto" w:sz="8" w:space="0"/>
            </w:tcBorders>
            <w:shd w:val="clear" w:color="auto" w:fill="auto"/>
          </w:tcPr>
          <w:p w14:paraId="35F000F7">
            <w:pPr>
              <w:pStyle w:val="179"/>
              <w:rPr>
                <w:rFonts w:hAnsi="宋体"/>
              </w:rPr>
            </w:pPr>
            <w:r>
              <w:rPr>
                <w:rFonts w:hAnsi="宋体"/>
              </w:rPr>
              <w:t>50</w:t>
            </w:r>
          </w:p>
        </w:tc>
        <w:tc>
          <w:tcPr>
            <w:tcW w:w="1092" w:type="dxa"/>
            <w:tcBorders>
              <w:top w:val="single" w:color="auto" w:sz="8" w:space="0"/>
              <w:bottom w:val="single" w:color="auto" w:sz="8" w:space="0"/>
            </w:tcBorders>
            <w:shd w:val="clear" w:color="auto" w:fill="auto"/>
          </w:tcPr>
          <w:p w14:paraId="5361C597">
            <w:pPr>
              <w:pStyle w:val="179"/>
              <w:rPr>
                <w:rFonts w:hAnsi="宋体"/>
              </w:rPr>
            </w:pPr>
            <w:r>
              <w:rPr>
                <w:rFonts w:hAnsi="宋体"/>
              </w:rPr>
              <w:t>60</w:t>
            </w:r>
          </w:p>
        </w:tc>
        <w:tc>
          <w:tcPr>
            <w:tcW w:w="1092" w:type="dxa"/>
            <w:tcBorders>
              <w:top w:val="single" w:color="auto" w:sz="8" w:space="0"/>
              <w:bottom w:val="single" w:color="auto" w:sz="8" w:space="0"/>
            </w:tcBorders>
            <w:shd w:val="clear" w:color="auto" w:fill="auto"/>
          </w:tcPr>
          <w:p w14:paraId="68E62518">
            <w:pPr>
              <w:pStyle w:val="179"/>
              <w:rPr>
                <w:rFonts w:hAnsi="宋体"/>
              </w:rPr>
            </w:pPr>
            <w:r>
              <w:rPr>
                <w:rFonts w:hAnsi="宋体"/>
              </w:rPr>
              <w:t>65</w:t>
            </w:r>
          </w:p>
        </w:tc>
        <w:tc>
          <w:tcPr>
            <w:tcW w:w="1092" w:type="dxa"/>
            <w:tcBorders>
              <w:top w:val="single" w:color="auto" w:sz="8" w:space="0"/>
              <w:bottom w:val="single" w:color="auto" w:sz="8" w:space="0"/>
            </w:tcBorders>
            <w:shd w:val="clear" w:color="auto" w:fill="auto"/>
          </w:tcPr>
          <w:p w14:paraId="6029F17E">
            <w:pPr>
              <w:pStyle w:val="179"/>
              <w:rPr>
                <w:rFonts w:hAnsi="宋体"/>
              </w:rPr>
            </w:pPr>
            <w:r>
              <w:rPr>
                <w:rFonts w:hAnsi="宋体"/>
              </w:rPr>
              <w:t>≥70</w:t>
            </w:r>
          </w:p>
        </w:tc>
      </w:tr>
      <w:tr w14:paraId="657437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691" w:type="dxa"/>
            <w:tcBorders>
              <w:top w:val="single" w:color="auto" w:sz="8" w:space="0"/>
            </w:tcBorders>
            <w:shd w:val="clear" w:color="auto" w:fill="auto"/>
          </w:tcPr>
          <w:p w14:paraId="7592BAD0">
            <w:pPr>
              <w:pStyle w:val="179"/>
              <w:rPr>
                <w:rFonts w:hAnsi="宋体"/>
              </w:rPr>
            </w:pPr>
            <w:r>
              <w:rPr>
                <w:rFonts w:hAnsi="宋体"/>
              </w:rPr>
              <w:t>赋分/分</w:t>
            </w:r>
          </w:p>
        </w:tc>
        <w:tc>
          <w:tcPr>
            <w:tcW w:w="1091" w:type="dxa"/>
            <w:tcBorders>
              <w:top w:val="single" w:color="auto" w:sz="8" w:space="0"/>
            </w:tcBorders>
            <w:shd w:val="clear" w:color="auto" w:fill="auto"/>
          </w:tcPr>
          <w:p w14:paraId="1915AB1C">
            <w:pPr>
              <w:pStyle w:val="179"/>
              <w:rPr>
                <w:rFonts w:hAnsi="宋体"/>
              </w:rPr>
            </w:pPr>
            <w:r>
              <w:rPr>
                <w:rFonts w:hAnsi="宋体"/>
              </w:rPr>
              <w:t>100</w:t>
            </w:r>
          </w:p>
        </w:tc>
        <w:tc>
          <w:tcPr>
            <w:tcW w:w="1092" w:type="dxa"/>
            <w:tcBorders>
              <w:top w:val="single" w:color="auto" w:sz="8" w:space="0"/>
            </w:tcBorders>
            <w:shd w:val="clear" w:color="auto" w:fill="auto"/>
          </w:tcPr>
          <w:p w14:paraId="6F521A39">
            <w:pPr>
              <w:pStyle w:val="179"/>
              <w:rPr>
                <w:rFonts w:hAnsi="宋体"/>
              </w:rPr>
            </w:pPr>
            <w:r>
              <w:rPr>
                <w:rFonts w:hAnsi="宋体"/>
              </w:rPr>
              <w:t>80</w:t>
            </w:r>
          </w:p>
        </w:tc>
        <w:tc>
          <w:tcPr>
            <w:tcW w:w="1092" w:type="dxa"/>
            <w:tcBorders>
              <w:top w:val="single" w:color="auto" w:sz="8" w:space="0"/>
            </w:tcBorders>
            <w:shd w:val="clear" w:color="auto" w:fill="auto"/>
          </w:tcPr>
          <w:p w14:paraId="3BC500BB">
            <w:pPr>
              <w:pStyle w:val="179"/>
              <w:rPr>
                <w:rFonts w:hAnsi="宋体"/>
              </w:rPr>
            </w:pPr>
            <w:r>
              <w:rPr>
                <w:rFonts w:hAnsi="宋体"/>
              </w:rPr>
              <w:t>70</w:t>
            </w:r>
          </w:p>
        </w:tc>
        <w:tc>
          <w:tcPr>
            <w:tcW w:w="1092" w:type="dxa"/>
            <w:tcBorders>
              <w:top w:val="single" w:color="auto" w:sz="8" w:space="0"/>
            </w:tcBorders>
            <w:shd w:val="clear" w:color="auto" w:fill="auto"/>
          </w:tcPr>
          <w:p w14:paraId="0FB9E1E0">
            <w:pPr>
              <w:pStyle w:val="179"/>
              <w:rPr>
                <w:rFonts w:hAnsi="宋体"/>
              </w:rPr>
            </w:pPr>
            <w:r>
              <w:rPr>
                <w:rFonts w:hAnsi="宋体"/>
              </w:rPr>
              <w:t>60</w:t>
            </w:r>
          </w:p>
        </w:tc>
        <w:tc>
          <w:tcPr>
            <w:tcW w:w="1092" w:type="dxa"/>
            <w:tcBorders>
              <w:top w:val="single" w:color="auto" w:sz="8" w:space="0"/>
            </w:tcBorders>
            <w:shd w:val="clear" w:color="auto" w:fill="auto"/>
          </w:tcPr>
          <w:p w14:paraId="691AFCFA">
            <w:pPr>
              <w:pStyle w:val="179"/>
              <w:rPr>
                <w:rFonts w:hAnsi="宋体"/>
              </w:rPr>
            </w:pPr>
            <w:r>
              <w:rPr>
                <w:rFonts w:hAnsi="宋体"/>
              </w:rPr>
              <w:t>50</w:t>
            </w:r>
          </w:p>
        </w:tc>
        <w:tc>
          <w:tcPr>
            <w:tcW w:w="1092" w:type="dxa"/>
            <w:tcBorders>
              <w:top w:val="single" w:color="auto" w:sz="8" w:space="0"/>
            </w:tcBorders>
            <w:shd w:val="clear" w:color="auto" w:fill="auto"/>
          </w:tcPr>
          <w:p w14:paraId="4B680246">
            <w:pPr>
              <w:pStyle w:val="179"/>
              <w:rPr>
                <w:rFonts w:hAnsi="宋体"/>
              </w:rPr>
            </w:pPr>
            <w:r>
              <w:rPr>
                <w:rFonts w:hAnsi="宋体"/>
              </w:rPr>
              <w:t>10</w:t>
            </w:r>
          </w:p>
        </w:tc>
        <w:tc>
          <w:tcPr>
            <w:tcW w:w="1092" w:type="dxa"/>
            <w:tcBorders>
              <w:top w:val="single" w:color="auto" w:sz="8" w:space="0"/>
            </w:tcBorders>
            <w:shd w:val="clear" w:color="auto" w:fill="auto"/>
          </w:tcPr>
          <w:p w14:paraId="702C1024">
            <w:pPr>
              <w:pStyle w:val="179"/>
              <w:rPr>
                <w:rFonts w:hAnsi="宋体"/>
              </w:rPr>
            </w:pPr>
            <w:r>
              <w:rPr>
                <w:rFonts w:hAnsi="宋体"/>
              </w:rPr>
              <w:t>0</w:t>
            </w:r>
          </w:p>
        </w:tc>
      </w:tr>
    </w:tbl>
    <w:p w14:paraId="6C3D860A">
      <w:pPr>
        <w:pStyle w:val="106"/>
        <w:spacing w:before="156" w:after="156"/>
      </w:pPr>
      <w:bookmarkStart w:id="81" w:name="_Toc242796893"/>
      <w:bookmarkStart w:id="82" w:name="_Toc242804737"/>
      <w:r>
        <w:rPr>
          <w:rFonts w:hint="eastAsia"/>
        </w:rPr>
        <w:t>生态流量（水位）满足程度</w:t>
      </w:r>
      <w:bookmarkEnd w:id="81"/>
      <w:bookmarkEnd w:id="82"/>
    </w:p>
    <w:p w14:paraId="0F4C2512">
      <w:pPr>
        <w:pStyle w:val="57"/>
        <w:ind w:firstLine="420"/>
      </w:pPr>
      <w:r>
        <w:rPr>
          <w:rFonts w:hint="eastAsia"/>
        </w:rPr>
        <w:t>对确定生态流量（水位）管控目标的河湖评价生态流量（水位）满足程度</w:t>
      </w:r>
      <w:r>
        <w:t>。</w:t>
      </w:r>
      <w:r>
        <w:rPr>
          <w:rFonts w:hint="eastAsia"/>
        </w:rPr>
        <w:t>按评价年内生态流量（水位）达标天数比例确定</w:t>
      </w:r>
      <w:r>
        <w:t>,</w:t>
      </w:r>
      <w:r>
        <w:rPr>
          <w:rFonts w:hint="eastAsia"/>
        </w:rPr>
        <w:t>赋分标准见表</w:t>
      </w:r>
      <w:r>
        <w:t>11</w:t>
      </w:r>
      <w:r>
        <w:rPr>
          <w:rFonts w:hint="eastAsia"/>
        </w:rPr>
        <w:t>。评价河流（湖泊）不具备生态水位管控目标时，可采用同水利片内具有水文联系河流（湖泊）生态水位管控目标高值作为目标。</w:t>
      </w:r>
    </w:p>
    <w:p w14:paraId="7736EBB1">
      <w:pPr>
        <w:pStyle w:val="113"/>
        <w:spacing w:before="156" w:after="156"/>
      </w:pPr>
      <w:r>
        <w:t>生态流量满足程度赋分标准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676"/>
        <w:gridCol w:w="1414"/>
        <w:gridCol w:w="1415"/>
        <w:gridCol w:w="1414"/>
        <w:gridCol w:w="1415"/>
      </w:tblGrid>
      <w:tr w14:paraId="55B09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676" w:type="dxa"/>
            <w:tcBorders>
              <w:top w:val="single" w:color="auto" w:sz="8" w:space="0"/>
              <w:bottom w:val="single" w:color="auto" w:sz="8" w:space="0"/>
            </w:tcBorders>
            <w:shd w:val="clear" w:color="auto" w:fill="auto"/>
          </w:tcPr>
          <w:p w14:paraId="4AA37660">
            <w:pPr>
              <w:pStyle w:val="179"/>
            </w:pPr>
            <w:r>
              <w:rPr>
                <w:rFonts w:hint="eastAsia"/>
              </w:rPr>
              <w:t>生态流量（水位）达标天数比例/%</w:t>
            </w:r>
          </w:p>
        </w:tc>
        <w:tc>
          <w:tcPr>
            <w:tcW w:w="1414" w:type="dxa"/>
            <w:tcBorders>
              <w:top w:val="single" w:color="auto" w:sz="8" w:space="0"/>
              <w:bottom w:val="single" w:color="auto" w:sz="8" w:space="0"/>
            </w:tcBorders>
            <w:shd w:val="clear" w:color="auto" w:fill="auto"/>
          </w:tcPr>
          <w:p w14:paraId="7C011CA9">
            <w:pPr>
              <w:pStyle w:val="179"/>
            </w:pPr>
            <w:r>
              <w:rPr>
                <w:rFonts w:hint="eastAsia"/>
              </w:rPr>
              <w:t>100</w:t>
            </w:r>
          </w:p>
        </w:tc>
        <w:tc>
          <w:tcPr>
            <w:tcW w:w="1415" w:type="dxa"/>
            <w:tcBorders>
              <w:top w:val="single" w:color="auto" w:sz="8" w:space="0"/>
              <w:bottom w:val="single" w:color="auto" w:sz="8" w:space="0"/>
            </w:tcBorders>
            <w:shd w:val="clear" w:color="auto" w:fill="auto"/>
          </w:tcPr>
          <w:p w14:paraId="51B56CCA">
            <w:pPr>
              <w:pStyle w:val="179"/>
            </w:pPr>
            <w:r>
              <w:rPr>
                <w:rFonts w:hint="eastAsia"/>
              </w:rPr>
              <w:t>[95，100)</w:t>
            </w:r>
          </w:p>
        </w:tc>
        <w:tc>
          <w:tcPr>
            <w:tcW w:w="1414" w:type="dxa"/>
            <w:tcBorders>
              <w:top w:val="single" w:color="auto" w:sz="8" w:space="0"/>
              <w:bottom w:val="single" w:color="auto" w:sz="8" w:space="0"/>
            </w:tcBorders>
            <w:shd w:val="clear" w:color="auto" w:fill="auto"/>
          </w:tcPr>
          <w:p w14:paraId="381B62B7">
            <w:pPr>
              <w:pStyle w:val="179"/>
            </w:pPr>
            <w:r>
              <w:rPr>
                <w:rFonts w:hint="eastAsia"/>
              </w:rPr>
              <w:t>[90，95)</w:t>
            </w:r>
          </w:p>
        </w:tc>
        <w:tc>
          <w:tcPr>
            <w:tcW w:w="1415" w:type="dxa"/>
            <w:tcBorders>
              <w:top w:val="single" w:color="auto" w:sz="8" w:space="0"/>
              <w:bottom w:val="single" w:color="auto" w:sz="8" w:space="0"/>
            </w:tcBorders>
            <w:shd w:val="clear" w:color="auto" w:fill="auto"/>
          </w:tcPr>
          <w:p w14:paraId="0DA6DE73">
            <w:pPr>
              <w:pStyle w:val="179"/>
            </w:pPr>
            <w:r>
              <w:rPr>
                <w:rFonts w:hint="eastAsia"/>
              </w:rPr>
              <w:t>＜90</w:t>
            </w:r>
          </w:p>
        </w:tc>
      </w:tr>
      <w:tr w14:paraId="719E4F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76" w:type="dxa"/>
            <w:tcBorders>
              <w:top w:val="single" w:color="auto" w:sz="8" w:space="0"/>
            </w:tcBorders>
            <w:shd w:val="clear" w:color="auto" w:fill="auto"/>
          </w:tcPr>
          <w:p w14:paraId="73C4DFFD">
            <w:pPr>
              <w:pStyle w:val="179"/>
            </w:pPr>
            <w:r>
              <w:rPr>
                <w:rFonts w:hint="eastAsia"/>
              </w:rPr>
              <w:t>赋分/分</w:t>
            </w:r>
          </w:p>
        </w:tc>
        <w:tc>
          <w:tcPr>
            <w:tcW w:w="1414" w:type="dxa"/>
            <w:tcBorders>
              <w:top w:val="single" w:color="auto" w:sz="8" w:space="0"/>
            </w:tcBorders>
            <w:shd w:val="clear" w:color="auto" w:fill="auto"/>
          </w:tcPr>
          <w:p w14:paraId="62D1D821">
            <w:pPr>
              <w:pStyle w:val="179"/>
            </w:pPr>
            <w:r>
              <w:rPr>
                <w:rFonts w:hint="eastAsia"/>
              </w:rPr>
              <w:t>100</w:t>
            </w:r>
          </w:p>
        </w:tc>
        <w:tc>
          <w:tcPr>
            <w:tcW w:w="1415" w:type="dxa"/>
            <w:tcBorders>
              <w:top w:val="single" w:color="auto" w:sz="8" w:space="0"/>
            </w:tcBorders>
            <w:shd w:val="clear" w:color="auto" w:fill="auto"/>
          </w:tcPr>
          <w:p w14:paraId="275D677F">
            <w:pPr>
              <w:pStyle w:val="179"/>
            </w:pPr>
            <w:r>
              <w:rPr>
                <w:rFonts w:hint="eastAsia"/>
              </w:rPr>
              <w:t>80</w:t>
            </w:r>
          </w:p>
        </w:tc>
        <w:tc>
          <w:tcPr>
            <w:tcW w:w="1414" w:type="dxa"/>
            <w:tcBorders>
              <w:top w:val="single" w:color="auto" w:sz="8" w:space="0"/>
            </w:tcBorders>
            <w:shd w:val="clear" w:color="auto" w:fill="auto"/>
          </w:tcPr>
          <w:p w14:paraId="45583021">
            <w:pPr>
              <w:pStyle w:val="179"/>
            </w:pPr>
            <w:r>
              <w:rPr>
                <w:rFonts w:hint="eastAsia"/>
              </w:rPr>
              <w:t>60</w:t>
            </w:r>
          </w:p>
        </w:tc>
        <w:tc>
          <w:tcPr>
            <w:tcW w:w="1415" w:type="dxa"/>
            <w:tcBorders>
              <w:top w:val="single" w:color="auto" w:sz="8" w:space="0"/>
            </w:tcBorders>
            <w:shd w:val="clear" w:color="auto" w:fill="auto"/>
          </w:tcPr>
          <w:p w14:paraId="633B3648">
            <w:pPr>
              <w:pStyle w:val="179"/>
            </w:pPr>
            <w:r>
              <w:rPr>
                <w:rFonts w:hint="eastAsia"/>
              </w:rPr>
              <w:t>0</w:t>
            </w:r>
          </w:p>
        </w:tc>
      </w:tr>
    </w:tbl>
    <w:p w14:paraId="2D8DF1EB">
      <w:pPr>
        <w:pStyle w:val="106"/>
        <w:spacing w:before="156" w:after="156"/>
      </w:pPr>
      <w:bookmarkStart w:id="83" w:name="_Toc242804738"/>
      <w:bookmarkStart w:id="84" w:name="_Toc242796894"/>
      <w:r>
        <w:rPr>
          <w:rFonts w:hint="eastAsia"/>
        </w:rPr>
        <w:t>地表水资源开发利用率</w:t>
      </w:r>
      <w:bookmarkEnd w:id="83"/>
      <w:bookmarkEnd w:id="84"/>
    </w:p>
    <w:p w14:paraId="39869A04">
      <w:pPr>
        <w:pStyle w:val="57"/>
        <w:ind w:firstLine="420"/>
      </w:pPr>
      <w:r>
        <w:rPr>
          <w:rFonts w:hint="eastAsia"/>
        </w:rPr>
        <w:t>根据流域地表水供水量占流域地表水资源量的百分比确定，按公式（9）计算，赋分标准见表1</w:t>
      </w:r>
      <w:r>
        <w:t>2</w:t>
      </w:r>
      <w:r>
        <w:rPr>
          <w:rFonts w:hint="eastAsia"/>
        </w:rPr>
        <w:t>，采用线性插值法计算。</w:t>
      </w:r>
    </w:p>
    <w:p w14:paraId="7BCF5687">
      <w:pPr>
        <w:spacing w:line="240" w:lineRule="auto"/>
        <w:ind w:right="55"/>
        <w:jc w:val="right"/>
        <w:rPr>
          <w:rFonts w:ascii="宋体" w:hAnsi="宋体" w:cs="微软雅黑"/>
        </w:rPr>
      </w:pPr>
      <m:oMath>
        <m:r>
          <m:rPr/>
          <w:rPr>
            <w:rFonts w:ascii="Cambria Math" w:hAnsi="Cambria Math" w:cs="微软雅黑"/>
            <w:position w:val="-1"/>
          </w:rPr>
          <m:t>WURI=</m:t>
        </m:r>
        <m:f>
          <m:fPr>
            <m:ctrlPr>
              <w:rPr>
                <w:rFonts w:ascii="Cambria Math" w:hAnsi="Cambria Math" w:cs="微软雅黑"/>
                <w:i/>
                <w:position w:val="-1"/>
              </w:rPr>
            </m:ctrlPr>
          </m:fPr>
          <m:num>
            <w:bookmarkStart w:id="85" w:name="OLE_LINK15"/>
            <m:r>
              <m:rPr/>
              <w:rPr>
                <w:rFonts w:ascii="Cambria Math" w:hAnsi="Cambria Math" w:cs="微软雅黑"/>
                <w:position w:val="-1"/>
              </w:rPr>
              <m:t>WS</m:t>
            </m:r>
            <w:bookmarkEnd w:id="85"/>
            <m:ctrlPr>
              <w:rPr>
                <w:rFonts w:ascii="Cambria Math" w:hAnsi="Cambria Math" w:cs="微软雅黑"/>
                <w:i/>
                <w:position w:val="-1"/>
              </w:rPr>
            </m:ctrlPr>
          </m:num>
          <m:den>
            <m:r>
              <m:rPr/>
              <w:rPr>
                <w:rFonts w:ascii="Cambria Math" w:hAnsi="Cambria Math" w:cs="微软雅黑"/>
                <w:position w:val="-1"/>
              </w:rPr>
              <m:t>WR</m:t>
            </m:r>
            <m:ctrlPr>
              <w:rPr>
                <w:rFonts w:ascii="Cambria Math" w:hAnsi="Cambria Math" w:cs="微软雅黑"/>
                <w:i/>
                <w:position w:val="-1"/>
              </w:rPr>
            </m:ctrlPr>
          </m:den>
        </m:f>
        <m:r>
          <m:rPr/>
          <w:rPr>
            <w:rFonts w:ascii="Cambria Math" w:hAnsi="Cambria Math" w:cs="微软雅黑"/>
            <w:position w:val="-1"/>
          </w:rPr>
          <m:t>×100%</m:t>
        </m:r>
      </m:oMath>
      <w:r>
        <w:rPr>
          <w:rFonts w:ascii="宋体" w:hAnsi="宋体" w:cs="微软雅黑"/>
          <w:position w:val="-1"/>
        </w:rPr>
        <w:t xml:space="preserve">  </w:t>
      </w:r>
      <w:r>
        <w:rPr>
          <w:rFonts w:ascii="宋体" w:hAnsi="宋体" w:cs="微软雅黑"/>
          <w:spacing w:val="19"/>
        </w:rPr>
        <w:t xml:space="preserve">                       </w:t>
      </w:r>
      <w:r>
        <w:rPr>
          <w:rFonts w:hint="eastAsia" w:ascii="宋体" w:hAnsi="宋体" w:cs="微软雅黑"/>
          <w:spacing w:val="19"/>
          <w:position w:val="2"/>
        </w:rPr>
        <w:t>（9）</w:t>
      </w:r>
    </w:p>
    <w:p w14:paraId="5C377965">
      <w:pPr>
        <w:pStyle w:val="57"/>
        <w:ind w:firstLine="420"/>
        <w:rPr>
          <w:szCs w:val="21"/>
        </w:rPr>
      </w:pPr>
      <w:r>
        <w:rPr>
          <w:szCs w:val="21"/>
        </w:rPr>
        <w:t>式中</w:t>
      </w:r>
      <w:r>
        <w:rPr>
          <w:rFonts w:hint="eastAsia"/>
          <w:szCs w:val="21"/>
        </w:rPr>
        <w:t>：</w:t>
      </w:r>
    </w:p>
    <w:p w14:paraId="5738F760">
      <w:pPr>
        <w:pStyle w:val="57"/>
        <w:ind w:firstLine="420"/>
        <w:rPr>
          <w:szCs w:val="21"/>
        </w:rPr>
      </w:pPr>
      <m:oMath>
        <m:r>
          <m:rPr/>
          <w:rPr>
            <w:rFonts w:ascii="Cambria Math" w:hAnsi="Cambria Math" w:cs="微软雅黑"/>
            <w:position w:val="-1"/>
            <w:szCs w:val="21"/>
          </w:rPr>
          <m:t>WURI</m:t>
        </m:r>
      </m:oMath>
      <w:r>
        <w:rPr>
          <w:szCs w:val="21"/>
        </w:rPr>
        <w:t xml:space="preserve"> </w:t>
      </w:r>
      <w:r>
        <w:rPr>
          <w:rFonts w:hint="eastAsia"/>
          <w:szCs w:val="21"/>
        </w:rPr>
        <w:t>——</w:t>
      </w:r>
      <w:r>
        <w:rPr>
          <w:szCs w:val="21"/>
        </w:rPr>
        <w:t>地表水资源开发利用率</w:t>
      </w:r>
      <w:r>
        <w:rPr>
          <w:rFonts w:hint="eastAsia"/>
          <w:szCs w:val="21"/>
        </w:rPr>
        <w:t>；</w:t>
      </w:r>
    </w:p>
    <w:p w14:paraId="3F76F5FE">
      <w:pPr>
        <w:pStyle w:val="57"/>
        <w:ind w:firstLine="420"/>
        <w:rPr>
          <w:szCs w:val="21"/>
        </w:rPr>
      </w:pPr>
      <m:oMath>
        <m:r>
          <m:rPr/>
          <w:rPr>
            <w:rFonts w:ascii="Cambria Math" w:hAnsi="Cambria Math" w:cs="微软雅黑"/>
            <w:position w:val="-1"/>
          </w:rPr>
          <m:t>WS</m:t>
        </m:r>
      </m:oMath>
      <w:r>
        <w:rPr>
          <w:szCs w:val="21"/>
        </w:rPr>
        <w:t xml:space="preserve"> </w:t>
      </w:r>
      <w:r>
        <w:rPr>
          <w:rFonts w:hint="eastAsia"/>
          <w:szCs w:val="21"/>
        </w:rPr>
        <w:t xml:space="preserve">  ——</w:t>
      </w:r>
      <w:r>
        <w:rPr>
          <w:szCs w:val="21"/>
        </w:rPr>
        <w:t>流域地表水供水量</w:t>
      </w:r>
      <w:r>
        <w:rPr>
          <w:rFonts w:hint="eastAsia"/>
          <w:szCs w:val="21"/>
        </w:rPr>
        <w:t>，单位为万立方米（×10</w:t>
      </w:r>
      <w:r>
        <w:rPr>
          <w:rFonts w:hint="eastAsia"/>
          <w:szCs w:val="21"/>
          <w:vertAlign w:val="superscript"/>
        </w:rPr>
        <w:t>4</w:t>
      </w:r>
      <w:r>
        <w:rPr>
          <w:rFonts w:hint="eastAsia"/>
          <w:szCs w:val="21"/>
        </w:rPr>
        <w:t xml:space="preserve"> m</w:t>
      </w:r>
      <w:r>
        <w:rPr>
          <w:szCs w:val="21"/>
          <w:vertAlign w:val="superscript"/>
        </w:rPr>
        <w:t>3</w:t>
      </w:r>
      <w:r>
        <w:rPr>
          <w:rFonts w:hint="eastAsia"/>
          <w:szCs w:val="21"/>
        </w:rPr>
        <w:t>）；</w:t>
      </w:r>
    </w:p>
    <w:p w14:paraId="51C7DC20">
      <w:pPr>
        <w:pStyle w:val="57"/>
        <w:ind w:firstLine="420"/>
        <w:rPr>
          <w:szCs w:val="21"/>
        </w:rPr>
      </w:pPr>
      <m:oMath>
        <m:r>
          <m:rPr/>
          <w:rPr>
            <w:rFonts w:ascii="Cambria Math" w:hAnsi="Cambria Math" w:cs="微软雅黑"/>
            <w:position w:val="-1"/>
          </w:rPr>
          <m:t>WR</m:t>
        </m:r>
      </m:oMath>
      <w:r>
        <w:rPr>
          <w:rFonts w:hint="eastAsia"/>
          <w:szCs w:val="21"/>
        </w:rPr>
        <w:t xml:space="preserve">   ——</w:t>
      </w:r>
      <w:r>
        <w:rPr>
          <w:szCs w:val="21"/>
        </w:rPr>
        <w:t>流域地表水资源总量</w:t>
      </w:r>
      <w:r>
        <w:rPr>
          <w:rFonts w:hint="eastAsia"/>
          <w:szCs w:val="21"/>
        </w:rPr>
        <w:t>，单位为万立方米（×10</w:t>
      </w:r>
      <w:r>
        <w:rPr>
          <w:rFonts w:hint="eastAsia"/>
          <w:szCs w:val="21"/>
          <w:vertAlign w:val="superscript"/>
        </w:rPr>
        <w:t>4</w:t>
      </w:r>
      <w:r>
        <w:rPr>
          <w:rFonts w:hint="eastAsia"/>
          <w:szCs w:val="21"/>
        </w:rPr>
        <w:t xml:space="preserve"> m</w:t>
      </w:r>
      <w:r>
        <w:rPr>
          <w:szCs w:val="21"/>
          <w:vertAlign w:val="superscript"/>
        </w:rPr>
        <w:t>3</w:t>
      </w:r>
      <w:r>
        <w:rPr>
          <w:rFonts w:hint="eastAsia"/>
          <w:szCs w:val="21"/>
        </w:rPr>
        <w:t>）</w:t>
      </w:r>
      <w:r>
        <w:rPr>
          <w:szCs w:val="21"/>
        </w:rPr>
        <w:t>。</w:t>
      </w:r>
    </w:p>
    <w:p w14:paraId="300BD2B1">
      <w:pPr>
        <w:pStyle w:val="113"/>
        <w:spacing w:before="156" w:after="156"/>
      </w:pPr>
      <w:r>
        <w:t>地表水资源开发利用率评价赋分标准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818"/>
        <w:gridCol w:w="1103"/>
        <w:gridCol w:w="1103"/>
        <w:gridCol w:w="1103"/>
        <w:gridCol w:w="1103"/>
        <w:gridCol w:w="1104"/>
      </w:tblGrid>
      <w:tr w14:paraId="677954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818" w:type="dxa"/>
            <w:tcBorders>
              <w:top w:val="single" w:color="auto" w:sz="8" w:space="0"/>
              <w:bottom w:val="single" w:color="auto" w:sz="8" w:space="0"/>
            </w:tcBorders>
            <w:shd w:val="clear" w:color="auto" w:fill="auto"/>
            <w:vAlign w:val="center"/>
          </w:tcPr>
          <w:p w14:paraId="5429C0AD">
            <w:pPr>
              <w:pStyle w:val="179"/>
              <w:rPr>
                <w:rFonts w:hAnsi="宋体"/>
              </w:rPr>
            </w:pPr>
            <w:r>
              <w:rPr>
                <w:rFonts w:hAnsi="宋体"/>
              </w:rPr>
              <w:t>地表水资源开发利用率/%</w:t>
            </w:r>
          </w:p>
        </w:tc>
        <w:tc>
          <w:tcPr>
            <w:tcW w:w="1103" w:type="dxa"/>
            <w:tcBorders>
              <w:top w:val="single" w:color="auto" w:sz="8" w:space="0"/>
              <w:bottom w:val="single" w:color="auto" w:sz="8" w:space="0"/>
            </w:tcBorders>
            <w:shd w:val="clear" w:color="auto" w:fill="auto"/>
            <w:vAlign w:val="center"/>
          </w:tcPr>
          <w:p w14:paraId="60D1863C">
            <w:pPr>
              <w:pStyle w:val="179"/>
              <w:rPr>
                <w:rFonts w:hAnsi="宋体"/>
              </w:rPr>
            </w:pPr>
            <w:r>
              <w:rPr>
                <w:rFonts w:hAnsi="宋体"/>
              </w:rPr>
              <w:t>≤20</w:t>
            </w:r>
          </w:p>
        </w:tc>
        <w:tc>
          <w:tcPr>
            <w:tcW w:w="1103" w:type="dxa"/>
            <w:tcBorders>
              <w:top w:val="single" w:color="auto" w:sz="8" w:space="0"/>
              <w:bottom w:val="single" w:color="auto" w:sz="8" w:space="0"/>
            </w:tcBorders>
            <w:shd w:val="clear" w:color="auto" w:fill="auto"/>
            <w:vAlign w:val="center"/>
          </w:tcPr>
          <w:p w14:paraId="6117A062">
            <w:pPr>
              <w:pStyle w:val="179"/>
              <w:rPr>
                <w:rFonts w:hAnsi="宋体"/>
              </w:rPr>
            </w:pPr>
            <w:r>
              <w:rPr>
                <w:rFonts w:hAnsi="宋体"/>
              </w:rPr>
              <w:t>30</w:t>
            </w:r>
          </w:p>
        </w:tc>
        <w:tc>
          <w:tcPr>
            <w:tcW w:w="1103" w:type="dxa"/>
            <w:tcBorders>
              <w:top w:val="single" w:color="auto" w:sz="8" w:space="0"/>
              <w:bottom w:val="single" w:color="auto" w:sz="8" w:space="0"/>
            </w:tcBorders>
            <w:shd w:val="clear" w:color="auto" w:fill="auto"/>
            <w:vAlign w:val="center"/>
          </w:tcPr>
          <w:p w14:paraId="6270C1B7">
            <w:pPr>
              <w:pStyle w:val="179"/>
              <w:rPr>
                <w:rFonts w:hAnsi="宋体"/>
              </w:rPr>
            </w:pPr>
            <w:r>
              <w:rPr>
                <w:rFonts w:hAnsi="宋体"/>
              </w:rPr>
              <w:t>40</w:t>
            </w:r>
          </w:p>
        </w:tc>
        <w:tc>
          <w:tcPr>
            <w:tcW w:w="1103" w:type="dxa"/>
            <w:tcBorders>
              <w:top w:val="single" w:color="auto" w:sz="8" w:space="0"/>
              <w:bottom w:val="single" w:color="auto" w:sz="8" w:space="0"/>
            </w:tcBorders>
            <w:shd w:val="clear" w:color="auto" w:fill="auto"/>
            <w:vAlign w:val="center"/>
          </w:tcPr>
          <w:p w14:paraId="1AC47BD3">
            <w:pPr>
              <w:pStyle w:val="179"/>
              <w:rPr>
                <w:rFonts w:hAnsi="宋体"/>
              </w:rPr>
            </w:pPr>
            <w:r>
              <w:rPr>
                <w:rFonts w:hAnsi="宋体"/>
              </w:rPr>
              <w:t>50</w:t>
            </w:r>
          </w:p>
        </w:tc>
        <w:tc>
          <w:tcPr>
            <w:tcW w:w="1104" w:type="dxa"/>
            <w:tcBorders>
              <w:top w:val="single" w:color="auto" w:sz="8" w:space="0"/>
              <w:bottom w:val="single" w:color="auto" w:sz="8" w:space="0"/>
            </w:tcBorders>
            <w:shd w:val="clear" w:color="auto" w:fill="auto"/>
            <w:vAlign w:val="center"/>
          </w:tcPr>
          <w:p w14:paraId="7ECF082B">
            <w:pPr>
              <w:pStyle w:val="179"/>
              <w:rPr>
                <w:rFonts w:hAnsi="宋体"/>
              </w:rPr>
            </w:pPr>
            <w:r>
              <w:rPr>
                <w:rFonts w:hAnsi="宋体"/>
              </w:rPr>
              <w:t>≥60</w:t>
            </w:r>
          </w:p>
        </w:tc>
      </w:tr>
      <w:tr w14:paraId="2CC3CA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18" w:type="dxa"/>
            <w:tcBorders>
              <w:top w:val="single" w:color="auto" w:sz="8" w:space="0"/>
            </w:tcBorders>
            <w:shd w:val="clear" w:color="auto" w:fill="auto"/>
          </w:tcPr>
          <w:p w14:paraId="34ABAE82">
            <w:pPr>
              <w:pStyle w:val="179"/>
              <w:rPr>
                <w:rFonts w:hAnsi="宋体"/>
              </w:rPr>
            </w:pPr>
            <w:r>
              <w:rPr>
                <w:rFonts w:hAnsi="宋体"/>
              </w:rPr>
              <w:t>赋分/分</w:t>
            </w:r>
          </w:p>
        </w:tc>
        <w:tc>
          <w:tcPr>
            <w:tcW w:w="1103" w:type="dxa"/>
            <w:tcBorders>
              <w:top w:val="single" w:color="auto" w:sz="8" w:space="0"/>
            </w:tcBorders>
            <w:shd w:val="clear" w:color="auto" w:fill="auto"/>
          </w:tcPr>
          <w:p w14:paraId="39527C4E">
            <w:pPr>
              <w:pStyle w:val="179"/>
              <w:rPr>
                <w:rFonts w:hAnsi="宋体"/>
              </w:rPr>
            </w:pPr>
            <w:r>
              <w:rPr>
                <w:rFonts w:hAnsi="宋体"/>
              </w:rPr>
              <w:t>100</w:t>
            </w:r>
          </w:p>
        </w:tc>
        <w:tc>
          <w:tcPr>
            <w:tcW w:w="1103" w:type="dxa"/>
            <w:tcBorders>
              <w:top w:val="single" w:color="auto" w:sz="8" w:space="0"/>
            </w:tcBorders>
            <w:shd w:val="clear" w:color="auto" w:fill="auto"/>
          </w:tcPr>
          <w:p w14:paraId="2C779654">
            <w:pPr>
              <w:pStyle w:val="179"/>
              <w:rPr>
                <w:rFonts w:hAnsi="宋体"/>
              </w:rPr>
            </w:pPr>
            <w:r>
              <w:rPr>
                <w:rFonts w:hAnsi="宋体"/>
              </w:rPr>
              <w:t>80</w:t>
            </w:r>
          </w:p>
        </w:tc>
        <w:tc>
          <w:tcPr>
            <w:tcW w:w="1103" w:type="dxa"/>
            <w:tcBorders>
              <w:top w:val="single" w:color="auto" w:sz="8" w:space="0"/>
            </w:tcBorders>
            <w:shd w:val="clear" w:color="auto" w:fill="auto"/>
          </w:tcPr>
          <w:p w14:paraId="02CECDC4">
            <w:pPr>
              <w:pStyle w:val="179"/>
              <w:rPr>
                <w:rFonts w:hAnsi="宋体"/>
              </w:rPr>
            </w:pPr>
            <w:r>
              <w:rPr>
                <w:rFonts w:hAnsi="宋体"/>
              </w:rPr>
              <w:t>50</w:t>
            </w:r>
          </w:p>
        </w:tc>
        <w:tc>
          <w:tcPr>
            <w:tcW w:w="1103" w:type="dxa"/>
            <w:tcBorders>
              <w:top w:val="single" w:color="auto" w:sz="8" w:space="0"/>
            </w:tcBorders>
            <w:shd w:val="clear" w:color="auto" w:fill="auto"/>
          </w:tcPr>
          <w:p w14:paraId="52B882FD">
            <w:pPr>
              <w:pStyle w:val="179"/>
              <w:rPr>
                <w:rFonts w:hAnsi="宋体"/>
              </w:rPr>
            </w:pPr>
            <w:r>
              <w:rPr>
                <w:rFonts w:hAnsi="宋体"/>
              </w:rPr>
              <w:t>20</w:t>
            </w:r>
          </w:p>
        </w:tc>
        <w:tc>
          <w:tcPr>
            <w:tcW w:w="1104" w:type="dxa"/>
            <w:tcBorders>
              <w:top w:val="single" w:color="auto" w:sz="8" w:space="0"/>
            </w:tcBorders>
            <w:shd w:val="clear" w:color="auto" w:fill="auto"/>
          </w:tcPr>
          <w:p w14:paraId="0B85F2E4">
            <w:pPr>
              <w:pStyle w:val="179"/>
              <w:rPr>
                <w:rFonts w:hAnsi="宋体"/>
              </w:rPr>
            </w:pPr>
            <w:r>
              <w:rPr>
                <w:rFonts w:hAnsi="宋体"/>
              </w:rPr>
              <w:t>0</w:t>
            </w:r>
          </w:p>
        </w:tc>
      </w:tr>
    </w:tbl>
    <w:p w14:paraId="0FB61ADD">
      <w:pPr>
        <w:pStyle w:val="106"/>
        <w:spacing w:before="156" w:after="156"/>
      </w:pPr>
      <w:bookmarkStart w:id="86" w:name="_Toc242796895"/>
      <w:bookmarkStart w:id="87" w:name="_Toc242804739"/>
      <w:r>
        <w:rPr>
          <w:rFonts w:hint="eastAsia"/>
        </w:rPr>
        <w:t>底泥污染状况</w:t>
      </w:r>
      <w:bookmarkEnd w:id="86"/>
      <w:bookmarkEnd w:id="87"/>
    </w:p>
    <w:p w14:paraId="5831501F">
      <w:pPr>
        <w:pStyle w:val="166"/>
      </w:pPr>
      <w:r>
        <w:rPr>
          <w:rFonts w:hint="eastAsia"/>
        </w:rPr>
        <w:t>对存在底泥污染可能的河湖评价底泥污染状况</w:t>
      </w:r>
      <w:r>
        <w:t>。</w:t>
      </w:r>
      <w:r>
        <w:rPr>
          <w:rFonts w:hint="eastAsia"/>
        </w:rPr>
        <w:t>采用重金属污染指数、营养物质污染指数确定。河流宜选取重金属污染指数确定底泥污染状态，湖泊宜同时选取重金属污染指数和营养物质污染指数综合确定，取赋分的平均值作为该项指标赋分结果。</w:t>
      </w:r>
    </w:p>
    <w:p w14:paraId="76DBAC2B">
      <w:pPr>
        <w:pStyle w:val="166"/>
      </w:pPr>
      <w:r>
        <w:rPr>
          <w:rFonts w:hint="eastAsia"/>
        </w:rPr>
        <w:t>重</w:t>
      </w:r>
      <w:r>
        <w:t>金属污染指数根据镉、汞、砷、铅、铬、铜、镍、锌中超标含量最高的污染物倍数值确定</w:t>
      </w:r>
      <w:r>
        <w:rPr>
          <w:rFonts w:hint="eastAsia"/>
        </w:rPr>
        <w:t>，</w:t>
      </w:r>
      <w:r>
        <w:t>赋分标准见表13</w:t>
      </w:r>
      <w:r>
        <w:rPr>
          <w:rFonts w:hint="eastAsia"/>
        </w:rPr>
        <w:t>，</w:t>
      </w:r>
      <w:r>
        <w:t>采用线性插值法计算</w:t>
      </w:r>
      <w:r>
        <w:rPr>
          <w:rFonts w:hint="eastAsia"/>
        </w:rPr>
        <w:t>，</w:t>
      </w:r>
      <w:r>
        <w:t>污染物含量标准值的确定符合GB</w:t>
      </w:r>
      <w:r>
        <w:rPr>
          <w:rFonts w:hint="eastAsia"/>
        </w:rPr>
        <w:t xml:space="preserve"> </w:t>
      </w:r>
      <w:r>
        <w:t>15618的规定</w:t>
      </w:r>
      <w:r>
        <w:rPr>
          <w:rFonts w:hint="eastAsia"/>
        </w:rPr>
        <w:t>，</w:t>
      </w:r>
      <w:r>
        <w:t>选取对应采样土壤pH的土壤污染风险筛选值。</w:t>
      </w:r>
    </w:p>
    <w:p w14:paraId="6468F7F0">
      <w:pPr>
        <w:pStyle w:val="166"/>
      </w:pPr>
      <w:r>
        <w:rPr>
          <w:rFonts w:hint="eastAsia"/>
        </w:rPr>
        <w:t>营养物质污染指数根据底泥中的有机质、总氮、总磷确定，赋分标准见表</w:t>
      </w:r>
      <w:r>
        <w:t>14</w:t>
      </w:r>
      <w:r>
        <w:rPr>
          <w:rFonts w:hint="eastAsia"/>
        </w:rPr>
        <w:t>，采用线性插值法计算，取最差营养物质赋分作为该调查点位的赋分。</w:t>
      </w:r>
    </w:p>
    <w:p w14:paraId="38F7D5E6">
      <w:pPr>
        <w:pStyle w:val="57"/>
        <w:ind w:firstLine="420"/>
      </w:pPr>
    </w:p>
    <w:p w14:paraId="18E517D7">
      <w:pPr>
        <w:pStyle w:val="57"/>
        <w:ind w:firstLine="420"/>
      </w:pPr>
    </w:p>
    <w:p w14:paraId="39684702">
      <w:pPr>
        <w:pStyle w:val="57"/>
        <w:ind w:firstLine="420"/>
      </w:pPr>
    </w:p>
    <w:p w14:paraId="29FC9804">
      <w:pPr>
        <w:pStyle w:val="113"/>
        <w:spacing w:before="156" w:after="156"/>
      </w:pPr>
      <w:r>
        <w:t>底泥污染状况赋分标准</w:t>
      </w:r>
      <w:r>
        <w:rPr>
          <w:rFonts w:hint="eastAsia"/>
        </w:rPr>
        <w:t>（</w:t>
      </w:r>
      <w:r>
        <w:t>重金属污染指数</w:t>
      </w:r>
      <w:r>
        <w:rPr>
          <w:rFonts w:hint="eastAsia"/>
        </w:rPr>
        <w:t>）</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258"/>
        <w:gridCol w:w="1415"/>
        <w:gridCol w:w="1415"/>
        <w:gridCol w:w="1415"/>
        <w:gridCol w:w="1415"/>
        <w:gridCol w:w="1416"/>
      </w:tblGrid>
      <w:tr w14:paraId="4D047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258" w:type="dxa"/>
            <w:tcBorders>
              <w:top w:val="single" w:color="auto" w:sz="8" w:space="0"/>
              <w:bottom w:val="single" w:color="auto" w:sz="8" w:space="0"/>
            </w:tcBorders>
            <w:shd w:val="clear" w:color="auto" w:fill="auto"/>
          </w:tcPr>
          <w:p w14:paraId="65FA5B9A">
            <w:pPr>
              <w:pStyle w:val="179"/>
              <w:rPr>
                <w:rFonts w:hAnsi="宋体"/>
              </w:rPr>
            </w:pPr>
            <w:r>
              <w:rPr>
                <w:rFonts w:hAnsi="宋体"/>
              </w:rPr>
              <w:t>重金属污染指数</w:t>
            </w:r>
          </w:p>
        </w:tc>
        <w:tc>
          <w:tcPr>
            <w:tcW w:w="1415" w:type="dxa"/>
            <w:tcBorders>
              <w:top w:val="single" w:color="auto" w:sz="8" w:space="0"/>
              <w:bottom w:val="single" w:color="auto" w:sz="8" w:space="0"/>
            </w:tcBorders>
            <w:shd w:val="clear" w:color="auto" w:fill="auto"/>
          </w:tcPr>
          <w:p w14:paraId="5099010E">
            <w:pPr>
              <w:pStyle w:val="179"/>
              <w:rPr>
                <w:rFonts w:hAnsi="宋体"/>
              </w:rPr>
            </w:pPr>
            <w:r>
              <w:rPr>
                <w:rFonts w:hAnsi="宋体"/>
              </w:rPr>
              <w:t>≤1</w:t>
            </w:r>
          </w:p>
        </w:tc>
        <w:tc>
          <w:tcPr>
            <w:tcW w:w="1415" w:type="dxa"/>
            <w:tcBorders>
              <w:top w:val="single" w:color="auto" w:sz="8" w:space="0"/>
              <w:bottom w:val="single" w:color="auto" w:sz="8" w:space="0"/>
            </w:tcBorders>
            <w:shd w:val="clear" w:color="auto" w:fill="auto"/>
          </w:tcPr>
          <w:p w14:paraId="18CA5553">
            <w:pPr>
              <w:pStyle w:val="179"/>
              <w:rPr>
                <w:rFonts w:hAnsi="宋体"/>
              </w:rPr>
            </w:pPr>
            <w:r>
              <w:rPr>
                <w:rFonts w:hAnsi="宋体"/>
              </w:rPr>
              <w:t>2</w:t>
            </w:r>
          </w:p>
        </w:tc>
        <w:tc>
          <w:tcPr>
            <w:tcW w:w="1415" w:type="dxa"/>
            <w:tcBorders>
              <w:top w:val="single" w:color="auto" w:sz="8" w:space="0"/>
              <w:bottom w:val="single" w:color="auto" w:sz="8" w:space="0"/>
            </w:tcBorders>
            <w:shd w:val="clear" w:color="auto" w:fill="auto"/>
          </w:tcPr>
          <w:p w14:paraId="2537FF76">
            <w:pPr>
              <w:pStyle w:val="179"/>
              <w:rPr>
                <w:rFonts w:hAnsi="宋体"/>
              </w:rPr>
            </w:pPr>
            <w:r>
              <w:rPr>
                <w:rFonts w:hAnsi="宋体"/>
              </w:rPr>
              <w:t>3</w:t>
            </w:r>
          </w:p>
        </w:tc>
        <w:tc>
          <w:tcPr>
            <w:tcW w:w="1415" w:type="dxa"/>
            <w:tcBorders>
              <w:top w:val="single" w:color="auto" w:sz="8" w:space="0"/>
              <w:bottom w:val="single" w:color="auto" w:sz="8" w:space="0"/>
            </w:tcBorders>
            <w:shd w:val="clear" w:color="auto" w:fill="auto"/>
          </w:tcPr>
          <w:p w14:paraId="70500F15">
            <w:pPr>
              <w:pStyle w:val="179"/>
              <w:rPr>
                <w:rFonts w:hAnsi="宋体"/>
              </w:rPr>
            </w:pPr>
            <w:r>
              <w:rPr>
                <w:rFonts w:hAnsi="宋体"/>
              </w:rPr>
              <w:t>5</w:t>
            </w:r>
          </w:p>
        </w:tc>
        <w:tc>
          <w:tcPr>
            <w:tcW w:w="1416" w:type="dxa"/>
            <w:tcBorders>
              <w:top w:val="single" w:color="auto" w:sz="8" w:space="0"/>
              <w:bottom w:val="single" w:color="auto" w:sz="8" w:space="0"/>
            </w:tcBorders>
            <w:shd w:val="clear" w:color="auto" w:fill="auto"/>
          </w:tcPr>
          <w:p w14:paraId="4A5F81D4">
            <w:pPr>
              <w:pStyle w:val="179"/>
              <w:rPr>
                <w:rFonts w:hAnsi="宋体"/>
              </w:rPr>
            </w:pPr>
            <w:bookmarkStart w:id="88" w:name="OLE_LINK16"/>
            <w:r>
              <w:rPr>
                <w:rFonts w:hint="eastAsia" w:hAnsi="宋体"/>
              </w:rPr>
              <w:t>＞</w:t>
            </w:r>
            <w:bookmarkEnd w:id="88"/>
            <w:r>
              <w:rPr>
                <w:rFonts w:hAnsi="宋体"/>
              </w:rPr>
              <w:t>5</w:t>
            </w:r>
          </w:p>
        </w:tc>
      </w:tr>
      <w:tr w14:paraId="12C30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tcBorders>
              <w:top w:val="single" w:color="auto" w:sz="8" w:space="0"/>
            </w:tcBorders>
            <w:shd w:val="clear" w:color="auto" w:fill="auto"/>
          </w:tcPr>
          <w:p w14:paraId="4032D0AE">
            <w:pPr>
              <w:pStyle w:val="179"/>
              <w:rPr>
                <w:rFonts w:hAnsi="宋体"/>
              </w:rPr>
            </w:pPr>
            <w:r>
              <w:rPr>
                <w:rFonts w:hAnsi="宋体"/>
              </w:rPr>
              <w:t>赋分/分</w:t>
            </w:r>
          </w:p>
        </w:tc>
        <w:tc>
          <w:tcPr>
            <w:tcW w:w="1415" w:type="dxa"/>
            <w:tcBorders>
              <w:top w:val="single" w:color="auto" w:sz="8" w:space="0"/>
            </w:tcBorders>
            <w:shd w:val="clear" w:color="auto" w:fill="auto"/>
          </w:tcPr>
          <w:p w14:paraId="787C7182">
            <w:pPr>
              <w:pStyle w:val="179"/>
              <w:rPr>
                <w:rFonts w:hAnsi="宋体"/>
              </w:rPr>
            </w:pPr>
            <w:r>
              <w:rPr>
                <w:rFonts w:hAnsi="宋体"/>
              </w:rPr>
              <w:t>100</w:t>
            </w:r>
          </w:p>
        </w:tc>
        <w:tc>
          <w:tcPr>
            <w:tcW w:w="1415" w:type="dxa"/>
            <w:tcBorders>
              <w:top w:val="single" w:color="auto" w:sz="8" w:space="0"/>
            </w:tcBorders>
            <w:shd w:val="clear" w:color="auto" w:fill="auto"/>
          </w:tcPr>
          <w:p w14:paraId="591B814F">
            <w:pPr>
              <w:pStyle w:val="179"/>
              <w:rPr>
                <w:rFonts w:hAnsi="宋体"/>
              </w:rPr>
            </w:pPr>
            <w:r>
              <w:rPr>
                <w:rFonts w:hAnsi="宋体"/>
              </w:rPr>
              <w:t>60</w:t>
            </w:r>
          </w:p>
        </w:tc>
        <w:tc>
          <w:tcPr>
            <w:tcW w:w="1415" w:type="dxa"/>
            <w:tcBorders>
              <w:top w:val="single" w:color="auto" w:sz="8" w:space="0"/>
            </w:tcBorders>
            <w:shd w:val="clear" w:color="auto" w:fill="auto"/>
          </w:tcPr>
          <w:p w14:paraId="0F3CA1EC">
            <w:pPr>
              <w:pStyle w:val="179"/>
              <w:rPr>
                <w:rFonts w:hAnsi="宋体"/>
              </w:rPr>
            </w:pPr>
            <w:r>
              <w:rPr>
                <w:rFonts w:hAnsi="宋体"/>
              </w:rPr>
              <w:t>40</w:t>
            </w:r>
          </w:p>
        </w:tc>
        <w:tc>
          <w:tcPr>
            <w:tcW w:w="1415" w:type="dxa"/>
            <w:tcBorders>
              <w:top w:val="single" w:color="auto" w:sz="8" w:space="0"/>
            </w:tcBorders>
            <w:shd w:val="clear" w:color="auto" w:fill="auto"/>
          </w:tcPr>
          <w:p w14:paraId="241C95A1">
            <w:pPr>
              <w:pStyle w:val="179"/>
              <w:rPr>
                <w:rFonts w:hAnsi="宋体"/>
              </w:rPr>
            </w:pPr>
            <w:r>
              <w:rPr>
                <w:rFonts w:hAnsi="宋体"/>
              </w:rPr>
              <w:t>20</w:t>
            </w:r>
          </w:p>
        </w:tc>
        <w:tc>
          <w:tcPr>
            <w:tcW w:w="1416" w:type="dxa"/>
            <w:tcBorders>
              <w:top w:val="single" w:color="auto" w:sz="8" w:space="0"/>
            </w:tcBorders>
            <w:shd w:val="clear" w:color="auto" w:fill="auto"/>
          </w:tcPr>
          <w:p w14:paraId="77A5127C">
            <w:pPr>
              <w:pStyle w:val="179"/>
              <w:rPr>
                <w:rFonts w:hAnsi="宋体"/>
              </w:rPr>
            </w:pPr>
            <w:r>
              <w:rPr>
                <w:rFonts w:hAnsi="宋体"/>
              </w:rPr>
              <w:t>0</w:t>
            </w:r>
          </w:p>
        </w:tc>
      </w:tr>
    </w:tbl>
    <w:p w14:paraId="4A62400E">
      <w:pPr>
        <w:pStyle w:val="113"/>
        <w:spacing w:before="156" w:after="156"/>
      </w:pPr>
      <w:r>
        <w:t>底泥污染状况赋分标准</w:t>
      </w:r>
      <w:r>
        <w:rPr>
          <w:rFonts w:hint="eastAsia"/>
        </w:rPr>
        <w:t>（</w:t>
      </w:r>
      <w:r>
        <w:t>营养物质污染指数</w:t>
      </w:r>
      <w:r>
        <w:rPr>
          <w:rFonts w:hint="eastAsia"/>
        </w:rPr>
        <w:t>）</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967"/>
        <w:gridCol w:w="1591"/>
        <w:gridCol w:w="1592"/>
        <w:gridCol w:w="1592"/>
        <w:gridCol w:w="1592"/>
      </w:tblGrid>
      <w:tr w14:paraId="17AC5C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967" w:type="dxa"/>
            <w:tcBorders>
              <w:top w:val="single" w:color="auto" w:sz="8" w:space="0"/>
              <w:bottom w:val="single" w:color="auto" w:sz="8" w:space="0"/>
            </w:tcBorders>
            <w:shd w:val="clear" w:color="auto" w:fill="auto"/>
          </w:tcPr>
          <w:p w14:paraId="3FA4CC1F">
            <w:pPr>
              <w:pStyle w:val="179"/>
              <w:rPr>
                <w:rFonts w:hAnsi="宋体"/>
              </w:rPr>
            </w:pPr>
            <w:r>
              <w:rPr>
                <w:rFonts w:hAnsi="宋体"/>
              </w:rPr>
              <w:t>有机质/%</w:t>
            </w:r>
          </w:p>
        </w:tc>
        <w:tc>
          <w:tcPr>
            <w:tcW w:w="1591" w:type="dxa"/>
            <w:tcBorders>
              <w:top w:val="single" w:color="auto" w:sz="8" w:space="0"/>
              <w:bottom w:val="single" w:color="auto" w:sz="8" w:space="0"/>
            </w:tcBorders>
            <w:shd w:val="clear" w:color="auto" w:fill="auto"/>
          </w:tcPr>
          <w:p w14:paraId="3037993B">
            <w:pPr>
              <w:pStyle w:val="179"/>
              <w:rPr>
                <w:rFonts w:hAnsi="宋体"/>
              </w:rPr>
            </w:pPr>
            <w:r>
              <w:rPr>
                <w:rFonts w:hAnsi="宋体"/>
              </w:rPr>
              <w:t>≤2.0</w:t>
            </w:r>
          </w:p>
        </w:tc>
        <w:tc>
          <w:tcPr>
            <w:tcW w:w="1592" w:type="dxa"/>
            <w:tcBorders>
              <w:top w:val="single" w:color="auto" w:sz="8" w:space="0"/>
              <w:bottom w:val="single" w:color="auto" w:sz="8" w:space="0"/>
            </w:tcBorders>
            <w:shd w:val="clear" w:color="auto" w:fill="auto"/>
          </w:tcPr>
          <w:p w14:paraId="5FFE2959">
            <w:pPr>
              <w:pStyle w:val="179"/>
              <w:rPr>
                <w:rFonts w:hAnsi="宋体"/>
              </w:rPr>
            </w:pPr>
            <w:r>
              <w:rPr>
                <w:rFonts w:hAnsi="宋体"/>
              </w:rPr>
              <w:t>3.5</w:t>
            </w:r>
          </w:p>
        </w:tc>
        <w:tc>
          <w:tcPr>
            <w:tcW w:w="1592" w:type="dxa"/>
            <w:tcBorders>
              <w:top w:val="single" w:color="auto" w:sz="8" w:space="0"/>
              <w:bottom w:val="single" w:color="auto" w:sz="8" w:space="0"/>
            </w:tcBorders>
            <w:shd w:val="clear" w:color="auto" w:fill="auto"/>
          </w:tcPr>
          <w:p w14:paraId="34852F06">
            <w:pPr>
              <w:pStyle w:val="179"/>
              <w:rPr>
                <w:rFonts w:hAnsi="宋体"/>
              </w:rPr>
            </w:pPr>
            <w:r>
              <w:rPr>
                <w:rFonts w:hAnsi="宋体"/>
              </w:rPr>
              <w:t>7.0</w:t>
            </w:r>
          </w:p>
        </w:tc>
        <w:tc>
          <w:tcPr>
            <w:tcW w:w="1592" w:type="dxa"/>
            <w:tcBorders>
              <w:top w:val="single" w:color="auto" w:sz="8" w:space="0"/>
              <w:bottom w:val="single" w:color="auto" w:sz="8" w:space="0"/>
            </w:tcBorders>
            <w:shd w:val="clear" w:color="auto" w:fill="auto"/>
          </w:tcPr>
          <w:p w14:paraId="7469BE09">
            <w:pPr>
              <w:pStyle w:val="179"/>
              <w:rPr>
                <w:rFonts w:hAnsi="宋体"/>
              </w:rPr>
            </w:pPr>
            <w:r>
              <w:rPr>
                <w:rFonts w:hint="eastAsia" w:hAnsi="宋体"/>
              </w:rPr>
              <w:t>＞</w:t>
            </w:r>
            <w:r>
              <w:rPr>
                <w:rFonts w:hAnsi="宋体"/>
              </w:rPr>
              <w:t>7.0</w:t>
            </w:r>
          </w:p>
        </w:tc>
      </w:tr>
      <w:tr w14:paraId="55E46B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tcBorders>
              <w:top w:val="single" w:color="auto" w:sz="8" w:space="0"/>
            </w:tcBorders>
            <w:shd w:val="clear" w:color="auto" w:fill="auto"/>
          </w:tcPr>
          <w:p w14:paraId="4A6D1B90">
            <w:pPr>
              <w:pStyle w:val="179"/>
              <w:rPr>
                <w:rFonts w:hAnsi="宋体"/>
              </w:rPr>
            </w:pPr>
            <w:r>
              <w:rPr>
                <w:rFonts w:hAnsi="宋体"/>
              </w:rPr>
              <w:t>总氮/(mg/kg)</w:t>
            </w:r>
          </w:p>
        </w:tc>
        <w:tc>
          <w:tcPr>
            <w:tcW w:w="1591" w:type="dxa"/>
            <w:tcBorders>
              <w:top w:val="single" w:color="auto" w:sz="8" w:space="0"/>
            </w:tcBorders>
            <w:shd w:val="clear" w:color="auto" w:fill="auto"/>
          </w:tcPr>
          <w:p w14:paraId="56C749AA">
            <w:pPr>
              <w:pStyle w:val="179"/>
              <w:rPr>
                <w:rFonts w:hAnsi="宋体"/>
              </w:rPr>
            </w:pPr>
            <w:r>
              <w:rPr>
                <w:rFonts w:hAnsi="宋体"/>
              </w:rPr>
              <w:t>≤1000</w:t>
            </w:r>
          </w:p>
        </w:tc>
        <w:tc>
          <w:tcPr>
            <w:tcW w:w="1592" w:type="dxa"/>
            <w:tcBorders>
              <w:top w:val="single" w:color="auto" w:sz="8" w:space="0"/>
            </w:tcBorders>
            <w:shd w:val="clear" w:color="auto" w:fill="auto"/>
          </w:tcPr>
          <w:p w14:paraId="3661DD3E">
            <w:pPr>
              <w:pStyle w:val="179"/>
              <w:rPr>
                <w:rFonts w:hAnsi="宋体"/>
              </w:rPr>
            </w:pPr>
            <w:r>
              <w:rPr>
                <w:rFonts w:hAnsi="宋体"/>
              </w:rPr>
              <w:t>2000</w:t>
            </w:r>
          </w:p>
        </w:tc>
        <w:tc>
          <w:tcPr>
            <w:tcW w:w="1592" w:type="dxa"/>
            <w:tcBorders>
              <w:top w:val="single" w:color="auto" w:sz="8" w:space="0"/>
            </w:tcBorders>
            <w:shd w:val="clear" w:color="auto" w:fill="auto"/>
          </w:tcPr>
          <w:p w14:paraId="63716F3C">
            <w:pPr>
              <w:pStyle w:val="179"/>
              <w:rPr>
                <w:rFonts w:hAnsi="宋体"/>
              </w:rPr>
            </w:pPr>
            <w:r>
              <w:rPr>
                <w:rFonts w:hAnsi="宋体"/>
              </w:rPr>
              <w:t>4000</w:t>
            </w:r>
          </w:p>
        </w:tc>
        <w:tc>
          <w:tcPr>
            <w:tcW w:w="1592" w:type="dxa"/>
            <w:tcBorders>
              <w:top w:val="single" w:color="auto" w:sz="8" w:space="0"/>
            </w:tcBorders>
            <w:shd w:val="clear" w:color="auto" w:fill="auto"/>
          </w:tcPr>
          <w:p w14:paraId="11C5373A">
            <w:pPr>
              <w:pStyle w:val="179"/>
              <w:rPr>
                <w:rFonts w:hAnsi="宋体"/>
              </w:rPr>
            </w:pPr>
            <w:r>
              <w:rPr>
                <w:rFonts w:hint="eastAsia" w:hAnsi="宋体"/>
              </w:rPr>
              <w:t>＞</w:t>
            </w:r>
            <w:r>
              <w:rPr>
                <w:rFonts w:hAnsi="宋体"/>
              </w:rPr>
              <w:t>4000</w:t>
            </w:r>
          </w:p>
        </w:tc>
      </w:tr>
      <w:tr w14:paraId="560E74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tcPr>
          <w:p w14:paraId="36EFDB7D">
            <w:pPr>
              <w:pStyle w:val="179"/>
              <w:rPr>
                <w:rFonts w:hAnsi="宋体"/>
              </w:rPr>
            </w:pPr>
            <w:r>
              <w:rPr>
                <w:rFonts w:hAnsi="宋体"/>
              </w:rPr>
              <w:t>总磷/(mg/kg)</w:t>
            </w:r>
          </w:p>
        </w:tc>
        <w:tc>
          <w:tcPr>
            <w:tcW w:w="1591" w:type="dxa"/>
            <w:shd w:val="clear" w:color="auto" w:fill="auto"/>
          </w:tcPr>
          <w:p w14:paraId="2AC40ADA">
            <w:pPr>
              <w:pStyle w:val="179"/>
              <w:rPr>
                <w:rFonts w:hAnsi="宋体"/>
              </w:rPr>
            </w:pPr>
            <w:r>
              <w:rPr>
                <w:rFonts w:hAnsi="宋体"/>
              </w:rPr>
              <w:t>≤450</w:t>
            </w:r>
          </w:p>
        </w:tc>
        <w:tc>
          <w:tcPr>
            <w:tcW w:w="1592" w:type="dxa"/>
            <w:shd w:val="clear" w:color="auto" w:fill="auto"/>
          </w:tcPr>
          <w:p w14:paraId="3DE108C4">
            <w:pPr>
              <w:pStyle w:val="179"/>
              <w:rPr>
                <w:rFonts w:hAnsi="宋体"/>
              </w:rPr>
            </w:pPr>
            <w:r>
              <w:rPr>
                <w:rFonts w:hAnsi="宋体"/>
              </w:rPr>
              <w:t>650</w:t>
            </w:r>
          </w:p>
        </w:tc>
        <w:tc>
          <w:tcPr>
            <w:tcW w:w="1592" w:type="dxa"/>
            <w:shd w:val="clear" w:color="auto" w:fill="auto"/>
          </w:tcPr>
          <w:p w14:paraId="7D1A0A30">
            <w:pPr>
              <w:pStyle w:val="179"/>
              <w:rPr>
                <w:rFonts w:hAnsi="宋体"/>
              </w:rPr>
            </w:pPr>
            <w:r>
              <w:rPr>
                <w:rFonts w:hAnsi="宋体"/>
              </w:rPr>
              <w:t>1500</w:t>
            </w:r>
          </w:p>
        </w:tc>
        <w:tc>
          <w:tcPr>
            <w:tcW w:w="1592" w:type="dxa"/>
            <w:shd w:val="clear" w:color="auto" w:fill="auto"/>
          </w:tcPr>
          <w:p w14:paraId="6B05BC1C">
            <w:pPr>
              <w:pStyle w:val="179"/>
              <w:rPr>
                <w:rFonts w:hAnsi="宋体"/>
              </w:rPr>
            </w:pPr>
            <w:r>
              <w:rPr>
                <w:rFonts w:hint="eastAsia" w:hAnsi="宋体"/>
              </w:rPr>
              <w:t>＞</w:t>
            </w:r>
            <w:r>
              <w:rPr>
                <w:rFonts w:hAnsi="宋体"/>
              </w:rPr>
              <w:t>1500</w:t>
            </w:r>
          </w:p>
        </w:tc>
      </w:tr>
      <w:tr w14:paraId="244179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tcPr>
          <w:p w14:paraId="03A8CAEC">
            <w:pPr>
              <w:pStyle w:val="179"/>
              <w:rPr>
                <w:rFonts w:hAnsi="宋体"/>
              </w:rPr>
            </w:pPr>
            <w:r>
              <w:rPr>
                <w:rFonts w:hAnsi="宋体"/>
              </w:rPr>
              <w:t>赋分/分</w:t>
            </w:r>
          </w:p>
        </w:tc>
        <w:tc>
          <w:tcPr>
            <w:tcW w:w="1591" w:type="dxa"/>
            <w:shd w:val="clear" w:color="auto" w:fill="auto"/>
          </w:tcPr>
          <w:p w14:paraId="7D7D67E4">
            <w:pPr>
              <w:pStyle w:val="179"/>
              <w:rPr>
                <w:rFonts w:hAnsi="宋体"/>
              </w:rPr>
            </w:pPr>
            <w:r>
              <w:rPr>
                <w:rFonts w:hAnsi="宋体"/>
              </w:rPr>
              <w:t>100</w:t>
            </w:r>
          </w:p>
        </w:tc>
        <w:tc>
          <w:tcPr>
            <w:tcW w:w="1592" w:type="dxa"/>
            <w:shd w:val="clear" w:color="auto" w:fill="auto"/>
          </w:tcPr>
          <w:p w14:paraId="4F07A3D1">
            <w:pPr>
              <w:pStyle w:val="179"/>
              <w:rPr>
                <w:rFonts w:hAnsi="宋体"/>
              </w:rPr>
            </w:pPr>
            <w:r>
              <w:rPr>
                <w:rFonts w:hAnsi="宋体"/>
              </w:rPr>
              <w:t>75</w:t>
            </w:r>
          </w:p>
        </w:tc>
        <w:tc>
          <w:tcPr>
            <w:tcW w:w="1592" w:type="dxa"/>
            <w:shd w:val="clear" w:color="auto" w:fill="auto"/>
          </w:tcPr>
          <w:p w14:paraId="73246ADB">
            <w:pPr>
              <w:pStyle w:val="179"/>
              <w:rPr>
                <w:rFonts w:hAnsi="宋体"/>
              </w:rPr>
            </w:pPr>
            <w:r>
              <w:rPr>
                <w:rFonts w:hAnsi="宋体"/>
              </w:rPr>
              <w:t>30</w:t>
            </w:r>
          </w:p>
        </w:tc>
        <w:tc>
          <w:tcPr>
            <w:tcW w:w="1592" w:type="dxa"/>
            <w:shd w:val="clear" w:color="auto" w:fill="auto"/>
          </w:tcPr>
          <w:p w14:paraId="57243CE8">
            <w:pPr>
              <w:pStyle w:val="179"/>
              <w:rPr>
                <w:rFonts w:hAnsi="宋体"/>
              </w:rPr>
            </w:pPr>
            <w:r>
              <w:rPr>
                <w:rFonts w:hAnsi="宋体"/>
              </w:rPr>
              <w:t>0</w:t>
            </w:r>
          </w:p>
        </w:tc>
      </w:tr>
    </w:tbl>
    <w:p w14:paraId="2CAD42F5">
      <w:pPr>
        <w:pStyle w:val="106"/>
        <w:spacing w:before="156" w:after="156"/>
      </w:pPr>
      <w:bookmarkStart w:id="89" w:name="_Toc242796896"/>
      <w:bookmarkStart w:id="90" w:name="_Toc242804740"/>
      <w:r>
        <w:rPr>
          <w:rFonts w:hint="eastAsia"/>
        </w:rPr>
        <w:t>水体清澈程度</w:t>
      </w:r>
      <w:bookmarkEnd w:id="89"/>
      <w:bookmarkEnd w:id="90"/>
    </w:p>
    <w:p w14:paraId="0DEE8873">
      <w:pPr>
        <w:pStyle w:val="57"/>
        <w:ind w:firstLine="420"/>
      </w:pPr>
      <w:r>
        <w:rPr>
          <w:rFonts w:hint="eastAsia"/>
        </w:rPr>
        <w:t>对具有景观功能的河湖评价水体清澈程度</w:t>
      </w:r>
      <w:r>
        <w:t>。</w:t>
      </w:r>
      <w:r>
        <w:rPr>
          <w:rFonts w:hint="eastAsia"/>
        </w:rPr>
        <w:t>采用透明度指标确定，赋分标准见表</w:t>
      </w:r>
      <w:r>
        <w:t>15</w:t>
      </w:r>
      <w:r>
        <w:rPr>
          <w:rFonts w:hint="eastAsia"/>
        </w:rPr>
        <w:t>。</w:t>
      </w:r>
    </w:p>
    <w:p w14:paraId="12F55648">
      <w:pPr>
        <w:pStyle w:val="113"/>
        <w:spacing w:before="156" w:after="156"/>
      </w:pPr>
      <w:r>
        <w:rPr>
          <w:rFonts w:hint="eastAsia"/>
        </w:rPr>
        <w:t>水体清澈程度</w:t>
      </w:r>
      <w:r>
        <w:t>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17"/>
        <w:gridCol w:w="1804"/>
        <w:gridCol w:w="1804"/>
        <w:gridCol w:w="1804"/>
        <w:gridCol w:w="1805"/>
      </w:tblGrid>
      <w:tr w14:paraId="0CB27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117" w:type="dxa"/>
            <w:tcBorders>
              <w:top w:val="single" w:color="auto" w:sz="8" w:space="0"/>
              <w:bottom w:val="single" w:color="auto" w:sz="8" w:space="0"/>
            </w:tcBorders>
            <w:shd w:val="clear" w:color="auto" w:fill="auto"/>
          </w:tcPr>
          <w:p w14:paraId="1D051F21">
            <w:pPr>
              <w:pStyle w:val="179"/>
            </w:pPr>
            <w:r>
              <w:rPr>
                <w:rFonts w:hint="eastAsia"/>
              </w:rPr>
              <w:t>透明度/m</w:t>
            </w:r>
          </w:p>
        </w:tc>
        <w:tc>
          <w:tcPr>
            <w:tcW w:w="1804" w:type="dxa"/>
            <w:tcBorders>
              <w:top w:val="single" w:color="auto" w:sz="8" w:space="0"/>
              <w:bottom w:val="single" w:color="auto" w:sz="8" w:space="0"/>
            </w:tcBorders>
            <w:shd w:val="clear" w:color="auto" w:fill="auto"/>
          </w:tcPr>
          <w:p w14:paraId="6887F9B2">
            <w:pPr>
              <w:pStyle w:val="179"/>
            </w:pPr>
            <w:r>
              <w:rPr>
                <w:rFonts w:hint="eastAsia"/>
              </w:rPr>
              <w:t>≥0.8或清澈见底</w:t>
            </w:r>
          </w:p>
        </w:tc>
        <w:tc>
          <w:tcPr>
            <w:tcW w:w="1804" w:type="dxa"/>
            <w:tcBorders>
              <w:top w:val="single" w:color="auto" w:sz="8" w:space="0"/>
              <w:bottom w:val="single" w:color="auto" w:sz="8" w:space="0"/>
            </w:tcBorders>
            <w:shd w:val="clear" w:color="auto" w:fill="auto"/>
          </w:tcPr>
          <w:p w14:paraId="43831128">
            <w:pPr>
              <w:pStyle w:val="179"/>
            </w:pPr>
            <w:r>
              <w:rPr>
                <w:rFonts w:hint="eastAsia"/>
              </w:rPr>
              <w:t>[0.6，0.8)</w:t>
            </w:r>
          </w:p>
        </w:tc>
        <w:tc>
          <w:tcPr>
            <w:tcW w:w="1804" w:type="dxa"/>
            <w:tcBorders>
              <w:top w:val="single" w:color="auto" w:sz="8" w:space="0"/>
              <w:bottom w:val="single" w:color="auto" w:sz="8" w:space="0"/>
            </w:tcBorders>
            <w:shd w:val="clear" w:color="auto" w:fill="auto"/>
          </w:tcPr>
          <w:p w14:paraId="1636102A">
            <w:pPr>
              <w:pStyle w:val="179"/>
            </w:pPr>
            <w:r>
              <w:rPr>
                <w:rFonts w:hint="eastAsia"/>
              </w:rPr>
              <w:t>[0.4，0.6)</w:t>
            </w:r>
          </w:p>
        </w:tc>
        <w:tc>
          <w:tcPr>
            <w:tcW w:w="1805" w:type="dxa"/>
            <w:tcBorders>
              <w:top w:val="single" w:color="auto" w:sz="8" w:space="0"/>
              <w:bottom w:val="single" w:color="auto" w:sz="8" w:space="0"/>
            </w:tcBorders>
            <w:shd w:val="clear" w:color="auto" w:fill="auto"/>
          </w:tcPr>
          <w:p w14:paraId="3316CC90">
            <w:pPr>
              <w:pStyle w:val="179"/>
            </w:pPr>
            <w:r>
              <w:rPr>
                <w:rFonts w:hint="eastAsia"/>
              </w:rPr>
              <w:t>[0，0.4)</w:t>
            </w:r>
          </w:p>
        </w:tc>
      </w:tr>
      <w:tr w14:paraId="6A616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117" w:type="dxa"/>
            <w:tcBorders>
              <w:top w:val="single" w:color="auto" w:sz="8" w:space="0"/>
            </w:tcBorders>
            <w:shd w:val="clear" w:color="auto" w:fill="auto"/>
          </w:tcPr>
          <w:p w14:paraId="35A7ABA8">
            <w:pPr>
              <w:pStyle w:val="179"/>
            </w:pPr>
            <w:r>
              <w:t>赋分/分</w:t>
            </w:r>
          </w:p>
        </w:tc>
        <w:tc>
          <w:tcPr>
            <w:tcW w:w="1804" w:type="dxa"/>
            <w:tcBorders>
              <w:top w:val="single" w:color="auto" w:sz="8" w:space="0"/>
            </w:tcBorders>
            <w:shd w:val="clear" w:color="auto" w:fill="auto"/>
          </w:tcPr>
          <w:p w14:paraId="7C710F63">
            <w:pPr>
              <w:pStyle w:val="179"/>
            </w:pPr>
            <w:r>
              <w:t>100</w:t>
            </w:r>
          </w:p>
        </w:tc>
        <w:tc>
          <w:tcPr>
            <w:tcW w:w="1804" w:type="dxa"/>
            <w:tcBorders>
              <w:top w:val="single" w:color="auto" w:sz="8" w:space="0"/>
            </w:tcBorders>
            <w:shd w:val="clear" w:color="auto" w:fill="auto"/>
          </w:tcPr>
          <w:p w14:paraId="1868547C">
            <w:pPr>
              <w:pStyle w:val="179"/>
            </w:pPr>
            <w:r>
              <w:t>80</w:t>
            </w:r>
          </w:p>
        </w:tc>
        <w:tc>
          <w:tcPr>
            <w:tcW w:w="1804" w:type="dxa"/>
            <w:tcBorders>
              <w:top w:val="single" w:color="auto" w:sz="8" w:space="0"/>
            </w:tcBorders>
            <w:shd w:val="clear" w:color="auto" w:fill="auto"/>
          </w:tcPr>
          <w:p w14:paraId="757DD4E9">
            <w:pPr>
              <w:pStyle w:val="179"/>
            </w:pPr>
            <w:r>
              <w:t>60</w:t>
            </w:r>
          </w:p>
        </w:tc>
        <w:tc>
          <w:tcPr>
            <w:tcW w:w="1805" w:type="dxa"/>
            <w:tcBorders>
              <w:top w:val="single" w:color="auto" w:sz="8" w:space="0"/>
            </w:tcBorders>
            <w:shd w:val="clear" w:color="auto" w:fill="auto"/>
          </w:tcPr>
          <w:p w14:paraId="775DF3DD">
            <w:pPr>
              <w:pStyle w:val="179"/>
            </w:pPr>
            <w:r>
              <w:t>0</w:t>
            </w:r>
          </w:p>
        </w:tc>
      </w:tr>
    </w:tbl>
    <w:p w14:paraId="570C1CE3">
      <w:pPr>
        <w:pStyle w:val="106"/>
        <w:spacing w:before="156" w:after="156"/>
      </w:pPr>
      <w:bookmarkStart w:id="91" w:name="_Toc242804741"/>
      <w:bookmarkStart w:id="92" w:name="_Toc242796897"/>
      <w:r>
        <w:rPr>
          <w:rFonts w:hint="eastAsia"/>
        </w:rPr>
        <w:t>鱼类状况</w:t>
      </w:r>
      <w:bookmarkEnd w:id="91"/>
      <w:bookmarkEnd w:id="92"/>
    </w:p>
    <w:p w14:paraId="06BD0A75">
      <w:pPr>
        <w:pStyle w:val="166"/>
        <w:rPr>
          <w:b/>
          <w:bCs/>
        </w:rPr>
      </w:pPr>
      <w:r>
        <w:t>鱼类状况采用鱼类完整性指数或鱼类保有指数确定</w:t>
      </w:r>
      <w:r>
        <w:rPr>
          <w:rFonts w:hint="eastAsia"/>
        </w:rPr>
        <w:t>，</w:t>
      </w:r>
      <w:r>
        <w:t>无法获取历史鱼类种类资料时可采用鱼 类多样性指数确定。</w:t>
      </w:r>
      <w:r>
        <w:rPr>
          <w:rFonts w:hint="eastAsia"/>
        </w:rPr>
        <w:t>对于长度/面积较小的河湖，可以河网、湖荡、小流域、圩区为单元开展调查鱼类状况评价。</w:t>
      </w:r>
    </w:p>
    <w:p w14:paraId="1D46E3C0">
      <w:pPr>
        <w:pStyle w:val="166"/>
      </w:pPr>
      <w:r>
        <w:t>鱼类完整性指数确定方法</w:t>
      </w:r>
      <w:r>
        <w:rPr>
          <w:rFonts w:hint="eastAsia"/>
        </w:rPr>
        <w:t>宜</w:t>
      </w:r>
      <w:r>
        <w:t>符合HJ</w:t>
      </w:r>
      <w:r>
        <w:rPr>
          <w:rFonts w:hint="eastAsia"/>
        </w:rPr>
        <w:t xml:space="preserve"> </w:t>
      </w:r>
      <w:r>
        <w:t>1295的规定</w:t>
      </w:r>
      <w:r>
        <w:rPr>
          <w:rFonts w:hint="eastAsia"/>
        </w:rPr>
        <w:t>，</w:t>
      </w:r>
      <w:r>
        <w:t>根据评价等级确定指标赋分</w:t>
      </w:r>
      <w:r>
        <w:rPr>
          <w:rFonts w:hint="eastAsia"/>
        </w:rPr>
        <w:t>，</w:t>
      </w:r>
      <w:r>
        <w:t>赋分标准见表16。</w:t>
      </w:r>
    </w:p>
    <w:p w14:paraId="4DC04D07">
      <w:pPr>
        <w:pStyle w:val="113"/>
        <w:spacing w:before="156" w:after="156"/>
      </w:pPr>
      <w:r>
        <w:t>完整性指数赋分标准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6"/>
        <w:gridCol w:w="1556"/>
        <w:gridCol w:w="1555"/>
        <w:gridCol w:w="1555"/>
        <w:gridCol w:w="1556"/>
        <w:gridCol w:w="1556"/>
      </w:tblGrid>
      <w:tr w14:paraId="0C6195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556" w:type="dxa"/>
            <w:tcBorders>
              <w:top w:val="single" w:color="auto" w:sz="8" w:space="0"/>
              <w:bottom w:val="single" w:color="auto" w:sz="8" w:space="0"/>
            </w:tcBorders>
            <w:shd w:val="clear" w:color="auto" w:fill="auto"/>
          </w:tcPr>
          <w:p w14:paraId="08DAF67A">
            <w:pPr>
              <w:pStyle w:val="179"/>
            </w:pPr>
            <w:r>
              <w:t>评价等级</w:t>
            </w:r>
          </w:p>
        </w:tc>
        <w:tc>
          <w:tcPr>
            <w:tcW w:w="1556" w:type="dxa"/>
            <w:tcBorders>
              <w:top w:val="single" w:color="auto" w:sz="8" w:space="0"/>
              <w:bottom w:val="single" w:color="auto" w:sz="8" w:space="0"/>
            </w:tcBorders>
            <w:shd w:val="clear" w:color="auto" w:fill="auto"/>
          </w:tcPr>
          <w:p w14:paraId="532E4A83">
            <w:pPr>
              <w:pStyle w:val="179"/>
            </w:pPr>
            <w:r>
              <w:t>优秀</w:t>
            </w:r>
          </w:p>
        </w:tc>
        <w:tc>
          <w:tcPr>
            <w:tcW w:w="1555" w:type="dxa"/>
            <w:tcBorders>
              <w:top w:val="single" w:color="auto" w:sz="8" w:space="0"/>
              <w:bottom w:val="single" w:color="auto" w:sz="8" w:space="0"/>
            </w:tcBorders>
            <w:shd w:val="clear" w:color="auto" w:fill="auto"/>
          </w:tcPr>
          <w:p w14:paraId="31ED532A">
            <w:pPr>
              <w:pStyle w:val="179"/>
            </w:pPr>
            <w:r>
              <w:t>良好</w:t>
            </w:r>
          </w:p>
        </w:tc>
        <w:tc>
          <w:tcPr>
            <w:tcW w:w="1555" w:type="dxa"/>
            <w:tcBorders>
              <w:top w:val="single" w:color="auto" w:sz="8" w:space="0"/>
              <w:bottom w:val="single" w:color="auto" w:sz="8" w:space="0"/>
            </w:tcBorders>
            <w:shd w:val="clear" w:color="auto" w:fill="auto"/>
          </w:tcPr>
          <w:p w14:paraId="789C4859">
            <w:pPr>
              <w:pStyle w:val="179"/>
            </w:pPr>
            <w:r>
              <w:t>中等</w:t>
            </w:r>
          </w:p>
        </w:tc>
        <w:tc>
          <w:tcPr>
            <w:tcW w:w="1556" w:type="dxa"/>
            <w:tcBorders>
              <w:top w:val="single" w:color="auto" w:sz="8" w:space="0"/>
              <w:bottom w:val="single" w:color="auto" w:sz="8" w:space="0"/>
            </w:tcBorders>
            <w:shd w:val="clear" w:color="auto" w:fill="auto"/>
          </w:tcPr>
          <w:p w14:paraId="1E907339">
            <w:pPr>
              <w:pStyle w:val="179"/>
            </w:pPr>
            <w:r>
              <w:t>较差</w:t>
            </w:r>
          </w:p>
        </w:tc>
        <w:tc>
          <w:tcPr>
            <w:tcW w:w="1556" w:type="dxa"/>
            <w:tcBorders>
              <w:top w:val="single" w:color="auto" w:sz="8" w:space="0"/>
              <w:bottom w:val="single" w:color="auto" w:sz="8" w:space="0"/>
            </w:tcBorders>
            <w:shd w:val="clear" w:color="auto" w:fill="auto"/>
          </w:tcPr>
          <w:p w14:paraId="26A112F9">
            <w:pPr>
              <w:pStyle w:val="179"/>
            </w:pPr>
            <w:r>
              <w:t>很差</w:t>
            </w:r>
          </w:p>
        </w:tc>
      </w:tr>
      <w:tr w14:paraId="16CAD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8" w:space="0"/>
            </w:tcBorders>
            <w:shd w:val="clear" w:color="auto" w:fill="auto"/>
          </w:tcPr>
          <w:p w14:paraId="16C26DA9">
            <w:pPr>
              <w:pStyle w:val="179"/>
            </w:pPr>
            <w:r>
              <w:t>赋分/分</w:t>
            </w:r>
          </w:p>
        </w:tc>
        <w:tc>
          <w:tcPr>
            <w:tcW w:w="1556" w:type="dxa"/>
            <w:tcBorders>
              <w:top w:val="single" w:color="auto" w:sz="8" w:space="0"/>
            </w:tcBorders>
            <w:shd w:val="clear" w:color="auto" w:fill="auto"/>
          </w:tcPr>
          <w:p w14:paraId="3BF5B2D4">
            <w:pPr>
              <w:pStyle w:val="179"/>
            </w:pPr>
            <w:r>
              <w:t>100</w:t>
            </w:r>
          </w:p>
        </w:tc>
        <w:tc>
          <w:tcPr>
            <w:tcW w:w="1555" w:type="dxa"/>
            <w:tcBorders>
              <w:top w:val="single" w:color="auto" w:sz="8" w:space="0"/>
            </w:tcBorders>
            <w:shd w:val="clear" w:color="auto" w:fill="auto"/>
          </w:tcPr>
          <w:p w14:paraId="5BDA3EF6">
            <w:pPr>
              <w:pStyle w:val="179"/>
            </w:pPr>
            <w:r>
              <w:t>80</w:t>
            </w:r>
          </w:p>
        </w:tc>
        <w:tc>
          <w:tcPr>
            <w:tcW w:w="1555" w:type="dxa"/>
            <w:tcBorders>
              <w:top w:val="single" w:color="auto" w:sz="8" w:space="0"/>
            </w:tcBorders>
            <w:shd w:val="clear" w:color="auto" w:fill="auto"/>
          </w:tcPr>
          <w:p w14:paraId="5EAE5C4D">
            <w:pPr>
              <w:pStyle w:val="179"/>
            </w:pPr>
            <w:r>
              <w:t>60</w:t>
            </w:r>
          </w:p>
        </w:tc>
        <w:tc>
          <w:tcPr>
            <w:tcW w:w="1556" w:type="dxa"/>
            <w:tcBorders>
              <w:top w:val="single" w:color="auto" w:sz="8" w:space="0"/>
            </w:tcBorders>
            <w:shd w:val="clear" w:color="auto" w:fill="auto"/>
          </w:tcPr>
          <w:p w14:paraId="6217D641">
            <w:pPr>
              <w:pStyle w:val="179"/>
            </w:pPr>
            <w:r>
              <w:t>40</w:t>
            </w:r>
          </w:p>
        </w:tc>
        <w:tc>
          <w:tcPr>
            <w:tcW w:w="1556" w:type="dxa"/>
            <w:tcBorders>
              <w:top w:val="single" w:color="auto" w:sz="8" w:space="0"/>
            </w:tcBorders>
            <w:shd w:val="clear" w:color="auto" w:fill="auto"/>
          </w:tcPr>
          <w:p w14:paraId="4783651D">
            <w:pPr>
              <w:pStyle w:val="179"/>
            </w:pPr>
            <w:r>
              <w:t>0</w:t>
            </w:r>
          </w:p>
        </w:tc>
      </w:tr>
    </w:tbl>
    <w:p w14:paraId="72805F08">
      <w:pPr>
        <w:pStyle w:val="57"/>
        <w:ind w:firstLine="420"/>
      </w:pPr>
    </w:p>
    <w:p w14:paraId="71F68498">
      <w:pPr>
        <w:pStyle w:val="166"/>
        <w:rPr>
          <w:rFonts w:ascii="微软雅黑" w:hAnsi="微软雅黑" w:eastAsia="微软雅黑" w:cs="微软雅黑"/>
          <w:sz w:val="19"/>
          <w:szCs w:val="19"/>
        </w:rPr>
      </w:pPr>
      <w:r>
        <w:t>鱼类保有指数根据现状鱼类种数与历史参考点鱼类种数的差异状况确定</w:t>
      </w:r>
      <w:r>
        <w:rPr>
          <w:rFonts w:hint="eastAsia"/>
        </w:rPr>
        <w:t>，</w:t>
      </w:r>
      <w:r>
        <w:t>按公式</w:t>
      </w:r>
      <w:r>
        <w:rPr>
          <w:rFonts w:hint="eastAsia"/>
        </w:rPr>
        <w:t>（10）</w:t>
      </w:r>
      <w:r>
        <w:t>计算指标赋分。</w:t>
      </w:r>
    </w:p>
    <w:p w14:paraId="1949BECC">
      <w:pPr>
        <w:spacing w:line="240" w:lineRule="auto"/>
        <w:ind w:right="23"/>
        <w:jc w:val="right"/>
        <w:rPr>
          <w:rFonts w:ascii="宋体" w:hAnsi="宋体"/>
        </w:rPr>
      </w:pPr>
      <m:oMath>
        <m:r>
          <m:rPr/>
          <w:rPr>
            <w:rFonts w:ascii="Cambria Math" w:hAnsi="Cambria Math" w:cs="微软雅黑"/>
            <w:position w:val="2"/>
          </w:rPr>
          <m:t>FOEI=</m:t>
        </m:r>
        <m:f>
          <m:fPr>
            <m:ctrlPr>
              <w:rPr>
                <w:rFonts w:ascii="Cambria Math" w:hAnsi="Cambria Math" w:cs="微软雅黑"/>
                <w:i/>
                <w:position w:val="2"/>
              </w:rPr>
            </m:ctrlPr>
          </m:fPr>
          <m:num>
            <m:r>
              <m:rPr/>
              <w:rPr>
                <w:rFonts w:ascii="Cambria Math" w:hAnsi="Cambria Math" w:cs="微软雅黑"/>
                <w:position w:val="2"/>
              </w:rPr>
              <m:t>FO</m:t>
            </m:r>
            <m:ctrlPr>
              <w:rPr>
                <w:rFonts w:ascii="Cambria Math" w:hAnsi="Cambria Math" w:cs="微软雅黑"/>
                <w:i/>
                <w:position w:val="2"/>
              </w:rPr>
            </m:ctrlPr>
          </m:num>
          <m:den>
            <w:bookmarkStart w:id="93" w:name="OLE_LINK11"/>
            <m:r>
              <m:rPr/>
              <w:rPr>
                <w:rFonts w:ascii="Cambria Math" w:hAnsi="Cambria Math" w:cs="微软雅黑"/>
                <w:position w:val="2"/>
              </w:rPr>
              <m:t>FE</m:t>
            </m:r>
            <w:bookmarkEnd w:id="93"/>
            <m:ctrlPr>
              <w:rPr>
                <w:rFonts w:ascii="Cambria Math" w:hAnsi="Cambria Math" w:cs="微软雅黑"/>
                <w:i/>
                <w:position w:val="2"/>
              </w:rPr>
            </m:ctrlPr>
          </m:den>
        </m:f>
        <m:r>
          <m:rPr/>
          <w:rPr>
            <w:rFonts w:ascii="Cambria Math" w:hAnsi="Cambria Math" w:cs="微软雅黑"/>
            <w:position w:val="2"/>
          </w:rPr>
          <m:t>×100</m:t>
        </m:r>
        <m:r>
          <m:rPr/>
          <w:rPr>
            <w:rFonts w:hint="eastAsia" w:ascii="Cambria Math" w:hAnsi="Cambria Math" w:cs="微软雅黑"/>
            <w:position w:val="2"/>
          </w:rPr>
          <m:t>%</m:t>
        </m:r>
      </m:oMath>
      <w:r>
        <w:rPr>
          <w:rFonts w:ascii="宋体" w:hAnsi="宋体" w:cs="微软雅黑"/>
          <w:position w:val="2"/>
        </w:rPr>
        <w:t xml:space="preserve">          </w:t>
      </w:r>
      <w:r>
        <w:rPr>
          <w:rFonts w:hint="eastAsia" w:ascii="宋体" w:hAnsi="宋体" w:cs="微软雅黑"/>
          <w:position w:val="2"/>
        </w:rPr>
        <w:t xml:space="preserve">             </w:t>
      </w:r>
      <w:r>
        <w:rPr>
          <w:rFonts w:ascii="宋体" w:hAnsi="宋体" w:cs="微软雅黑"/>
          <w:position w:val="2"/>
        </w:rPr>
        <w:t xml:space="preserve">              </w:t>
      </w:r>
      <w:r>
        <w:rPr>
          <w:rFonts w:hint="eastAsia" w:ascii="宋体" w:hAnsi="宋体" w:cs="微软雅黑"/>
          <w:position w:val="2"/>
        </w:rPr>
        <w:t>（10）</w:t>
      </w:r>
    </w:p>
    <w:p w14:paraId="3D294A16">
      <w:pPr>
        <w:pStyle w:val="57"/>
        <w:ind w:firstLine="420"/>
      </w:pPr>
      <w:r>
        <w:t>式中</w:t>
      </w:r>
      <w:r>
        <w:rPr>
          <w:rFonts w:hint="eastAsia"/>
        </w:rPr>
        <w:t>：</w:t>
      </w:r>
    </w:p>
    <w:p w14:paraId="740C0DBF">
      <w:pPr>
        <w:pStyle w:val="57"/>
        <w:ind w:firstLine="420"/>
      </w:pPr>
      <m:oMath>
        <m:r>
          <m:rPr/>
          <w:rPr>
            <w:rFonts w:ascii="Cambria Math" w:hAnsi="Cambria Math" w:cs="微软雅黑"/>
            <w:position w:val="2"/>
            <w:szCs w:val="21"/>
          </w:rPr>
          <m:t xml:space="preserve">FOEI </m:t>
        </m:r>
      </m:oMath>
      <w:r>
        <w:rPr>
          <w:rFonts w:hint="eastAsia"/>
        </w:rPr>
        <w:t>——</w:t>
      </w:r>
      <w:r>
        <w:t>鱼类保有指数赋分</w:t>
      </w:r>
      <w:r>
        <w:rPr>
          <w:rFonts w:hint="eastAsia"/>
        </w:rPr>
        <w:t>；</w:t>
      </w:r>
    </w:p>
    <w:p w14:paraId="0D785DD6">
      <w:pPr>
        <w:pStyle w:val="57"/>
        <w:ind w:firstLine="420"/>
      </w:pPr>
      <m:oMath>
        <m:r>
          <m:rPr/>
          <w:rPr>
            <w:rFonts w:ascii="Cambria Math" w:hAnsi="Cambria Math" w:cs="微软雅黑"/>
            <w:position w:val="2"/>
            <w:szCs w:val="21"/>
          </w:rPr>
          <m:t xml:space="preserve">FO   </m:t>
        </m:r>
      </m:oMath>
      <w:r>
        <w:t xml:space="preserve"> </w:t>
      </w:r>
      <w:r>
        <w:rPr>
          <w:rFonts w:hint="eastAsia"/>
        </w:rPr>
        <w:t>——</w:t>
      </w:r>
      <w:r>
        <w:t>评价河湖调查获得的鱼类种类数量</w:t>
      </w:r>
      <w:r>
        <w:rPr>
          <w:rFonts w:hint="eastAsia"/>
        </w:rPr>
        <w:t>（</w:t>
      </w:r>
      <w:r>
        <w:t>剔除外来物种</w:t>
      </w:r>
      <w:r>
        <w:rPr>
          <w:rFonts w:hint="eastAsia"/>
        </w:rPr>
        <w:t>），单位为</w:t>
      </w:r>
      <w:r>
        <w:t>种</w:t>
      </w:r>
      <w:r>
        <w:rPr>
          <w:rFonts w:hint="eastAsia"/>
        </w:rPr>
        <w:t>；</w:t>
      </w:r>
    </w:p>
    <w:p w14:paraId="5DB4A18C">
      <w:pPr>
        <w:pStyle w:val="57"/>
        <w:ind w:firstLine="420"/>
      </w:pPr>
      <m:oMath>
        <m:r>
          <m:rPr/>
          <w:rPr>
            <w:rFonts w:ascii="Cambria Math" w:hAnsi="Cambria Math" w:cs="微软雅黑"/>
            <w:position w:val="2"/>
            <w:szCs w:val="21"/>
          </w:rPr>
          <m:t xml:space="preserve">FE   </m:t>
        </m:r>
      </m:oMath>
      <w:r>
        <w:t xml:space="preserve"> </w:t>
      </w:r>
      <w:r>
        <w:rPr>
          <w:rFonts w:hint="eastAsia"/>
        </w:rPr>
        <w:t>——</w:t>
      </w:r>
      <w:r>
        <w:t>20世纪80年代以前评价河湖的鱼类种类数量</w:t>
      </w:r>
      <w:r>
        <w:rPr>
          <w:rFonts w:hint="eastAsia"/>
        </w:rPr>
        <w:t>，单位为</w:t>
      </w:r>
      <w:r>
        <w:t>种。</w:t>
      </w:r>
    </w:p>
    <w:p w14:paraId="75A66AA6">
      <w:pPr>
        <w:pStyle w:val="166"/>
        <w:rPr>
          <w:b/>
          <w:bCs/>
        </w:rPr>
      </w:pPr>
      <w:r>
        <w:t>鱼类多样性指数按公式</w:t>
      </w:r>
      <w:r>
        <w:rPr>
          <w:rFonts w:hint="eastAsia"/>
        </w:rPr>
        <w:t>（11）</w:t>
      </w:r>
      <w:r>
        <w:t>计算</w:t>
      </w:r>
      <w:r>
        <w:rPr>
          <w:rFonts w:hint="eastAsia"/>
        </w:rPr>
        <w:t>，</w:t>
      </w:r>
      <w:r>
        <w:t>赋分标准见表17</w:t>
      </w:r>
      <w:r>
        <w:rPr>
          <w:rFonts w:hint="eastAsia"/>
        </w:rPr>
        <w:t>，</w:t>
      </w:r>
      <w:r>
        <w:t>采用线性插值法计算。</w:t>
      </w:r>
    </w:p>
    <w:p w14:paraId="0C5646A3">
      <w:pPr>
        <w:spacing w:line="240" w:lineRule="auto"/>
        <w:ind w:right="23"/>
        <w:jc w:val="right"/>
        <w:rPr>
          <w:rFonts w:ascii="宋体" w:hAnsi="宋体" w:cs="微软雅黑"/>
        </w:rPr>
      </w:pPr>
      <m:oMath>
        <m:sSup>
          <m:sSupPr>
            <m:ctrlPr>
              <w:rPr>
                <w:rFonts w:ascii="Cambria Math" w:hAnsi="Cambria Math" w:cs="微软雅黑"/>
                <w:i/>
              </w:rPr>
            </m:ctrlPr>
          </m:sSupPr>
          <m:e>
            <m:r>
              <m:rPr/>
              <w:rPr>
                <w:rFonts w:ascii="Cambria Math" w:hAnsi="Cambria Math" w:cs="微软雅黑"/>
              </w:rPr>
              <m:t>H</m:t>
            </m:r>
            <m:ctrlPr>
              <w:rPr>
                <w:rFonts w:ascii="Cambria Math" w:hAnsi="Cambria Math" w:cs="微软雅黑"/>
                <w:i/>
              </w:rPr>
            </m:ctrlPr>
          </m:e>
          <m:sup>
            <m:r>
              <m:rPr/>
              <w:rPr>
                <w:rFonts w:ascii="Cambria Math" w:hAnsi="Cambria Math" w:cs="微软雅黑"/>
              </w:rPr>
              <m:t>'</m:t>
            </m:r>
            <m:ctrlPr>
              <w:rPr>
                <w:rFonts w:ascii="Cambria Math" w:hAnsi="Cambria Math" w:cs="微软雅黑"/>
                <w:i/>
              </w:rPr>
            </m:ctrlPr>
          </m:sup>
        </m:sSup>
        <m:r>
          <m:rPr/>
          <w:rPr>
            <w:rFonts w:ascii="Cambria Math" w:hAnsi="Cambria Math" w:cs="微软雅黑"/>
          </w:rPr>
          <m:t>=−</m:t>
        </m:r>
        <m:nary>
          <m:naryPr>
            <m:chr m:val="∑"/>
            <m:limLoc m:val="undOvr"/>
            <m:subHide m:val="1"/>
            <m:supHide m:val="1"/>
            <m:ctrlPr>
              <w:rPr>
                <w:rFonts w:ascii="Cambria Math" w:hAnsi="Cambria Math" w:cs="微软雅黑"/>
                <w:i/>
              </w:rPr>
            </m:ctrlPr>
          </m:naryPr>
          <m:sub>
            <m:ctrlPr>
              <w:rPr>
                <w:rFonts w:ascii="Cambria Math" w:hAnsi="Cambria Math" w:cs="微软雅黑"/>
                <w:i/>
              </w:rPr>
            </m:ctrlPr>
          </m:sub>
          <m:sup>
            <m:ctrlPr>
              <w:rPr>
                <w:rFonts w:ascii="Cambria Math" w:hAnsi="Cambria Math" w:cs="微软雅黑"/>
                <w:i/>
              </w:rPr>
            </m:ctrlPr>
          </m:sup>
          <m:e>
            <m:r>
              <m:rPr/>
              <w:rPr>
                <w:rFonts w:ascii="Cambria Math" w:hAnsi="Cambria Math" w:cs="微软雅黑"/>
              </w:rPr>
              <m:t>P</m:t>
            </m:r>
            <m:ctrlPr>
              <w:rPr>
                <w:rFonts w:ascii="Cambria Math" w:hAnsi="Cambria Math" w:cs="微软雅黑"/>
                <w:i/>
              </w:rPr>
            </m:ctrlPr>
          </m:e>
        </m:nary>
        <m:r>
          <m:rPr/>
          <w:rPr>
            <w:rFonts w:ascii="Cambria Math" w:hAnsi="Cambria Math" w:cs="微软雅黑"/>
          </w:rPr>
          <m:t xml:space="preserve">i </m:t>
        </m:r>
        <m:func>
          <m:funcPr>
            <m:ctrlPr>
              <w:rPr>
                <w:rFonts w:ascii="Cambria Math" w:hAnsi="Cambria Math" w:cs="微软雅黑"/>
                <w:i/>
              </w:rPr>
            </m:ctrlPr>
          </m:funcPr>
          <m:fName>
            <m:sSub>
              <m:sSubPr>
                <m:ctrlPr>
                  <w:rPr>
                    <w:rFonts w:ascii="Cambria Math" w:hAnsi="Cambria Math" w:cs="微软雅黑"/>
                    <w:i/>
                  </w:rPr>
                </m:ctrlPr>
              </m:sSubPr>
              <m:e>
                <m:r>
                  <m:rPr>
                    <m:sty m:val="p"/>
                  </m:rPr>
                  <w:rPr>
                    <w:rFonts w:ascii="Cambria Math" w:hAnsi="Cambria Math" w:cs="微软雅黑"/>
                  </w:rPr>
                  <m:t>log</m:t>
                </m:r>
                <m:ctrlPr>
                  <w:rPr>
                    <w:rFonts w:ascii="Cambria Math" w:hAnsi="Cambria Math" w:cs="微软雅黑"/>
                    <w:i/>
                  </w:rPr>
                </m:ctrlPr>
              </m:e>
              <m:sub>
                <m:r>
                  <m:rPr/>
                  <w:rPr>
                    <w:rFonts w:ascii="Cambria Math" w:hAnsi="Cambria Math" w:cs="微软雅黑"/>
                  </w:rPr>
                  <m:t>2</m:t>
                </m:r>
                <m:ctrlPr>
                  <w:rPr>
                    <w:rFonts w:ascii="Cambria Math" w:hAnsi="Cambria Math" w:cs="微软雅黑"/>
                    <w:i/>
                  </w:rPr>
                </m:ctrlPr>
              </m:sub>
            </m:sSub>
            <m:ctrlPr>
              <w:rPr>
                <w:rFonts w:ascii="Cambria Math" w:hAnsi="Cambria Math" w:cs="微软雅黑"/>
                <w:i/>
              </w:rPr>
            </m:ctrlPr>
          </m:fName>
          <m:e>
            <m:r>
              <m:rPr/>
              <w:rPr>
                <w:rFonts w:ascii="Cambria Math" w:hAnsi="Cambria Math" w:cs="微软雅黑"/>
              </w:rPr>
              <m:t>Pi</m:t>
            </m:r>
            <m:ctrlPr>
              <w:rPr>
                <w:rFonts w:ascii="Cambria Math" w:hAnsi="Cambria Math" w:cs="微软雅黑"/>
                <w:i/>
              </w:rPr>
            </m:ctrlPr>
          </m:e>
        </m:func>
      </m:oMath>
      <w:r>
        <w:rPr>
          <w:rFonts w:ascii="宋体" w:hAnsi="宋体" w:cs="微软雅黑"/>
        </w:rPr>
        <w:t xml:space="preserve">     </w:t>
      </w:r>
      <w:r>
        <w:rPr>
          <w:rFonts w:hint="eastAsia" w:ascii="宋体" w:hAnsi="宋体" w:cs="微软雅黑"/>
        </w:rPr>
        <w:t xml:space="preserve">         </w:t>
      </w:r>
      <w:r>
        <w:rPr>
          <w:rFonts w:ascii="宋体" w:hAnsi="宋体" w:cs="微软雅黑"/>
        </w:rPr>
        <w:t xml:space="preserve">                     </w:t>
      </w:r>
      <w:r>
        <w:rPr>
          <w:rFonts w:hint="eastAsia" w:ascii="宋体" w:hAnsi="宋体" w:cs="微软雅黑"/>
        </w:rPr>
        <w:t>（11）</w:t>
      </w:r>
    </w:p>
    <w:p w14:paraId="64E09715">
      <w:pPr>
        <w:pStyle w:val="57"/>
        <w:ind w:firstLine="420"/>
      </w:pPr>
      <w:r>
        <w:t>式中</w:t>
      </w:r>
      <w:r>
        <w:rPr>
          <w:rFonts w:hint="eastAsia"/>
        </w:rPr>
        <w:t>：</w:t>
      </w:r>
    </w:p>
    <w:p w14:paraId="1710DF7E">
      <w:pPr>
        <w:pStyle w:val="57"/>
        <w:ind w:firstLine="420"/>
      </w:pPr>
      <m:oMath>
        <m:sSup>
          <m:sSupPr>
            <m:ctrlPr>
              <w:rPr>
                <w:rFonts w:ascii="Cambria Math" w:hAnsi="Cambria Math" w:cs="微软雅黑"/>
                <w:i/>
                <w:kern w:val="2"/>
                <w:szCs w:val="21"/>
              </w:rPr>
            </m:ctrlPr>
          </m:sSupPr>
          <m:e>
            <m:r>
              <m:rPr/>
              <w:rPr>
                <w:rFonts w:ascii="Cambria Math" w:hAnsi="Cambria Math" w:cs="微软雅黑"/>
                <w:szCs w:val="21"/>
              </w:rPr>
              <m:t>H</m:t>
            </m:r>
            <m:ctrlPr>
              <w:rPr>
                <w:rFonts w:ascii="Cambria Math" w:hAnsi="Cambria Math" w:cs="微软雅黑"/>
                <w:i/>
                <w:kern w:val="2"/>
                <w:szCs w:val="21"/>
              </w:rPr>
            </m:ctrlPr>
          </m:e>
          <m:sup>
            <m:r>
              <m:rPr/>
              <w:rPr>
                <w:rFonts w:ascii="Cambria Math" w:hAnsi="Cambria Math" w:cs="微软雅黑"/>
                <w:szCs w:val="21"/>
              </w:rPr>
              <m:t>'</m:t>
            </m:r>
            <m:ctrlPr>
              <w:rPr>
                <w:rFonts w:ascii="Cambria Math" w:hAnsi="Cambria Math" w:cs="微软雅黑"/>
                <w:i/>
                <w:kern w:val="2"/>
                <w:szCs w:val="21"/>
              </w:rPr>
            </m:ctrlPr>
          </m:sup>
        </m:sSup>
      </m:oMath>
      <w:r>
        <w:t xml:space="preserve"> </w:t>
      </w:r>
      <w:r>
        <w:rPr>
          <w:rFonts w:hint="eastAsia"/>
        </w:rPr>
        <w:t>——</w:t>
      </w:r>
      <w:r>
        <w:t>香农维纳多样性指数</w:t>
      </w:r>
      <w:r>
        <w:rPr>
          <w:rFonts w:hint="eastAsia"/>
        </w:rPr>
        <w:t>（</w:t>
      </w:r>
      <w:r>
        <w:t>Shannon Wiener Diversity Index</w:t>
      </w:r>
      <w:r>
        <w:rPr>
          <w:rFonts w:hint="eastAsia"/>
        </w:rPr>
        <w:t>）；</w:t>
      </w:r>
    </w:p>
    <w:p w14:paraId="7D5A9699">
      <w:pPr>
        <w:pStyle w:val="57"/>
        <w:ind w:firstLine="420"/>
      </w:pPr>
      <m:oMath>
        <m:r>
          <m:rPr/>
          <w:rPr>
            <w:rFonts w:ascii="Cambria Math" w:hAnsi="Cambria Math" w:cs="微软雅黑"/>
            <w:szCs w:val="21"/>
          </w:rPr>
          <m:t>Pi</m:t>
        </m:r>
      </m:oMath>
      <w:r>
        <w:t xml:space="preserve"> </w:t>
      </w:r>
      <w:r>
        <w:rPr>
          <w:rFonts w:hint="eastAsia"/>
        </w:rPr>
        <w:t>——</w:t>
      </w:r>
      <w:r>
        <w:t>采样面积内第i个物种的个体数量占采样面积内所有物种的数量的比值</w:t>
      </w:r>
      <w:r>
        <w:rPr>
          <w:rFonts w:hint="eastAsia"/>
        </w:rPr>
        <w:t>（</w:t>
      </w:r>
      <w:r>
        <w:t>剔除外来物种</w:t>
      </w:r>
      <w:r>
        <w:rPr>
          <w:rFonts w:hint="eastAsia"/>
        </w:rPr>
        <w:t>）</w:t>
      </w:r>
      <w:r>
        <w:t>。</w:t>
      </w:r>
    </w:p>
    <w:p w14:paraId="175063C5">
      <w:pPr>
        <w:pStyle w:val="113"/>
        <w:spacing w:before="156" w:after="156"/>
      </w:pPr>
      <w:r>
        <w:t>香农维纳多样性指数赋分标准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867"/>
        <w:gridCol w:w="1867"/>
        <w:gridCol w:w="1867"/>
        <w:gridCol w:w="1867"/>
      </w:tblGrid>
      <w:tr w14:paraId="6B5C8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866" w:type="dxa"/>
            <w:tcBorders>
              <w:top w:val="single" w:color="auto" w:sz="8" w:space="0"/>
              <w:bottom w:val="single" w:color="auto" w:sz="8" w:space="0"/>
            </w:tcBorders>
            <w:shd w:val="clear" w:color="auto" w:fill="auto"/>
          </w:tcPr>
          <w:p w14:paraId="56FA5CF8">
            <w:pPr>
              <w:pStyle w:val="179"/>
              <w:rPr>
                <w:rFonts w:hAnsi="宋体"/>
              </w:rPr>
            </w:pPr>
            <w:r>
              <w:rPr>
                <w:rFonts w:hAnsi="宋体"/>
                <w:position w:val="-1"/>
              </w:rPr>
              <w:t>H'</w:t>
            </w:r>
            <w:r>
              <w:rPr>
                <w:rFonts w:hAnsi="宋体"/>
              </w:rPr>
              <w:t>取值</w:t>
            </w:r>
          </w:p>
        </w:tc>
        <w:tc>
          <w:tcPr>
            <w:tcW w:w="1867" w:type="dxa"/>
            <w:tcBorders>
              <w:top w:val="single" w:color="auto" w:sz="8" w:space="0"/>
              <w:bottom w:val="single" w:color="auto" w:sz="8" w:space="0"/>
            </w:tcBorders>
            <w:shd w:val="clear" w:color="auto" w:fill="auto"/>
          </w:tcPr>
          <w:p w14:paraId="5DCD7361">
            <w:pPr>
              <w:pStyle w:val="179"/>
              <w:rPr>
                <w:rFonts w:hAnsi="宋体"/>
              </w:rPr>
            </w:pPr>
            <w:r>
              <w:rPr>
                <w:rFonts w:hAnsi="宋体"/>
              </w:rPr>
              <w:t>≥3</w:t>
            </w:r>
          </w:p>
        </w:tc>
        <w:tc>
          <w:tcPr>
            <w:tcW w:w="1867" w:type="dxa"/>
            <w:tcBorders>
              <w:top w:val="single" w:color="auto" w:sz="8" w:space="0"/>
              <w:bottom w:val="single" w:color="auto" w:sz="8" w:space="0"/>
            </w:tcBorders>
            <w:shd w:val="clear" w:color="auto" w:fill="auto"/>
          </w:tcPr>
          <w:p w14:paraId="2DD02F8C">
            <w:pPr>
              <w:pStyle w:val="179"/>
              <w:rPr>
                <w:rFonts w:hAnsi="宋体"/>
              </w:rPr>
            </w:pPr>
            <w:r>
              <w:rPr>
                <w:rFonts w:hAnsi="宋体"/>
              </w:rPr>
              <w:t>2</w:t>
            </w:r>
          </w:p>
        </w:tc>
        <w:tc>
          <w:tcPr>
            <w:tcW w:w="1867" w:type="dxa"/>
            <w:tcBorders>
              <w:top w:val="single" w:color="auto" w:sz="8" w:space="0"/>
              <w:bottom w:val="single" w:color="auto" w:sz="8" w:space="0"/>
            </w:tcBorders>
            <w:shd w:val="clear" w:color="auto" w:fill="auto"/>
          </w:tcPr>
          <w:p w14:paraId="26BCE980">
            <w:pPr>
              <w:pStyle w:val="179"/>
              <w:rPr>
                <w:rFonts w:hAnsi="宋体"/>
              </w:rPr>
            </w:pPr>
            <w:r>
              <w:rPr>
                <w:rFonts w:hAnsi="宋体"/>
              </w:rPr>
              <w:t>1</w:t>
            </w:r>
          </w:p>
        </w:tc>
        <w:tc>
          <w:tcPr>
            <w:tcW w:w="1867" w:type="dxa"/>
            <w:tcBorders>
              <w:top w:val="single" w:color="auto" w:sz="8" w:space="0"/>
              <w:bottom w:val="single" w:color="auto" w:sz="8" w:space="0"/>
            </w:tcBorders>
            <w:shd w:val="clear" w:color="auto" w:fill="auto"/>
          </w:tcPr>
          <w:p w14:paraId="38568C99">
            <w:pPr>
              <w:pStyle w:val="179"/>
              <w:rPr>
                <w:rFonts w:hAnsi="宋体"/>
              </w:rPr>
            </w:pPr>
            <w:r>
              <w:rPr>
                <w:rFonts w:hAnsi="宋体"/>
              </w:rPr>
              <w:t>0</w:t>
            </w:r>
          </w:p>
        </w:tc>
      </w:tr>
      <w:tr w14:paraId="0DD4E3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tcBorders>
              <w:top w:val="single" w:color="auto" w:sz="8" w:space="0"/>
            </w:tcBorders>
            <w:shd w:val="clear" w:color="auto" w:fill="auto"/>
          </w:tcPr>
          <w:p w14:paraId="58921EF6">
            <w:pPr>
              <w:pStyle w:val="179"/>
              <w:rPr>
                <w:rFonts w:hAnsi="宋体"/>
              </w:rPr>
            </w:pPr>
            <w:r>
              <w:rPr>
                <w:rFonts w:hAnsi="宋体"/>
              </w:rPr>
              <w:t>赋分/分</w:t>
            </w:r>
          </w:p>
        </w:tc>
        <w:tc>
          <w:tcPr>
            <w:tcW w:w="1867" w:type="dxa"/>
            <w:tcBorders>
              <w:top w:val="single" w:color="auto" w:sz="8" w:space="0"/>
            </w:tcBorders>
            <w:shd w:val="clear" w:color="auto" w:fill="auto"/>
          </w:tcPr>
          <w:p w14:paraId="78BAADB0">
            <w:pPr>
              <w:pStyle w:val="179"/>
              <w:rPr>
                <w:rFonts w:hAnsi="宋体"/>
              </w:rPr>
            </w:pPr>
            <w:r>
              <w:rPr>
                <w:rFonts w:hAnsi="宋体"/>
              </w:rPr>
              <w:t>100</w:t>
            </w:r>
          </w:p>
        </w:tc>
        <w:tc>
          <w:tcPr>
            <w:tcW w:w="1867" w:type="dxa"/>
            <w:tcBorders>
              <w:top w:val="single" w:color="auto" w:sz="8" w:space="0"/>
            </w:tcBorders>
            <w:shd w:val="clear" w:color="auto" w:fill="auto"/>
          </w:tcPr>
          <w:p w14:paraId="2CA62F7A">
            <w:pPr>
              <w:pStyle w:val="179"/>
              <w:rPr>
                <w:rFonts w:hAnsi="宋体"/>
              </w:rPr>
            </w:pPr>
            <w:r>
              <w:rPr>
                <w:rFonts w:hAnsi="宋体"/>
              </w:rPr>
              <w:t>60</w:t>
            </w:r>
          </w:p>
        </w:tc>
        <w:tc>
          <w:tcPr>
            <w:tcW w:w="1867" w:type="dxa"/>
            <w:tcBorders>
              <w:top w:val="single" w:color="auto" w:sz="8" w:space="0"/>
            </w:tcBorders>
            <w:shd w:val="clear" w:color="auto" w:fill="auto"/>
          </w:tcPr>
          <w:p w14:paraId="7E781C94">
            <w:pPr>
              <w:pStyle w:val="179"/>
              <w:rPr>
                <w:rFonts w:hAnsi="宋体"/>
              </w:rPr>
            </w:pPr>
            <w:r>
              <w:rPr>
                <w:rFonts w:hAnsi="宋体"/>
              </w:rPr>
              <w:t>20</w:t>
            </w:r>
          </w:p>
        </w:tc>
        <w:tc>
          <w:tcPr>
            <w:tcW w:w="1867" w:type="dxa"/>
            <w:tcBorders>
              <w:top w:val="single" w:color="auto" w:sz="8" w:space="0"/>
            </w:tcBorders>
            <w:shd w:val="clear" w:color="auto" w:fill="auto"/>
          </w:tcPr>
          <w:p w14:paraId="60ED61FC">
            <w:pPr>
              <w:pStyle w:val="179"/>
              <w:rPr>
                <w:rFonts w:hAnsi="宋体"/>
              </w:rPr>
            </w:pPr>
            <w:r>
              <w:rPr>
                <w:rFonts w:hAnsi="宋体"/>
              </w:rPr>
              <w:t>0</w:t>
            </w:r>
          </w:p>
        </w:tc>
      </w:tr>
    </w:tbl>
    <w:p w14:paraId="0C5887D9">
      <w:pPr>
        <w:pStyle w:val="106"/>
        <w:spacing w:before="156" w:after="156"/>
      </w:pPr>
      <w:bookmarkStart w:id="94" w:name="_Toc242796898"/>
      <w:bookmarkStart w:id="95" w:name="_Toc242804742"/>
      <w:r>
        <w:rPr>
          <w:rFonts w:hint="eastAsia"/>
        </w:rPr>
        <w:t>大型底栖无脊椎动物状况</w:t>
      </w:r>
      <w:bookmarkEnd w:id="94"/>
      <w:bookmarkEnd w:id="95"/>
    </w:p>
    <w:p w14:paraId="3B603A9E">
      <w:pPr>
        <w:pStyle w:val="166"/>
        <w:rPr>
          <w:b/>
          <w:bCs/>
        </w:rPr>
      </w:pPr>
      <w:r>
        <w:t>采用大型底栖无脊椎动物完整性指数确定</w:t>
      </w:r>
      <w:r>
        <w:rPr>
          <w:rFonts w:hint="eastAsia"/>
        </w:rPr>
        <w:t>，</w:t>
      </w:r>
      <w:r>
        <w:t>评价方法符合HJ</w:t>
      </w:r>
      <w:r>
        <w:rPr>
          <w:rFonts w:hint="eastAsia"/>
        </w:rPr>
        <w:t xml:space="preserve"> </w:t>
      </w:r>
      <w:r>
        <w:t>1295的规定</w:t>
      </w:r>
      <w:r>
        <w:rPr>
          <w:rFonts w:hint="eastAsia"/>
        </w:rPr>
        <w:t>，</w:t>
      </w:r>
      <w:r>
        <w:t>根据评价等级确定指标赋分</w:t>
      </w:r>
      <w:r>
        <w:rPr>
          <w:rFonts w:hint="eastAsia"/>
        </w:rPr>
        <w:t>，</w:t>
      </w:r>
      <w:r>
        <w:t>赋分标准参考表16。</w:t>
      </w:r>
    </w:p>
    <w:p w14:paraId="75B58E5F">
      <w:pPr>
        <w:pStyle w:val="166"/>
        <w:rPr>
          <w:b/>
          <w:bCs/>
        </w:rPr>
      </w:pPr>
      <w:r>
        <w:t>无法获取历史大型底栖无脊椎动物种类资料时</w:t>
      </w:r>
      <w:r>
        <w:rPr>
          <w:rFonts w:hint="eastAsia"/>
        </w:rPr>
        <w:t>，</w:t>
      </w:r>
      <w:r>
        <w:t>可采用多样性指数确定</w:t>
      </w:r>
      <w:r>
        <w:rPr>
          <w:rFonts w:hint="eastAsia"/>
        </w:rPr>
        <w:t>，</w:t>
      </w:r>
      <w:r>
        <w:t>按公式</w:t>
      </w:r>
      <w:r>
        <w:rPr>
          <w:rFonts w:hint="eastAsia"/>
        </w:rPr>
        <w:t>（11）</w:t>
      </w:r>
      <w:r>
        <w:t>计算</w:t>
      </w:r>
      <w:r>
        <w:rPr>
          <w:rFonts w:hint="eastAsia"/>
        </w:rPr>
        <w:t>，</w:t>
      </w:r>
      <w:r>
        <w:t>赋分标准参考表17</w:t>
      </w:r>
      <w:r>
        <w:rPr>
          <w:rFonts w:hint="eastAsia"/>
        </w:rPr>
        <w:t>，</w:t>
      </w:r>
      <w:r>
        <w:t>采用线性插值法计算。</w:t>
      </w:r>
    </w:p>
    <w:p w14:paraId="5123BD95">
      <w:pPr>
        <w:pStyle w:val="106"/>
        <w:spacing w:before="156" w:after="156"/>
      </w:pPr>
      <w:bookmarkStart w:id="96" w:name="_Toc242796899"/>
      <w:bookmarkStart w:id="97" w:name="_Toc242804743"/>
      <w:r>
        <w:rPr>
          <w:rFonts w:hint="eastAsia"/>
        </w:rPr>
        <w:t>外来物种入侵状况</w:t>
      </w:r>
      <w:bookmarkEnd w:id="96"/>
      <w:bookmarkEnd w:id="97"/>
    </w:p>
    <w:p w14:paraId="632CECB2">
      <w:pPr>
        <w:pStyle w:val="57"/>
        <w:ind w:firstLine="420"/>
      </w:pPr>
      <w:r>
        <w:rPr>
          <w:rFonts w:hint="eastAsia"/>
        </w:rPr>
        <w:t>对存在外来物种入侵风险的河湖评价外来物种入侵状况</w:t>
      </w:r>
      <w:r>
        <w:t>。根据外来入侵</w:t>
      </w:r>
      <w:r>
        <w:rPr>
          <w:rFonts w:hint="eastAsia"/>
        </w:rPr>
        <w:t>（</w:t>
      </w:r>
      <w:r>
        <w:t>某种生物从外地自然传入或人为引种后成为野生状态</w:t>
      </w:r>
      <w:r>
        <w:rPr>
          <w:rFonts w:hint="eastAsia"/>
        </w:rPr>
        <w:t>，</w:t>
      </w:r>
      <w:r>
        <w:t>并对本地生态系统造成一定危害</w:t>
      </w:r>
      <w:r>
        <w:rPr>
          <w:rFonts w:hint="eastAsia"/>
        </w:rPr>
        <w:t>）</w:t>
      </w:r>
      <w:r>
        <w:t>物种危害等级确定</w:t>
      </w:r>
      <w:r>
        <w:rPr>
          <w:rFonts w:hint="eastAsia"/>
        </w:rPr>
        <w:t>，</w:t>
      </w:r>
      <w:r>
        <w:t>赋分标准见表18。</w:t>
      </w:r>
    </w:p>
    <w:p w14:paraId="4D815443">
      <w:pPr>
        <w:pStyle w:val="113"/>
        <w:spacing w:before="156" w:after="156"/>
      </w:pPr>
      <w:r>
        <w:t>外来物种入侵状况赋分标准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6"/>
        <w:gridCol w:w="1556"/>
        <w:gridCol w:w="1555"/>
        <w:gridCol w:w="1555"/>
        <w:gridCol w:w="1556"/>
        <w:gridCol w:w="1556"/>
      </w:tblGrid>
      <w:tr w14:paraId="7D5AB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1" w:hRule="atLeast"/>
          <w:tblHeader/>
          <w:jc w:val="center"/>
        </w:trPr>
        <w:tc>
          <w:tcPr>
            <w:tcW w:w="1556" w:type="dxa"/>
            <w:vMerge w:val="restart"/>
            <w:tcBorders>
              <w:top w:val="single" w:color="auto" w:sz="8" w:space="0"/>
            </w:tcBorders>
            <w:shd w:val="clear" w:color="auto" w:fill="auto"/>
            <w:vAlign w:val="center"/>
          </w:tcPr>
          <w:p w14:paraId="56E1516C">
            <w:pPr>
              <w:pStyle w:val="179"/>
            </w:pPr>
            <w:r>
              <w:t>外来入侵物种</w:t>
            </w:r>
          </w:p>
        </w:tc>
        <w:tc>
          <w:tcPr>
            <w:tcW w:w="1556" w:type="dxa"/>
            <w:vMerge w:val="restart"/>
            <w:tcBorders>
              <w:top w:val="single" w:color="auto" w:sz="8" w:space="0"/>
            </w:tcBorders>
            <w:shd w:val="clear" w:color="auto" w:fill="auto"/>
            <w:vAlign w:val="center"/>
          </w:tcPr>
          <w:p w14:paraId="1CFD8117">
            <w:pPr>
              <w:pStyle w:val="179"/>
            </w:pPr>
            <w:r>
              <w:t>无外来入侵物种</w:t>
            </w:r>
          </w:p>
        </w:tc>
        <w:tc>
          <w:tcPr>
            <w:tcW w:w="6222" w:type="dxa"/>
            <w:gridSpan w:val="4"/>
            <w:tcBorders>
              <w:top w:val="single" w:color="auto" w:sz="8" w:space="0"/>
              <w:bottom w:val="single" w:color="auto" w:sz="4" w:space="0"/>
            </w:tcBorders>
            <w:shd w:val="clear" w:color="auto" w:fill="auto"/>
            <w:vAlign w:val="center"/>
          </w:tcPr>
          <w:p w14:paraId="27FF0475">
            <w:pPr>
              <w:pStyle w:val="179"/>
            </w:pPr>
            <w:r>
              <w:rPr>
                <w:rFonts w:hint="eastAsia"/>
              </w:rPr>
              <w:t>外来入侵物种数</w:t>
            </w:r>
          </w:p>
        </w:tc>
      </w:tr>
      <w:tr w14:paraId="5F85D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1" w:hRule="atLeast"/>
          <w:tblHeader/>
          <w:jc w:val="center"/>
        </w:trPr>
        <w:tc>
          <w:tcPr>
            <w:tcW w:w="1556" w:type="dxa"/>
            <w:vMerge w:val="continue"/>
            <w:tcBorders>
              <w:bottom w:val="single" w:color="auto" w:sz="8" w:space="0"/>
            </w:tcBorders>
            <w:shd w:val="clear" w:color="auto" w:fill="auto"/>
            <w:vAlign w:val="center"/>
          </w:tcPr>
          <w:p w14:paraId="0735D15B">
            <w:pPr>
              <w:pStyle w:val="179"/>
            </w:pPr>
          </w:p>
        </w:tc>
        <w:tc>
          <w:tcPr>
            <w:tcW w:w="1556" w:type="dxa"/>
            <w:vMerge w:val="continue"/>
            <w:tcBorders>
              <w:bottom w:val="single" w:color="auto" w:sz="8" w:space="0"/>
            </w:tcBorders>
            <w:shd w:val="clear" w:color="auto" w:fill="auto"/>
            <w:vAlign w:val="center"/>
          </w:tcPr>
          <w:p w14:paraId="36AD3D2B">
            <w:pPr>
              <w:pStyle w:val="179"/>
            </w:pPr>
          </w:p>
        </w:tc>
        <w:tc>
          <w:tcPr>
            <w:tcW w:w="1555" w:type="dxa"/>
            <w:tcBorders>
              <w:top w:val="single" w:color="auto" w:sz="4" w:space="0"/>
              <w:bottom w:val="single" w:color="auto" w:sz="8" w:space="0"/>
            </w:tcBorders>
            <w:shd w:val="clear" w:color="auto" w:fill="auto"/>
            <w:vAlign w:val="center"/>
          </w:tcPr>
          <w:p w14:paraId="2F105B6F">
            <w:pPr>
              <w:pStyle w:val="179"/>
            </w:pPr>
            <w:r>
              <w:rPr>
                <w:rFonts w:hint="eastAsia"/>
              </w:rPr>
              <w:t>个别点位出现1种</w:t>
            </w:r>
          </w:p>
        </w:tc>
        <w:tc>
          <w:tcPr>
            <w:tcW w:w="1555" w:type="dxa"/>
            <w:tcBorders>
              <w:top w:val="single" w:color="auto" w:sz="4" w:space="0"/>
              <w:bottom w:val="single" w:color="auto" w:sz="8" w:space="0"/>
            </w:tcBorders>
            <w:shd w:val="clear" w:color="auto" w:fill="auto"/>
            <w:vAlign w:val="center"/>
          </w:tcPr>
          <w:p w14:paraId="4CF77519">
            <w:pPr>
              <w:pStyle w:val="234"/>
              <w:jc w:val="center"/>
              <w:rPr>
                <w:rFonts w:hAnsi="Times New Roman" w:cs="Times New Roman"/>
                <w:snapToGrid/>
                <w:color w:val="auto"/>
                <w:szCs w:val="20"/>
                <w:lang w:eastAsia="zh-CN"/>
              </w:rPr>
            </w:pPr>
            <w:r>
              <w:rPr>
                <w:rFonts w:hint="eastAsia" w:hAnsi="Times New Roman" w:cs="Times New Roman"/>
                <w:snapToGrid/>
                <w:color w:val="auto"/>
                <w:szCs w:val="20"/>
                <w:lang w:eastAsia="zh-CN"/>
              </w:rPr>
              <w:t>出现2种或</w:t>
            </w:r>
          </w:p>
          <w:p w14:paraId="21908FBC">
            <w:pPr>
              <w:pStyle w:val="179"/>
            </w:pPr>
            <w:r>
              <w:rPr>
                <w:rFonts w:hint="eastAsia"/>
              </w:rPr>
              <w:t>＞5</w:t>
            </w:r>
            <w:r>
              <w:t>0%</w:t>
            </w:r>
            <w:r>
              <w:rPr>
                <w:rFonts w:hint="eastAsia"/>
              </w:rPr>
              <w:t>点位出现1种</w:t>
            </w:r>
          </w:p>
        </w:tc>
        <w:tc>
          <w:tcPr>
            <w:tcW w:w="1556" w:type="dxa"/>
            <w:tcBorders>
              <w:top w:val="single" w:color="auto" w:sz="4" w:space="0"/>
              <w:bottom w:val="single" w:color="auto" w:sz="8" w:space="0"/>
            </w:tcBorders>
            <w:shd w:val="clear" w:color="auto" w:fill="auto"/>
            <w:vAlign w:val="center"/>
          </w:tcPr>
          <w:p w14:paraId="54AC3F4A">
            <w:pPr>
              <w:pStyle w:val="234"/>
              <w:jc w:val="center"/>
              <w:rPr>
                <w:rFonts w:hAnsi="Times New Roman" w:cs="Times New Roman"/>
                <w:snapToGrid/>
                <w:color w:val="auto"/>
                <w:szCs w:val="20"/>
                <w:lang w:eastAsia="zh-CN"/>
              </w:rPr>
            </w:pPr>
            <w:r>
              <w:rPr>
                <w:rFonts w:hint="eastAsia" w:hAnsi="Times New Roman" w:cs="Times New Roman"/>
                <w:snapToGrid/>
                <w:color w:val="auto"/>
                <w:szCs w:val="20"/>
                <w:lang w:eastAsia="zh-CN"/>
              </w:rPr>
              <w:t>出现3</w:t>
            </w:r>
            <w:r>
              <w:rPr>
                <w:rFonts w:hAnsi="Times New Roman" w:cs="Times New Roman"/>
                <w:snapToGrid/>
                <w:color w:val="auto"/>
                <w:szCs w:val="20"/>
                <w:lang w:eastAsia="zh-CN"/>
              </w:rPr>
              <w:t>-5</w:t>
            </w:r>
            <w:r>
              <w:rPr>
                <w:rFonts w:hint="eastAsia" w:hAnsi="Times New Roman" w:cs="Times New Roman"/>
                <w:snapToGrid/>
                <w:color w:val="auto"/>
                <w:szCs w:val="20"/>
                <w:lang w:eastAsia="zh-CN"/>
              </w:rPr>
              <w:t>种或</w:t>
            </w:r>
          </w:p>
          <w:p w14:paraId="41E6F40A">
            <w:pPr>
              <w:pStyle w:val="179"/>
            </w:pPr>
            <w:r>
              <w:rPr>
                <w:rFonts w:hint="eastAsia"/>
              </w:rPr>
              <w:t>＞5</w:t>
            </w:r>
            <w:r>
              <w:t>0%</w:t>
            </w:r>
            <w:r>
              <w:rPr>
                <w:rFonts w:hint="eastAsia"/>
              </w:rPr>
              <w:t>点位出现</w:t>
            </w:r>
            <w:r>
              <w:t>2</w:t>
            </w:r>
            <w:r>
              <w:rPr>
                <w:rFonts w:hint="eastAsia"/>
              </w:rPr>
              <w:t>种</w:t>
            </w:r>
          </w:p>
        </w:tc>
        <w:tc>
          <w:tcPr>
            <w:tcW w:w="1556" w:type="dxa"/>
            <w:tcBorders>
              <w:top w:val="single" w:color="auto" w:sz="4" w:space="0"/>
              <w:bottom w:val="single" w:color="auto" w:sz="8" w:space="0"/>
            </w:tcBorders>
            <w:shd w:val="clear" w:color="auto" w:fill="auto"/>
            <w:vAlign w:val="center"/>
          </w:tcPr>
          <w:p w14:paraId="4390247E">
            <w:pPr>
              <w:pStyle w:val="234"/>
              <w:jc w:val="center"/>
              <w:rPr>
                <w:lang w:eastAsia="zh-CN"/>
              </w:rPr>
            </w:pPr>
            <w:r>
              <w:rPr>
                <w:rFonts w:hint="eastAsia" w:hAnsi="Times New Roman" w:cs="Times New Roman"/>
                <w:snapToGrid/>
                <w:color w:val="auto"/>
                <w:szCs w:val="20"/>
                <w:lang w:eastAsia="zh-CN"/>
              </w:rPr>
              <w:t>出现5种以上</w:t>
            </w:r>
            <w:r>
              <w:rPr>
                <w:rFonts w:hint="eastAsia"/>
                <w:lang w:eastAsia="zh-CN"/>
              </w:rPr>
              <w:t>或</w:t>
            </w:r>
          </w:p>
          <w:p w14:paraId="542D0E2E">
            <w:pPr>
              <w:pStyle w:val="234"/>
              <w:jc w:val="center"/>
              <w:rPr>
                <w:lang w:eastAsia="zh-CN"/>
              </w:rPr>
            </w:pPr>
            <w:r>
              <w:rPr>
                <w:rFonts w:hint="eastAsia"/>
                <w:lang w:eastAsia="zh-CN"/>
              </w:rPr>
              <w:t>＞5</w:t>
            </w:r>
            <w:r>
              <w:rPr>
                <w:lang w:eastAsia="zh-CN"/>
              </w:rPr>
              <w:t>0%</w:t>
            </w:r>
            <w:r>
              <w:rPr>
                <w:rFonts w:hint="eastAsia"/>
                <w:lang w:eastAsia="zh-CN"/>
              </w:rPr>
              <w:t>点位出现</w:t>
            </w:r>
            <w:r>
              <w:rPr>
                <w:lang w:eastAsia="zh-CN"/>
              </w:rPr>
              <w:t>3</w:t>
            </w:r>
            <w:r>
              <w:rPr>
                <w:rFonts w:hint="eastAsia"/>
                <w:lang w:eastAsia="zh-CN"/>
              </w:rPr>
              <w:t>种</w:t>
            </w:r>
          </w:p>
        </w:tc>
      </w:tr>
      <w:tr w14:paraId="4D43C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8" w:space="0"/>
            </w:tcBorders>
            <w:shd w:val="clear" w:color="auto" w:fill="auto"/>
            <w:vAlign w:val="center"/>
          </w:tcPr>
          <w:p w14:paraId="1CBE7322">
            <w:pPr>
              <w:pStyle w:val="179"/>
            </w:pPr>
            <w:r>
              <w:t>赋分/分</w:t>
            </w:r>
          </w:p>
        </w:tc>
        <w:tc>
          <w:tcPr>
            <w:tcW w:w="1556" w:type="dxa"/>
            <w:tcBorders>
              <w:top w:val="single" w:color="auto" w:sz="8" w:space="0"/>
            </w:tcBorders>
            <w:shd w:val="clear" w:color="auto" w:fill="auto"/>
            <w:vAlign w:val="center"/>
          </w:tcPr>
          <w:p w14:paraId="515390E1">
            <w:pPr>
              <w:pStyle w:val="179"/>
            </w:pPr>
            <w:r>
              <w:t>100</w:t>
            </w:r>
          </w:p>
        </w:tc>
        <w:tc>
          <w:tcPr>
            <w:tcW w:w="1555" w:type="dxa"/>
            <w:tcBorders>
              <w:top w:val="single" w:color="auto" w:sz="8" w:space="0"/>
            </w:tcBorders>
            <w:shd w:val="clear" w:color="auto" w:fill="auto"/>
            <w:vAlign w:val="center"/>
          </w:tcPr>
          <w:p w14:paraId="0DE9E40E">
            <w:pPr>
              <w:pStyle w:val="179"/>
            </w:pPr>
            <w:r>
              <w:t>90</w:t>
            </w:r>
          </w:p>
        </w:tc>
        <w:tc>
          <w:tcPr>
            <w:tcW w:w="1555" w:type="dxa"/>
            <w:tcBorders>
              <w:top w:val="single" w:color="auto" w:sz="8" w:space="0"/>
            </w:tcBorders>
            <w:shd w:val="clear" w:color="auto" w:fill="auto"/>
            <w:vAlign w:val="center"/>
          </w:tcPr>
          <w:p w14:paraId="60DE982B">
            <w:pPr>
              <w:pStyle w:val="179"/>
            </w:pPr>
            <w:r>
              <w:t>70</w:t>
            </w:r>
          </w:p>
        </w:tc>
        <w:tc>
          <w:tcPr>
            <w:tcW w:w="1556" w:type="dxa"/>
            <w:tcBorders>
              <w:top w:val="single" w:color="auto" w:sz="8" w:space="0"/>
            </w:tcBorders>
            <w:shd w:val="clear" w:color="auto" w:fill="auto"/>
            <w:vAlign w:val="center"/>
          </w:tcPr>
          <w:p w14:paraId="56809478">
            <w:pPr>
              <w:pStyle w:val="179"/>
            </w:pPr>
            <w:r>
              <w:t>50</w:t>
            </w:r>
          </w:p>
        </w:tc>
        <w:tc>
          <w:tcPr>
            <w:tcW w:w="1556" w:type="dxa"/>
            <w:tcBorders>
              <w:top w:val="single" w:color="auto" w:sz="8" w:space="0"/>
            </w:tcBorders>
            <w:shd w:val="clear" w:color="auto" w:fill="auto"/>
            <w:vAlign w:val="center"/>
          </w:tcPr>
          <w:p w14:paraId="1DCC9A2F">
            <w:pPr>
              <w:pStyle w:val="179"/>
            </w:pPr>
            <w:r>
              <w:t>0</w:t>
            </w:r>
          </w:p>
        </w:tc>
      </w:tr>
    </w:tbl>
    <w:p w14:paraId="0002C206">
      <w:pPr>
        <w:pStyle w:val="106"/>
        <w:spacing w:before="156" w:after="156"/>
      </w:pPr>
      <w:bookmarkStart w:id="98" w:name="_Hlk239638711"/>
      <w:bookmarkStart w:id="99" w:name="_Toc242796900"/>
      <w:bookmarkStart w:id="100" w:name="_Toc242804744"/>
      <w:r>
        <w:rPr>
          <w:rFonts w:hint="eastAsia"/>
        </w:rPr>
        <w:t>大型水生植物状况</w:t>
      </w:r>
      <w:bookmarkEnd w:id="98"/>
      <w:bookmarkEnd w:id="99"/>
      <w:bookmarkEnd w:id="100"/>
    </w:p>
    <w:p w14:paraId="04DA1229">
      <w:pPr>
        <w:pStyle w:val="166"/>
        <w:rPr>
          <w:b/>
          <w:bCs/>
        </w:rPr>
      </w:pPr>
      <w:r>
        <w:rPr>
          <w:rFonts w:hint="eastAsia"/>
        </w:rPr>
        <w:t>对具有景观和生态功能的河流评价大型水生植物状况</w:t>
      </w:r>
      <w:r>
        <w:t>。</w:t>
      </w:r>
      <w:r>
        <w:rPr>
          <w:rFonts w:hint="eastAsia"/>
        </w:rPr>
        <w:t>每个河段宜布设不少于3个调查监测断面，断面宽幅宜5</w:t>
      </w:r>
      <w:r>
        <w:rPr>
          <w:rFonts w:hint="eastAsia"/>
          <w:w w:val="50"/>
        </w:rPr>
        <w:t xml:space="preserve"> </w:t>
      </w:r>
      <w:r>
        <w:rPr>
          <w:rFonts w:hint="eastAsia"/>
        </w:rPr>
        <w:t>m</w:t>
      </w:r>
      <w:r>
        <w:rPr>
          <w:rFonts w:hint="eastAsia" w:hAnsi="宋体"/>
        </w:rPr>
        <w:t>～</w:t>
      </w:r>
      <w:r>
        <w:rPr>
          <w:rFonts w:hint="eastAsia"/>
        </w:rPr>
        <w:t>10</w:t>
      </w:r>
      <w:r>
        <w:rPr>
          <w:rFonts w:hint="eastAsia"/>
          <w:w w:val="50"/>
        </w:rPr>
        <w:t xml:space="preserve"> </w:t>
      </w:r>
      <w:r>
        <w:rPr>
          <w:rFonts w:hint="eastAsia"/>
        </w:rPr>
        <w:t>m。对断面区域大型水生植物种类、数量、外来物种入侵状况进行调查，按照丰富、较丰富、一般、较少、无5个等级分析大型水生植物群落状况。</w:t>
      </w:r>
      <w:r>
        <w:t>赋分标准参考表19。</w:t>
      </w:r>
    </w:p>
    <w:p w14:paraId="7A68CBCC">
      <w:pPr>
        <w:pStyle w:val="113"/>
        <w:spacing w:before="156" w:after="156"/>
      </w:pPr>
      <w:r>
        <w:rPr>
          <w:rFonts w:hint="eastAsia"/>
        </w:rPr>
        <w:t>大型</w:t>
      </w:r>
      <w:r>
        <w:t>水生植物状况赋分标准表</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5812"/>
        <w:gridCol w:w="980"/>
      </w:tblGrid>
      <w:tr w14:paraId="6DE0E2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vAlign w:val="center"/>
          </w:tcPr>
          <w:p w14:paraId="2F4044DA">
            <w:pPr>
              <w:pStyle w:val="179"/>
            </w:pPr>
            <w:r>
              <w:rPr>
                <w:rFonts w:hint="eastAsia"/>
              </w:rPr>
              <w:t>大型</w:t>
            </w:r>
            <w:r>
              <w:t>水生植物群落状况分级</w:t>
            </w:r>
          </w:p>
        </w:tc>
        <w:tc>
          <w:tcPr>
            <w:tcW w:w="5812" w:type="dxa"/>
            <w:tcBorders>
              <w:top w:val="single" w:color="auto" w:sz="8" w:space="0"/>
              <w:bottom w:val="single" w:color="auto" w:sz="8" w:space="0"/>
            </w:tcBorders>
            <w:shd w:val="clear" w:color="auto" w:fill="auto"/>
            <w:vAlign w:val="center"/>
          </w:tcPr>
          <w:p w14:paraId="4F9E330A">
            <w:pPr>
              <w:pStyle w:val="179"/>
            </w:pPr>
            <w:r>
              <w:t>指标描述</w:t>
            </w:r>
          </w:p>
        </w:tc>
        <w:tc>
          <w:tcPr>
            <w:tcW w:w="980" w:type="dxa"/>
            <w:tcBorders>
              <w:top w:val="single" w:color="auto" w:sz="8" w:space="0"/>
              <w:bottom w:val="single" w:color="auto" w:sz="8" w:space="0"/>
            </w:tcBorders>
            <w:shd w:val="clear" w:color="auto" w:fill="auto"/>
            <w:vAlign w:val="center"/>
          </w:tcPr>
          <w:p w14:paraId="0318EA4B">
            <w:pPr>
              <w:pStyle w:val="179"/>
            </w:pPr>
            <w:r>
              <w:t>分值</w:t>
            </w:r>
          </w:p>
        </w:tc>
      </w:tr>
      <w:tr w14:paraId="048644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vAlign w:val="center"/>
          </w:tcPr>
          <w:p w14:paraId="6765508E">
            <w:pPr>
              <w:pStyle w:val="179"/>
            </w:pPr>
            <w:r>
              <w:t>丰富</w:t>
            </w:r>
          </w:p>
        </w:tc>
        <w:tc>
          <w:tcPr>
            <w:tcW w:w="5812" w:type="dxa"/>
            <w:tcBorders>
              <w:top w:val="single" w:color="auto" w:sz="8" w:space="0"/>
            </w:tcBorders>
            <w:shd w:val="clear" w:color="auto" w:fill="auto"/>
            <w:vAlign w:val="center"/>
          </w:tcPr>
          <w:p w14:paraId="34D0479B">
            <w:pPr>
              <w:pStyle w:val="179"/>
            </w:pPr>
            <w:r>
              <w:rPr>
                <w:rFonts w:hint="eastAsia"/>
              </w:rPr>
              <w:t>大型</w:t>
            </w:r>
            <w:r>
              <w:t>水生植物种类很多</w:t>
            </w:r>
            <w:r>
              <w:rPr>
                <w:rFonts w:hint="eastAsia"/>
              </w:rPr>
              <w:t>（＞4种）</w:t>
            </w:r>
            <w:r>
              <w:t>，配置合理，植株数量多且</w:t>
            </w:r>
            <w:r>
              <w:rPr>
                <w:rFonts w:hint="eastAsia"/>
              </w:rPr>
              <w:t>密集</w:t>
            </w:r>
          </w:p>
        </w:tc>
        <w:tc>
          <w:tcPr>
            <w:tcW w:w="980" w:type="dxa"/>
            <w:tcBorders>
              <w:top w:val="single" w:color="auto" w:sz="8" w:space="0"/>
            </w:tcBorders>
            <w:shd w:val="clear" w:color="auto" w:fill="auto"/>
            <w:vAlign w:val="center"/>
          </w:tcPr>
          <w:p w14:paraId="3557CDFD">
            <w:pPr>
              <w:pStyle w:val="179"/>
            </w:pPr>
            <w:r>
              <w:t>100</w:t>
            </w:r>
            <w:r>
              <w:rPr>
                <w:rFonts w:hint="eastAsia" w:hAnsi="宋体"/>
              </w:rPr>
              <w:t>～</w:t>
            </w:r>
            <w:r>
              <w:t>90</w:t>
            </w:r>
          </w:p>
        </w:tc>
      </w:tr>
      <w:tr w14:paraId="55EF9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shd w:val="clear" w:color="auto" w:fill="auto"/>
            <w:vAlign w:val="center"/>
          </w:tcPr>
          <w:p w14:paraId="2DEF16C0">
            <w:pPr>
              <w:pStyle w:val="179"/>
            </w:pPr>
            <w:r>
              <w:t>较丰富</w:t>
            </w:r>
          </w:p>
        </w:tc>
        <w:tc>
          <w:tcPr>
            <w:tcW w:w="5812" w:type="dxa"/>
            <w:shd w:val="clear" w:color="auto" w:fill="auto"/>
            <w:vAlign w:val="center"/>
          </w:tcPr>
          <w:p w14:paraId="484888E9">
            <w:pPr>
              <w:pStyle w:val="179"/>
            </w:pPr>
            <w:r>
              <w:rPr>
                <w:rFonts w:hint="eastAsia"/>
              </w:rPr>
              <w:t>大型</w:t>
            </w:r>
            <w:r>
              <w:t>水生植物种类多</w:t>
            </w:r>
            <w:r>
              <w:rPr>
                <w:rFonts w:hint="eastAsia"/>
              </w:rPr>
              <w:t>（3种</w:t>
            </w:r>
            <w:r>
              <w:rPr>
                <w:rFonts w:hint="eastAsia" w:hAnsi="宋体"/>
              </w:rPr>
              <w:t>～</w:t>
            </w:r>
            <w:r>
              <w:t>4</w:t>
            </w:r>
            <w:r>
              <w:rPr>
                <w:rFonts w:hint="eastAsia"/>
              </w:rPr>
              <w:t>种）</w:t>
            </w:r>
            <w:r>
              <w:t>，植株数量多且</w:t>
            </w:r>
            <w:r>
              <w:rPr>
                <w:rFonts w:hint="eastAsia"/>
              </w:rPr>
              <w:t>密集</w:t>
            </w:r>
          </w:p>
        </w:tc>
        <w:tc>
          <w:tcPr>
            <w:tcW w:w="980" w:type="dxa"/>
            <w:shd w:val="clear" w:color="auto" w:fill="auto"/>
            <w:vAlign w:val="center"/>
          </w:tcPr>
          <w:p w14:paraId="21B91F39">
            <w:pPr>
              <w:pStyle w:val="179"/>
            </w:pPr>
            <w:r>
              <w:t>90</w:t>
            </w:r>
          </w:p>
        </w:tc>
      </w:tr>
      <w:tr w14:paraId="3C08F1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shd w:val="clear" w:color="auto" w:fill="auto"/>
            <w:vAlign w:val="center"/>
          </w:tcPr>
          <w:p w14:paraId="63E4CF95">
            <w:pPr>
              <w:pStyle w:val="179"/>
            </w:pPr>
            <w:r>
              <w:t>一般</w:t>
            </w:r>
          </w:p>
        </w:tc>
        <w:tc>
          <w:tcPr>
            <w:tcW w:w="5812" w:type="dxa"/>
            <w:shd w:val="clear" w:color="auto" w:fill="auto"/>
            <w:vAlign w:val="center"/>
          </w:tcPr>
          <w:p w14:paraId="5BFC8622">
            <w:pPr>
              <w:pStyle w:val="179"/>
            </w:pPr>
            <w:r>
              <w:rPr>
                <w:rFonts w:hint="eastAsia"/>
              </w:rPr>
              <w:t>大型水生植物类型单一（1种</w:t>
            </w:r>
            <w:r>
              <w:rPr>
                <w:rFonts w:hint="eastAsia" w:hAnsi="宋体"/>
              </w:rPr>
              <w:t>～</w:t>
            </w:r>
            <w:r>
              <w:t>2</w:t>
            </w:r>
            <w:r>
              <w:rPr>
                <w:rFonts w:hint="eastAsia"/>
              </w:rPr>
              <w:t>种）</w:t>
            </w:r>
            <w:r>
              <w:t>，植株数量多且</w:t>
            </w:r>
            <w:r>
              <w:rPr>
                <w:rFonts w:hint="eastAsia"/>
              </w:rPr>
              <w:t>密集</w:t>
            </w:r>
          </w:p>
        </w:tc>
        <w:tc>
          <w:tcPr>
            <w:tcW w:w="980" w:type="dxa"/>
            <w:shd w:val="clear" w:color="auto" w:fill="auto"/>
            <w:vAlign w:val="center"/>
          </w:tcPr>
          <w:p w14:paraId="01B29BA0">
            <w:pPr>
              <w:pStyle w:val="179"/>
            </w:pPr>
            <w:r>
              <w:t>60</w:t>
            </w:r>
          </w:p>
        </w:tc>
      </w:tr>
      <w:tr w14:paraId="6DBF4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shd w:val="clear" w:color="auto" w:fill="auto"/>
            <w:vAlign w:val="center"/>
          </w:tcPr>
          <w:p w14:paraId="3E204505">
            <w:pPr>
              <w:pStyle w:val="179"/>
            </w:pPr>
            <w:r>
              <w:t>较少</w:t>
            </w:r>
          </w:p>
        </w:tc>
        <w:tc>
          <w:tcPr>
            <w:tcW w:w="5812" w:type="dxa"/>
            <w:shd w:val="clear" w:color="auto" w:fill="auto"/>
            <w:vAlign w:val="center"/>
          </w:tcPr>
          <w:p w14:paraId="77049F30">
            <w:pPr>
              <w:pStyle w:val="179"/>
            </w:pPr>
            <w:r>
              <w:rPr>
                <w:rFonts w:hint="eastAsia"/>
              </w:rPr>
              <w:t>偶有零星大型水生植物</w:t>
            </w:r>
            <w:r>
              <w:t>，植株数量很少且稀疏</w:t>
            </w:r>
          </w:p>
        </w:tc>
        <w:tc>
          <w:tcPr>
            <w:tcW w:w="980" w:type="dxa"/>
            <w:shd w:val="clear" w:color="auto" w:fill="auto"/>
            <w:vAlign w:val="center"/>
          </w:tcPr>
          <w:p w14:paraId="075BF47E">
            <w:pPr>
              <w:pStyle w:val="179"/>
            </w:pPr>
            <w:r>
              <w:t>30</w:t>
            </w:r>
          </w:p>
        </w:tc>
      </w:tr>
      <w:tr w14:paraId="16723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shd w:val="clear" w:color="auto" w:fill="auto"/>
            <w:vAlign w:val="center"/>
          </w:tcPr>
          <w:p w14:paraId="5E76C1BA">
            <w:pPr>
              <w:pStyle w:val="179"/>
            </w:pPr>
            <w:r>
              <w:t>无</w:t>
            </w:r>
          </w:p>
        </w:tc>
        <w:tc>
          <w:tcPr>
            <w:tcW w:w="5812" w:type="dxa"/>
            <w:shd w:val="clear" w:color="auto" w:fill="auto"/>
            <w:vAlign w:val="center"/>
          </w:tcPr>
          <w:p w14:paraId="0CF2EC4B">
            <w:pPr>
              <w:pStyle w:val="179"/>
            </w:pPr>
            <w:r>
              <w:t>难以观测到</w:t>
            </w:r>
            <w:r>
              <w:rPr>
                <w:rFonts w:hint="eastAsia"/>
              </w:rPr>
              <w:t>大型</w:t>
            </w:r>
            <w:r>
              <w:t>水生植物</w:t>
            </w:r>
          </w:p>
        </w:tc>
        <w:tc>
          <w:tcPr>
            <w:tcW w:w="980" w:type="dxa"/>
            <w:shd w:val="clear" w:color="auto" w:fill="auto"/>
            <w:vAlign w:val="center"/>
          </w:tcPr>
          <w:p w14:paraId="5E5FA60D">
            <w:pPr>
              <w:pStyle w:val="179"/>
            </w:pPr>
            <w:r>
              <w:t>0</w:t>
            </w:r>
          </w:p>
        </w:tc>
      </w:tr>
    </w:tbl>
    <w:p w14:paraId="445BD953">
      <w:pPr>
        <w:pStyle w:val="57"/>
        <w:ind w:firstLine="420"/>
      </w:pPr>
    </w:p>
    <w:p w14:paraId="42A6FDC8">
      <w:pPr>
        <w:pStyle w:val="166"/>
        <w:rPr>
          <w:b/>
          <w:bCs/>
        </w:rPr>
      </w:pPr>
      <w:r>
        <w:rPr>
          <w:rFonts w:hint="eastAsia"/>
        </w:rPr>
        <w:t>在断面大型水生植物群落状况赋分基础上，每调查到一种外来入侵水生植物，断面得分扣5分，扣完为止。取监测河段内各断面得分平均值作为监测河段大型水生植物群落状况得分。人工浮床类涉及的水生植物不计入评分。</w:t>
      </w:r>
    </w:p>
    <w:p w14:paraId="1B62C829">
      <w:pPr>
        <w:pStyle w:val="106"/>
        <w:spacing w:before="156" w:after="156"/>
      </w:pPr>
      <w:bookmarkStart w:id="101" w:name="_Toc242796901"/>
      <w:bookmarkStart w:id="102" w:name="_Toc242804745"/>
      <w:r>
        <w:rPr>
          <w:rFonts w:hint="eastAsia"/>
        </w:rPr>
        <w:t>着生藻类群落状况</w:t>
      </w:r>
      <w:bookmarkEnd w:id="101"/>
      <w:bookmarkEnd w:id="102"/>
    </w:p>
    <w:p w14:paraId="37A592F4">
      <w:pPr>
        <w:pStyle w:val="166"/>
      </w:pPr>
      <w:r>
        <w:rPr>
          <w:rFonts w:hint="eastAsia"/>
        </w:rPr>
        <w:t>对具有生态功能且流速快的河流评价着生藻类群落状况</w:t>
      </w:r>
      <w:r>
        <w:t>。</w:t>
      </w:r>
      <w:r>
        <w:rPr>
          <w:rFonts w:hint="eastAsia"/>
        </w:rPr>
        <w:t>采用着生藻类多样性指数和综合硅藻指数综合确定，赋分取两者平均值。条件不具备时，可仅采用着生藻类多样性指数开展评价。</w:t>
      </w:r>
    </w:p>
    <w:p w14:paraId="66036E1C">
      <w:pPr>
        <w:pStyle w:val="166"/>
      </w:pPr>
      <w:r>
        <w:t>着生藻类多样性指数按公式</w:t>
      </w:r>
      <w:r>
        <w:rPr>
          <w:rFonts w:hint="eastAsia"/>
        </w:rPr>
        <w:t>（11）</w:t>
      </w:r>
      <w:r>
        <w:t>计算</w:t>
      </w:r>
      <w:r>
        <w:rPr>
          <w:rFonts w:hint="eastAsia"/>
        </w:rPr>
        <w:t>，</w:t>
      </w:r>
      <w:r>
        <w:t>赋分标准参考表17</w:t>
      </w:r>
      <w:r>
        <w:rPr>
          <w:rFonts w:hint="eastAsia"/>
        </w:rPr>
        <w:t>，</w:t>
      </w:r>
      <w:r>
        <w:t>采用线性插值法计算。</w:t>
      </w:r>
    </w:p>
    <w:p w14:paraId="2CA40F5A">
      <w:pPr>
        <w:pStyle w:val="166"/>
      </w:pPr>
      <w:r>
        <w:t>综合硅藻指数按公式</w:t>
      </w:r>
      <w:r>
        <w:rPr>
          <w:rFonts w:hint="eastAsia"/>
        </w:rPr>
        <w:t>（12）</w:t>
      </w:r>
      <w:r>
        <w:t>、公式</w:t>
      </w:r>
      <w:r>
        <w:rPr>
          <w:rFonts w:hint="eastAsia"/>
        </w:rPr>
        <w:t>（13）</w:t>
      </w:r>
      <w:r>
        <w:t>计算</w:t>
      </w:r>
      <w:r>
        <w:rPr>
          <w:rFonts w:hint="eastAsia"/>
        </w:rPr>
        <w:t>，</w:t>
      </w:r>
      <w:r>
        <w:t>相关参数取值符合HJ 1295的规定</w:t>
      </w:r>
      <w:r>
        <w:rPr>
          <w:rFonts w:hint="eastAsia"/>
        </w:rPr>
        <w:t>，</w:t>
      </w:r>
      <w:r>
        <w:t>赋分标准见表20</w:t>
      </w:r>
      <w:r>
        <w:rPr>
          <w:rFonts w:hint="eastAsia"/>
        </w:rPr>
        <w:t>，</w:t>
      </w:r>
      <w:r>
        <w:t>采用线性插值法计算。</w:t>
      </w:r>
    </w:p>
    <w:p w14:paraId="2CEDA7BE">
      <w:pPr>
        <w:spacing w:line="240" w:lineRule="auto"/>
        <w:ind w:left="3453"/>
        <w:rPr>
          <w:rFonts w:ascii="宋体" w:hAnsi="宋体" w:cs="微软雅黑"/>
          <w:position w:val="2"/>
        </w:rPr>
      </w:pPr>
      <m:oMath>
        <m:r>
          <m:rPr/>
          <w:rPr>
            <w:rFonts w:ascii="Cambria Math" w:hAnsi="Cambria Math" w:cs="微软雅黑"/>
          </w:rPr>
          <m:t>CDI=</m:t>
        </m:r>
        <m:d>
          <m:dPr>
            <m:ctrlPr>
              <w:rPr>
                <w:rFonts w:ascii="Cambria Math" w:hAnsi="Cambria Math" w:cs="微软雅黑"/>
                <w:i/>
              </w:rPr>
            </m:ctrlPr>
          </m:dPr>
          <m:e>
            <m:r>
              <m:rPr/>
              <w:rPr>
                <w:rFonts w:ascii="Cambria Math" w:hAnsi="Cambria Math" w:cs="微软雅黑"/>
              </w:rPr>
              <m:t>WMS×25</m:t>
            </m:r>
            <m:ctrlPr>
              <w:rPr>
                <w:rFonts w:ascii="Cambria Math" w:hAnsi="Cambria Math" w:cs="微软雅黑"/>
                <w:i/>
              </w:rPr>
            </m:ctrlPr>
          </m:e>
        </m:d>
        <m:r>
          <m:rPr/>
          <w:rPr>
            <w:rFonts w:hint="eastAsia" w:ascii="微软雅黑" w:hAnsi="微软雅黑" w:eastAsia="微软雅黑" w:cs="微软雅黑"/>
          </w:rPr>
          <m:t>−</m:t>
        </m:r>
        <m:r>
          <m:rPr/>
          <w:rPr>
            <w:rFonts w:ascii="Cambria Math" w:hAnsi="Cambria Math" w:cs="微软雅黑"/>
          </w:rPr>
          <m:t>25</m:t>
        </m:r>
      </m:oMath>
      <w:r>
        <w:rPr>
          <w:rFonts w:ascii="宋体" w:hAnsi="宋体" w:cs="微软雅黑"/>
          <w:position w:val="2"/>
        </w:rPr>
        <w:t xml:space="preserve">                            </w:t>
      </w:r>
      <w:r>
        <w:rPr>
          <w:rFonts w:hint="eastAsia" w:ascii="宋体" w:hAnsi="宋体" w:cs="微软雅黑"/>
          <w:position w:val="2"/>
        </w:rPr>
        <w:t>（12）</w:t>
      </w:r>
    </w:p>
    <w:p w14:paraId="282457DD">
      <w:pPr>
        <w:spacing w:line="240" w:lineRule="auto"/>
        <w:ind w:left="3453"/>
        <w:rPr>
          <w:rFonts w:ascii="宋体" w:hAnsi="宋体" w:cs="微软雅黑"/>
          <w:position w:val="2"/>
        </w:rPr>
      </w:pPr>
      <m:oMath>
        <m:r>
          <m:rPr/>
          <w:rPr>
            <w:rFonts w:ascii="Cambria Math" w:hAnsi="Cambria Math" w:cs="微软雅黑"/>
          </w:rPr>
          <m:t>WMS=</m:t>
        </m:r>
        <m:f>
          <m:fPr>
            <m:ctrlPr>
              <w:rPr>
                <w:rFonts w:ascii="Cambria Math" w:hAnsi="Cambria Math" w:cs="微软雅黑"/>
                <w:i/>
              </w:rPr>
            </m:ctrlPr>
          </m:fPr>
          <m:num>
            <m:nary>
              <m:naryPr>
                <m:chr m:val="∑"/>
                <m:limLoc m:val="undOvr"/>
                <m:subHide m:val="1"/>
                <m:supHide m:val="1"/>
                <m:ctrlPr>
                  <w:rPr>
                    <w:rFonts w:ascii="Cambria Math" w:hAnsi="Cambria Math" w:cs="微软雅黑"/>
                    <w:i/>
                  </w:rPr>
                </m:ctrlPr>
              </m:naryPr>
              <m:sub>
                <m:ctrlPr>
                  <w:rPr>
                    <w:rFonts w:ascii="Cambria Math" w:hAnsi="Cambria Math" w:cs="微软雅黑"/>
                    <w:i/>
                  </w:rPr>
                </m:ctrlPr>
              </m:sub>
              <m:sup>
                <m:ctrlPr>
                  <w:rPr>
                    <w:rFonts w:ascii="Cambria Math" w:hAnsi="Cambria Math" w:cs="微软雅黑"/>
                    <w:i/>
                  </w:rPr>
                </m:ctrlPr>
              </m:sup>
              <m:e>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hint="eastAsia" w:ascii="Cambria Math" w:hAnsi="Cambria Math" w:cs="微软雅黑"/>
                      </w:rPr>
                      <m:t>j</m:t>
                    </m:r>
                    <m:ctrlPr>
                      <w:rPr>
                        <w:rFonts w:ascii="Cambria Math" w:hAnsi="Cambria Math" w:cs="微软雅黑"/>
                        <w:i/>
                      </w:rPr>
                    </m:ctrlPr>
                  </m:sub>
                </m:sSub>
                <m:sSub>
                  <m:sSubPr>
                    <m:ctrlPr>
                      <w:rPr>
                        <w:rFonts w:ascii="Cambria Math" w:hAnsi="Cambria Math" w:cs="微软雅黑"/>
                        <w:i/>
                      </w:rPr>
                    </m:ctrlPr>
                  </m:sSubPr>
                  <m:e>
                    <m:sSub>
                      <m:sSubPr>
                        <m:ctrlPr>
                          <w:rPr>
                            <w:rFonts w:ascii="Cambria Math" w:hAnsi="Cambria Math" w:cs="微软雅黑"/>
                            <w:i/>
                          </w:rPr>
                        </m:ctrlPr>
                      </m:sSubPr>
                      <m:e>
                        <m:r>
                          <m:rPr/>
                          <w:rPr>
                            <w:rFonts w:hint="eastAsia" w:ascii="Cambria Math" w:hAnsi="Cambria Math" w:cs="微软雅黑"/>
                          </w:rPr>
                          <m:t>v</m:t>
                        </m:r>
                        <m:ctrlPr>
                          <w:rPr>
                            <w:rFonts w:ascii="Cambria Math" w:hAnsi="Cambria Math" w:cs="微软雅黑"/>
                            <w:i/>
                          </w:rPr>
                        </m:ctrlPr>
                      </m:e>
                      <m:sub>
                        <m:r>
                          <m:rPr/>
                          <w:rPr>
                            <w:rFonts w:hint="eastAsia" w:ascii="Cambria Math" w:hAnsi="Cambria Math" w:cs="微软雅黑"/>
                          </w:rPr>
                          <m:t>j</m:t>
                        </m:r>
                        <m:ctrlPr>
                          <w:rPr>
                            <w:rFonts w:ascii="Cambria Math" w:hAnsi="Cambria Math" w:cs="微软雅黑"/>
                            <w:i/>
                          </w:rPr>
                        </m:ctrlPr>
                      </m:sub>
                    </m:sSub>
                    <m:r>
                      <m:rPr/>
                      <w:rPr>
                        <w:rFonts w:hint="eastAsia" w:ascii="Cambria Math" w:hAnsi="Cambria Math" w:cs="微软雅黑"/>
                      </w:rPr>
                      <m:t>i</m:t>
                    </m:r>
                    <m:ctrlPr>
                      <w:rPr>
                        <w:rFonts w:ascii="Cambria Math" w:hAnsi="Cambria Math" w:cs="微软雅黑"/>
                        <w:i/>
                      </w:rPr>
                    </m:ctrlPr>
                  </m:e>
                  <m:sub>
                    <m:r>
                      <m:rPr/>
                      <w:rPr>
                        <w:rFonts w:hint="eastAsia" w:ascii="Cambria Math" w:hAnsi="Cambria Math" w:cs="微软雅黑"/>
                      </w:rPr>
                      <m:t>j</m:t>
                    </m:r>
                    <m:ctrlPr>
                      <w:rPr>
                        <w:rFonts w:ascii="Cambria Math" w:hAnsi="Cambria Math" w:cs="微软雅黑"/>
                        <w:i/>
                      </w:rPr>
                    </m:ctrlPr>
                  </m:sub>
                </m:sSub>
                <m:ctrlPr>
                  <w:rPr>
                    <w:rFonts w:ascii="Cambria Math" w:hAnsi="Cambria Math" w:cs="微软雅黑"/>
                    <w:i/>
                  </w:rPr>
                </m:ctrlPr>
              </m:e>
            </m:nary>
            <m:ctrlPr>
              <w:rPr>
                <w:rFonts w:ascii="Cambria Math" w:hAnsi="Cambria Math" w:cs="微软雅黑"/>
                <w:i/>
              </w:rPr>
            </m:ctrlPr>
          </m:num>
          <m:den>
            <m:nary>
              <m:naryPr>
                <m:chr m:val="∑"/>
                <m:limLoc m:val="undOvr"/>
                <m:subHide m:val="1"/>
                <m:supHide m:val="1"/>
                <m:ctrlPr>
                  <w:rPr>
                    <w:rFonts w:ascii="Cambria Math" w:hAnsi="Cambria Math" w:cs="微软雅黑"/>
                    <w:i/>
                  </w:rPr>
                </m:ctrlPr>
              </m:naryPr>
              <m:sub>
                <m:ctrlPr>
                  <w:rPr>
                    <w:rFonts w:ascii="Cambria Math" w:hAnsi="Cambria Math" w:cs="微软雅黑"/>
                    <w:i/>
                  </w:rPr>
                </m:ctrlPr>
              </m:sub>
              <m:sup>
                <m:ctrlPr>
                  <w:rPr>
                    <w:rFonts w:ascii="Cambria Math" w:hAnsi="Cambria Math" w:cs="微软雅黑"/>
                    <w:i/>
                  </w:rPr>
                </m:ctrlPr>
              </m:sup>
              <m:e>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hint="eastAsia" w:ascii="Cambria Math" w:hAnsi="Cambria Math" w:cs="微软雅黑"/>
                      </w:rPr>
                      <m:t>j</m:t>
                    </m:r>
                    <m:ctrlPr>
                      <w:rPr>
                        <w:rFonts w:ascii="Cambria Math" w:hAnsi="Cambria Math" w:cs="微软雅黑"/>
                        <w:i/>
                      </w:rPr>
                    </m:ctrlPr>
                  </m:sub>
                </m:sSub>
                <m:ctrlPr>
                  <w:rPr>
                    <w:rFonts w:ascii="Cambria Math" w:hAnsi="Cambria Math" w:cs="微软雅黑"/>
                    <w:i/>
                  </w:rPr>
                </m:ctrlPr>
              </m:e>
            </m:nary>
            <m:sSub>
              <m:sSubPr>
                <m:ctrlPr>
                  <w:rPr>
                    <w:rFonts w:ascii="Cambria Math" w:hAnsi="Cambria Math" w:cs="微软雅黑"/>
                    <w:i/>
                  </w:rPr>
                </m:ctrlPr>
              </m:sSubPr>
              <m:e>
                <m:r>
                  <m:rPr/>
                  <w:rPr>
                    <w:rFonts w:hint="eastAsia" w:ascii="Cambria Math" w:hAnsi="Cambria Math" w:cs="微软雅黑"/>
                  </w:rPr>
                  <m:t>v</m:t>
                </m:r>
                <m:ctrlPr>
                  <w:rPr>
                    <w:rFonts w:ascii="Cambria Math" w:hAnsi="Cambria Math" w:cs="微软雅黑"/>
                    <w:i/>
                  </w:rPr>
                </m:ctrlPr>
              </m:e>
              <m:sub>
                <m:r>
                  <m:rPr/>
                  <w:rPr>
                    <w:rFonts w:hint="eastAsia" w:ascii="Cambria Math" w:hAnsi="Cambria Math" w:cs="微软雅黑"/>
                  </w:rPr>
                  <m:t>j</m:t>
                </m:r>
                <m:ctrlPr>
                  <w:rPr>
                    <w:rFonts w:ascii="Cambria Math" w:hAnsi="Cambria Math" w:cs="微软雅黑"/>
                    <w:i/>
                  </w:rPr>
                </m:ctrlPr>
              </m:sub>
            </m:sSub>
            <m:ctrlPr>
              <w:rPr>
                <w:rFonts w:ascii="Cambria Math" w:hAnsi="Cambria Math" w:cs="微软雅黑"/>
                <w:i/>
              </w:rPr>
            </m:ctrlPr>
          </m:den>
        </m:f>
      </m:oMath>
      <w:r>
        <w:rPr>
          <w:rFonts w:ascii="宋体" w:hAnsi="宋体" w:cs="微软雅黑"/>
          <w:position w:val="2"/>
        </w:rPr>
        <w:t xml:space="preserve">                       </w:t>
      </w:r>
      <w:r>
        <w:rPr>
          <w:rFonts w:hint="eastAsia" w:ascii="宋体" w:hAnsi="宋体" w:cs="微软雅黑"/>
          <w:position w:val="2"/>
        </w:rPr>
        <w:t xml:space="preserve">         </w:t>
      </w:r>
      <w:r>
        <w:rPr>
          <w:rFonts w:ascii="宋体" w:hAnsi="宋体" w:cs="微软雅黑"/>
          <w:position w:val="2"/>
        </w:rPr>
        <w:t xml:space="preserve">     </w:t>
      </w:r>
      <w:r>
        <w:rPr>
          <w:rFonts w:hint="eastAsia" w:ascii="宋体" w:hAnsi="宋体" w:cs="微软雅黑"/>
          <w:position w:val="2"/>
        </w:rPr>
        <w:t>（13）</w:t>
      </w:r>
    </w:p>
    <w:p w14:paraId="6E7C61C0">
      <w:pPr>
        <w:pStyle w:val="57"/>
        <w:ind w:firstLine="420"/>
      </w:pPr>
      <w:r>
        <w:t>式中</w:t>
      </w:r>
      <w:r>
        <w:rPr>
          <w:rFonts w:hint="eastAsia"/>
        </w:rPr>
        <w:t>：</w:t>
      </w:r>
    </w:p>
    <w:p w14:paraId="34BEE7D4">
      <w:pPr>
        <w:pStyle w:val="57"/>
        <w:ind w:firstLine="420"/>
      </w:pPr>
      <m:oMath>
        <m:r>
          <m:rPr/>
          <w:rPr>
            <w:rFonts w:ascii="Cambria Math" w:hAnsi="Cambria Math" w:cs="微软雅黑"/>
            <w:szCs w:val="21"/>
          </w:rPr>
          <m:t xml:space="preserve">CDI </m:t>
        </m:r>
      </m:oMath>
      <w:r>
        <w:t xml:space="preserve"> </w:t>
      </w:r>
      <w:r>
        <w:rPr>
          <w:rFonts w:hint="eastAsia"/>
        </w:rPr>
        <w:t>——</w:t>
      </w:r>
      <w:r>
        <w:t>综合硅藻指数</w:t>
      </w:r>
      <w:r>
        <w:rPr>
          <w:rFonts w:hint="eastAsia"/>
        </w:rPr>
        <w:t>；</w:t>
      </w:r>
    </w:p>
    <w:p w14:paraId="1AD08B35">
      <w:pPr>
        <w:pStyle w:val="57"/>
        <w:ind w:firstLine="420"/>
      </w:pPr>
      <m:oMath>
        <m:r>
          <m:rPr/>
          <w:rPr>
            <w:rFonts w:ascii="Cambria Math" w:hAnsi="Cambria Math" w:cs="微软雅黑"/>
            <w:szCs w:val="21"/>
          </w:rPr>
          <m:t>WMS</m:t>
        </m:r>
      </m:oMath>
      <w:r>
        <w:rPr>
          <w:rFonts w:hint="eastAsia"/>
        </w:rPr>
        <w:t>——</w:t>
      </w:r>
      <w:r>
        <w:t>硅藻基于环境因子的加权平均值</w:t>
      </w:r>
      <w:r>
        <w:rPr>
          <w:rFonts w:hint="eastAsia"/>
        </w:rPr>
        <w:t>；</w:t>
      </w:r>
    </w:p>
    <w:p w14:paraId="4D7925E7">
      <w:pPr>
        <w:pStyle w:val="57"/>
        <w:ind w:firstLine="420"/>
      </w:pPr>
      <m:oMath>
        <m:sSub>
          <m:sSubPr>
            <m:ctrlPr>
              <w:rPr>
                <w:rFonts w:ascii="Cambria Math" w:hAnsi="Cambria Math" w:cs="微软雅黑"/>
                <w:i/>
                <w:kern w:val="2"/>
                <w:szCs w:val="21"/>
              </w:rPr>
            </m:ctrlPr>
          </m:sSubPr>
          <m:e>
            <m:r>
              <m:rPr/>
              <w:rPr>
                <w:rFonts w:hint="eastAsia" w:ascii="Cambria Math" w:hAnsi="Cambria Math" w:cs="微软雅黑"/>
              </w:rPr>
              <m:t>a</m:t>
            </m:r>
            <m:ctrlPr>
              <w:rPr>
                <w:rFonts w:ascii="Cambria Math" w:hAnsi="Cambria Math" w:cs="微软雅黑"/>
                <w:i/>
                <w:kern w:val="2"/>
                <w:szCs w:val="21"/>
              </w:rPr>
            </m:ctrlPr>
          </m:e>
          <m:sub>
            <m:r>
              <m:rPr/>
              <w:rPr>
                <w:rFonts w:hint="eastAsia" w:ascii="Cambria Math" w:hAnsi="Cambria Math" w:cs="微软雅黑"/>
              </w:rPr>
              <m:t>j</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w:t>
      </w:r>
      <w:r>
        <w:t>硅藻物种j的相对丰度</w:t>
      </w:r>
      <w:r>
        <w:rPr>
          <w:rFonts w:hint="eastAsia"/>
        </w:rPr>
        <w:t>；</w:t>
      </w:r>
    </w:p>
    <w:p w14:paraId="3BAFEADB">
      <w:pPr>
        <w:pStyle w:val="57"/>
        <w:ind w:firstLine="420"/>
      </w:pPr>
      <m:oMath>
        <m:sSub>
          <m:sSubPr>
            <m:ctrlPr>
              <w:rPr>
                <w:rFonts w:ascii="Cambria Math" w:hAnsi="Cambria Math" w:cs="微软雅黑"/>
                <w:i/>
                <w:kern w:val="2"/>
                <w:szCs w:val="21"/>
              </w:rPr>
            </m:ctrlPr>
          </m:sSubPr>
          <m:e>
            <m:r>
              <m:rPr/>
              <w:rPr>
                <w:rFonts w:hint="eastAsia" w:ascii="Cambria Math" w:hAnsi="Cambria Math" w:cs="微软雅黑"/>
              </w:rPr>
              <m:t>v</m:t>
            </m:r>
            <m:ctrlPr>
              <w:rPr>
                <w:rFonts w:ascii="Cambria Math" w:hAnsi="Cambria Math" w:cs="微软雅黑"/>
                <w:i/>
                <w:kern w:val="2"/>
                <w:szCs w:val="21"/>
              </w:rPr>
            </m:ctrlPr>
          </m:e>
          <m:sub>
            <m:r>
              <m:rPr/>
              <w:rPr>
                <w:rFonts w:hint="eastAsia" w:ascii="Cambria Math" w:hAnsi="Cambria Math" w:cs="微软雅黑"/>
              </w:rPr>
              <m:t>j</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w:t>
      </w:r>
      <w:r>
        <w:t>硅藻物种j对环境的敏感值</w:t>
      </w:r>
      <w:r>
        <w:rPr>
          <w:rFonts w:hint="eastAsia"/>
        </w:rPr>
        <w:t>；</w:t>
      </w:r>
    </w:p>
    <w:p w14:paraId="66D1A886">
      <w:pPr>
        <w:pStyle w:val="57"/>
        <w:ind w:firstLine="420"/>
      </w:pPr>
      <m:oMath>
        <m:sSub>
          <m:sSubPr>
            <m:ctrlPr>
              <w:rPr>
                <w:rFonts w:ascii="Cambria Math" w:hAnsi="Cambria Math" w:cs="微软雅黑"/>
                <w:i/>
                <w:kern w:val="2"/>
                <w:szCs w:val="21"/>
              </w:rPr>
            </m:ctrlPr>
          </m:sSubPr>
          <m:e>
            <m:r>
              <m:rPr/>
              <w:rPr>
                <w:rFonts w:hint="eastAsia" w:ascii="Cambria Math" w:hAnsi="Cambria Math" w:cs="微软雅黑"/>
              </w:rPr>
              <m:t>i</m:t>
            </m:r>
            <m:ctrlPr>
              <w:rPr>
                <w:rFonts w:ascii="Cambria Math" w:hAnsi="Cambria Math" w:cs="微软雅黑"/>
                <w:i/>
                <w:kern w:val="2"/>
                <w:szCs w:val="21"/>
              </w:rPr>
            </m:ctrlPr>
          </m:e>
          <m:sub>
            <m:r>
              <m:rPr/>
              <w:rPr>
                <w:rFonts w:hint="eastAsia" w:ascii="Cambria Math" w:hAnsi="Cambria Math" w:cs="微软雅黑"/>
              </w:rPr>
              <m:t>j</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w:t>
      </w:r>
      <w:r>
        <w:t>硅藻物种j对环境的指示值</w:t>
      </w:r>
      <w:r>
        <w:rPr>
          <w:rFonts w:hint="eastAsia"/>
        </w:rPr>
        <w:t>。</w:t>
      </w:r>
    </w:p>
    <w:p w14:paraId="143B1C23">
      <w:pPr>
        <w:pStyle w:val="113"/>
        <w:spacing w:before="156" w:after="156"/>
      </w:pPr>
      <w:r>
        <w:t>综合硅藻指数赋分标准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84"/>
        <w:gridCol w:w="1108"/>
        <w:gridCol w:w="1108"/>
        <w:gridCol w:w="1109"/>
        <w:gridCol w:w="1108"/>
        <w:gridCol w:w="1108"/>
        <w:gridCol w:w="1109"/>
      </w:tblGrid>
      <w:tr w14:paraId="22B44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684" w:type="dxa"/>
            <w:tcBorders>
              <w:top w:val="single" w:color="auto" w:sz="8" w:space="0"/>
              <w:bottom w:val="single" w:color="auto" w:sz="8" w:space="0"/>
            </w:tcBorders>
            <w:shd w:val="clear" w:color="auto" w:fill="auto"/>
          </w:tcPr>
          <w:p w14:paraId="651F9A77">
            <w:pPr>
              <w:pStyle w:val="179"/>
              <w:rPr>
                <w:rFonts w:hAnsi="宋体"/>
              </w:rPr>
            </w:pPr>
            <w:r>
              <w:rPr>
                <w:rFonts w:hAnsi="宋体"/>
              </w:rPr>
              <w:t>综合硅藻指数</w:t>
            </w:r>
            <w:r>
              <w:rPr>
                <w:rFonts w:hint="eastAsia" w:hAnsi="宋体"/>
              </w:rPr>
              <w:t>（</w:t>
            </w:r>
            <w:r>
              <w:rPr>
                <w:rFonts w:hAnsi="宋体"/>
              </w:rPr>
              <w:t>CDI</w:t>
            </w:r>
            <w:r>
              <w:rPr>
                <w:rFonts w:hint="eastAsia" w:hAnsi="宋体"/>
              </w:rPr>
              <w:t>）</w:t>
            </w:r>
          </w:p>
        </w:tc>
        <w:tc>
          <w:tcPr>
            <w:tcW w:w="1108" w:type="dxa"/>
            <w:tcBorders>
              <w:top w:val="single" w:color="auto" w:sz="8" w:space="0"/>
              <w:bottom w:val="single" w:color="auto" w:sz="8" w:space="0"/>
            </w:tcBorders>
            <w:shd w:val="clear" w:color="auto" w:fill="auto"/>
          </w:tcPr>
          <w:p w14:paraId="0875A6C5">
            <w:pPr>
              <w:pStyle w:val="179"/>
              <w:rPr>
                <w:rFonts w:hAnsi="宋体"/>
              </w:rPr>
            </w:pPr>
            <w:r>
              <w:rPr>
                <w:rFonts w:hAnsi="宋体"/>
              </w:rPr>
              <w:t>≤10</w:t>
            </w:r>
          </w:p>
        </w:tc>
        <w:tc>
          <w:tcPr>
            <w:tcW w:w="1108" w:type="dxa"/>
            <w:tcBorders>
              <w:top w:val="single" w:color="auto" w:sz="8" w:space="0"/>
              <w:bottom w:val="single" w:color="auto" w:sz="8" w:space="0"/>
            </w:tcBorders>
            <w:shd w:val="clear" w:color="auto" w:fill="auto"/>
          </w:tcPr>
          <w:p w14:paraId="248B7762">
            <w:pPr>
              <w:pStyle w:val="179"/>
              <w:rPr>
                <w:rFonts w:hAnsi="宋体"/>
              </w:rPr>
            </w:pPr>
            <w:r>
              <w:rPr>
                <w:rFonts w:hAnsi="宋体"/>
              </w:rPr>
              <w:t>30</w:t>
            </w:r>
          </w:p>
        </w:tc>
        <w:tc>
          <w:tcPr>
            <w:tcW w:w="1109" w:type="dxa"/>
            <w:tcBorders>
              <w:top w:val="single" w:color="auto" w:sz="8" w:space="0"/>
              <w:bottom w:val="single" w:color="auto" w:sz="8" w:space="0"/>
            </w:tcBorders>
            <w:shd w:val="clear" w:color="auto" w:fill="auto"/>
          </w:tcPr>
          <w:p w14:paraId="156FBDB3">
            <w:pPr>
              <w:pStyle w:val="179"/>
              <w:rPr>
                <w:rFonts w:hAnsi="宋体"/>
              </w:rPr>
            </w:pPr>
            <w:r>
              <w:rPr>
                <w:rFonts w:hAnsi="宋体"/>
              </w:rPr>
              <w:t>50</w:t>
            </w:r>
          </w:p>
        </w:tc>
        <w:tc>
          <w:tcPr>
            <w:tcW w:w="1108" w:type="dxa"/>
            <w:tcBorders>
              <w:top w:val="single" w:color="auto" w:sz="8" w:space="0"/>
              <w:bottom w:val="single" w:color="auto" w:sz="8" w:space="0"/>
            </w:tcBorders>
            <w:shd w:val="clear" w:color="auto" w:fill="auto"/>
          </w:tcPr>
          <w:p w14:paraId="7ACD405C">
            <w:pPr>
              <w:pStyle w:val="179"/>
              <w:rPr>
                <w:rFonts w:hAnsi="宋体"/>
              </w:rPr>
            </w:pPr>
            <w:r>
              <w:rPr>
                <w:rFonts w:hAnsi="宋体"/>
              </w:rPr>
              <w:t>65</w:t>
            </w:r>
          </w:p>
        </w:tc>
        <w:tc>
          <w:tcPr>
            <w:tcW w:w="1108" w:type="dxa"/>
            <w:tcBorders>
              <w:top w:val="single" w:color="auto" w:sz="8" w:space="0"/>
              <w:bottom w:val="single" w:color="auto" w:sz="8" w:space="0"/>
            </w:tcBorders>
            <w:shd w:val="clear" w:color="auto" w:fill="auto"/>
          </w:tcPr>
          <w:p w14:paraId="2F2AFC70">
            <w:pPr>
              <w:pStyle w:val="179"/>
              <w:rPr>
                <w:rFonts w:hAnsi="宋体"/>
              </w:rPr>
            </w:pPr>
            <w:r>
              <w:rPr>
                <w:rFonts w:hAnsi="宋体"/>
              </w:rPr>
              <w:t>80</w:t>
            </w:r>
          </w:p>
        </w:tc>
        <w:tc>
          <w:tcPr>
            <w:tcW w:w="1109" w:type="dxa"/>
            <w:tcBorders>
              <w:top w:val="single" w:color="auto" w:sz="8" w:space="0"/>
              <w:bottom w:val="single" w:color="auto" w:sz="8" w:space="0"/>
            </w:tcBorders>
            <w:shd w:val="clear" w:color="auto" w:fill="auto"/>
          </w:tcPr>
          <w:p w14:paraId="1F2327A3">
            <w:pPr>
              <w:pStyle w:val="179"/>
              <w:rPr>
                <w:rFonts w:hAnsi="宋体"/>
              </w:rPr>
            </w:pPr>
            <w:r>
              <w:rPr>
                <w:rFonts w:hAnsi="宋体"/>
              </w:rPr>
              <w:t>100</w:t>
            </w:r>
          </w:p>
        </w:tc>
      </w:tr>
      <w:tr w14:paraId="5D9C90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tcBorders>
              <w:top w:val="single" w:color="auto" w:sz="8" w:space="0"/>
            </w:tcBorders>
            <w:shd w:val="clear" w:color="auto" w:fill="auto"/>
          </w:tcPr>
          <w:p w14:paraId="7A38B1ED">
            <w:pPr>
              <w:pStyle w:val="179"/>
              <w:rPr>
                <w:rFonts w:hAnsi="宋体"/>
              </w:rPr>
            </w:pPr>
            <w:r>
              <w:rPr>
                <w:rFonts w:hAnsi="宋体"/>
              </w:rPr>
              <w:t>赋分/分</w:t>
            </w:r>
          </w:p>
        </w:tc>
        <w:tc>
          <w:tcPr>
            <w:tcW w:w="1108" w:type="dxa"/>
            <w:tcBorders>
              <w:top w:val="single" w:color="auto" w:sz="8" w:space="0"/>
            </w:tcBorders>
            <w:shd w:val="clear" w:color="auto" w:fill="auto"/>
          </w:tcPr>
          <w:p w14:paraId="6C0EC994">
            <w:pPr>
              <w:pStyle w:val="179"/>
              <w:rPr>
                <w:rFonts w:hAnsi="宋体"/>
              </w:rPr>
            </w:pPr>
            <w:r>
              <w:rPr>
                <w:rFonts w:hAnsi="宋体"/>
              </w:rPr>
              <w:t>100</w:t>
            </w:r>
          </w:p>
        </w:tc>
        <w:tc>
          <w:tcPr>
            <w:tcW w:w="1108" w:type="dxa"/>
            <w:tcBorders>
              <w:top w:val="single" w:color="auto" w:sz="8" w:space="0"/>
            </w:tcBorders>
            <w:shd w:val="clear" w:color="auto" w:fill="auto"/>
          </w:tcPr>
          <w:p w14:paraId="0E5835F8">
            <w:pPr>
              <w:pStyle w:val="179"/>
              <w:rPr>
                <w:rFonts w:hAnsi="宋体"/>
              </w:rPr>
            </w:pPr>
            <w:r>
              <w:rPr>
                <w:rFonts w:hAnsi="宋体"/>
              </w:rPr>
              <w:t>85</w:t>
            </w:r>
          </w:p>
        </w:tc>
        <w:tc>
          <w:tcPr>
            <w:tcW w:w="1109" w:type="dxa"/>
            <w:tcBorders>
              <w:top w:val="single" w:color="auto" w:sz="8" w:space="0"/>
            </w:tcBorders>
            <w:shd w:val="clear" w:color="auto" w:fill="auto"/>
          </w:tcPr>
          <w:p w14:paraId="691B20AA">
            <w:pPr>
              <w:pStyle w:val="179"/>
              <w:rPr>
                <w:rFonts w:hAnsi="宋体"/>
              </w:rPr>
            </w:pPr>
            <w:r>
              <w:rPr>
                <w:rFonts w:hAnsi="宋体"/>
              </w:rPr>
              <w:t>65</w:t>
            </w:r>
          </w:p>
        </w:tc>
        <w:tc>
          <w:tcPr>
            <w:tcW w:w="1108" w:type="dxa"/>
            <w:tcBorders>
              <w:top w:val="single" w:color="auto" w:sz="8" w:space="0"/>
            </w:tcBorders>
            <w:shd w:val="clear" w:color="auto" w:fill="auto"/>
          </w:tcPr>
          <w:p w14:paraId="50C11517">
            <w:pPr>
              <w:pStyle w:val="179"/>
              <w:rPr>
                <w:rFonts w:hAnsi="宋体"/>
              </w:rPr>
            </w:pPr>
            <w:r>
              <w:rPr>
                <w:rFonts w:hAnsi="宋体"/>
              </w:rPr>
              <w:t>40</w:t>
            </w:r>
          </w:p>
        </w:tc>
        <w:tc>
          <w:tcPr>
            <w:tcW w:w="1108" w:type="dxa"/>
            <w:tcBorders>
              <w:top w:val="single" w:color="auto" w:sz="8" w:space="0"/>
            </w:tcBorders>
            <w:shd w:val="clear" w:color="auto" w:fill="auto"/>
          </w:tcPr>
          <w:p w14:paraId="1A52EC73">
            <w:pPr>
              <w:pStyle w:val="179"/>
              <w:rPr>
                <w:rFonts w:hAnsi="宋体"/>
              </w:rPr>
            </w:pPr>
            <w:r>
              <w:rPr>
                <w:rFonts w:hAnsi="宋体"/>
              </w:rPr>
              <w:t>20</w:t>
            </w:r>
          </w:p>
        </w:tc>
        <w:tc>
          <w:tcPr>
            <w:tcW w:w="1109" w:type="dxa"/>
            <w:tcBorders>
              <w:top w:val="single" w:color="auto" w:sz="8" w:space="0"/>
            </w:tcBorders>
            <w:shd w:val="clear" w:color="auto" w:fill="auto"/>
          </w:tcPr>
          <w:p w14:paraId="7A45AA20">
            <w:pPr>
              <w:pStyle w:val="179"/>
              <w:rPr>
                <w:rFonts w:hAnsi="宋体"/>
              </w:rPr>
            </w:pPr>
            <w:r>
              <w:rPr>
                <w:rFonts w:hAnsi="宋体"/>
              </w:rPr>
              <w:t>0</w:t>
            </w:r>
          </w:p>
        </w:tc>
      </w:tr>
    </w:tbl>
    <w:p w14:paraId="798038E2">
      <w:pPr>
        <w:pStyle w:val="106"/>
        <w:spacing w:before="156" w:after="156"/>
      </w:pPr>
      <w:bookmarkStart w:id="103" w:name="_Toc242796902"/>
      <w:bookmarkStart w:id="104" w:name="_Toc242804746"/>
      <w:r>
        <w:rPr>
          <w:rFonts w:hint="eastAsia"/>
        </w:rPr>
        <w:t>浮游植物密度</w:t>
      </w:r>
      <w:bookmarkEnd w:id="103"/>
      <w:bookmarkEnd w:id="104"/>
    </w:p>
    <w:p w14:paraId="47133E9F">
      <w:pPr>
        <w:pStyle w:val="166"/>
        <w:rPr>
          <w:b/>
          <w:bCs/>
        </w:rPr>
      </w:pPr>
      <w:r>
        <w:t>浮游植物密度评价根据实际情况</w:t>
      </w:r>
      <w:r>
        <w:rPr>
          <w:rFonts w:hint="eastAsia"/>
        </w:rPr>
        <w:t>，</w:t>
      </w:r>
      <w:r>
        <w:t>选用参考点倍数法或直接评判赋分法。</w:t>
      </w:r>
    </w:p>
    <w:p w14:paraId="485631CD">
      <w:pPr>
        <w:pStyle w:val="166"/>
      </w:pPr>
      <w:r>
        <w:t>参考点倍数法采用评价年浮游植物密度与参考点浮游植物密度比值确定</w:t>
      </w:r>
      <w:r>
        <w:rPr>
          <w:rFonts w:hint="eastAsia"/>
        </w:rPr>
        <w:t>，</w:t>
      </w:r>
      <w:r>
        <w:t>赋分标准见表21</w:t>
      </w:r>
      <w:r>
        <w:rPr>
          <w:rFonts w:hint="eastAsia"/>
        </w:rPr>
        <w:t>，</w:t>
      </w:r>
      <w:r>
        <w:t>采用线性插值法计算。</w:t>
      </w:r>
    </w:p>
    <w:p w14:paraId="08F308BF">
      <w:pPr>
        <w:pStyle w:val="113"/>
        <w:spacing w:before="156" w:after="156"/>
      </w:pPr>
      <w:r>
        <w:t>浮游植物密度赋分标准</w:t>
      </w:r>
      <w:r>
        <w:rPr>
          <w:rFonts w:hint="eastAsia"/>
        </w:rPr>
        <w:t>（</w:t>
      </w:r>
      <w:r>
        <w:t>参考点倍数法</w:t>
      </w:r>
      <w:r>
        <w:rPr>
          <w:rFonts w:hint="eastAsia"/>
        </w:rPr>
        <w:t>）</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84"/>
        <w:gridCol w:w="1330"/>
        <w:gridCol w:w="1330"/>
        <w:gridCol w:w="1330"/>
        <w:gridCol w:w="1330"/>
        <w:gridCol w:w="1330"/>
      </w:tblGrid>
      <w:tr w14:paraId="73D42B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684" w:type="dxa"/>
            <w:tcBorders>
              <w:top w:val="single" w:color="auto" w:sz="8" w:space="0"/>
              <w:bottom w:val="single" w:color="auto" w:sz="8" w:space="0"/>
            </w:tcBorders>
            <w:shd w:val="clear" w:color="auto" w:fill="auto"/>
          </w:tcPr>
          <w:p w14:paraId="14556503">
            <w:pPr>
              <w:pStyle w:val="179"/>
              <w:rPr>
                <w:rFonts w:hAnsi="宋体"/>
              </w:rPr>
            </w:pPr>
            <w:r>
              <w:rPr>
                <w:rFonts w:hAnsi="宋体"/>
              </w:rPr>
              <w:t>浮游植物密度倍数</w:t>
            </w:r>
          </w:p>
        </w:tc>
        <w:tc>
          <w:tcPr>
            <w:tcW w:w="1330" w:type="dxa"/>
            <w:tcBorders>
              <w:top w:val="single" w:color="auto" w:sz="8" w:space="0"/>
              <w:bottom w:val="single" w:color="auto" w:sz="8" w:space="0"/>
            </w:tcBorders>
            <w:shd w:val="clear" w:color="auto" w:fill="auto"/>
          </w:tcPr>
          <w:p w14:paraId="2B10D552">
            <w:pPr>
              <w:pStyle w:val="179"/>
              <w:rPr>
                <w:rFonts w:hAnsi="宋体"/>
              </w:rPr>
            </w:pPr>
            <w:r>
              <w:rPr>
                <w:rFonts w:hAnsi="宋体"/>
              </w:rPr>
              <w:t>≤1</w:t>
            </w:r>
          </w:p>
        </w:tc>
        <w:tc>
          <w:tcPr>
            <w:tcW w:w="1330" w:type="dxa"/>
            <w:tcBorders>
              <w:top w:val="single" w:color="auto" w:sz="8" w:space="0"/>
              <w:bottom w:val="single" w:color="auto" w:sz="8" w:space="0"/>
            </w:tcBorders>
            <w:shd w:val="clear" w:color="auto" w:fill="auto"/>
          </w:tcPr>
          <w:p w14:paraId="3FD46B3A">
            <w:pPr>
              <w:pStyle w:val="179"/>
              <w:rPr>
                <w:rFonts w:hAnsi="宋体"/>
              </w:rPr>
            </w:pPr>
            <w:r>
              <w:rPr>
                <w:rFonts w:hAnsi="宋体"/>
              </w:rPr>
              <w:t>10</w:t>
            </w:r>
          </w:p>
        </w:tc>
        <w:tc>
          <w:tcPr>
            <w:tcW w:w="1330" w:type="dxa"/>
            <w:tcBorders>
              <w:top w:val="single" w:color="auto" w:sz="8" w:space="0"/>
              <w:bottom w:val="single" w:color="auto" w:sz="8" w:space="0"/>
            </w:tcBorders>
            <w:shd w:val="clear" w:color="auto" w:fill="auto"/>
          </w:tcPr>
          <w:p w14:paraId="53227200">
            <w:pPr>
              <w:pStyle w:val="179"/>
              <w:rPr>
                <w:rFonts w:hAnsi="宋体"/>
              </w:rPr>
            </w:pPr>
            <w:r>
              <w:rPr>
                <w:rFonts w:hAnsi="宋体"/>
              </w:rPr>
              <w:t>50</w:t>
            </w:r>
          </w:p>
        </w:tc>
        <w:tc>
          <w:tcPr>
            <w:tcW w:w="1330" w:type="dxa"/>
            <w:tcBorders>
              <w:top w:val="single" w:color="auto" w:sz="8" w:space="0"/>
              <w:bottom w:val="single" w:color="auto" w:sz="8" w:space="0"/>
            </w:tcBorders>
            <w:shd w:val="clear" w:color="auto" w:fill="auto"/>
          </w:tcPr>
          <w:p w14:paraId="6B7C5359">
            <w:pPr>
              <w:pStyle w:val="179"/>
              <w:rPr>
                <w:rFonts w:hAnsi="宋体"/>
              </w:rPr>
            </w:pPr>
            <w:r>
              <w:rPr>
                <w:rFonts w:hAnsi="宋体"/>
              </w:rPr>
              <w:t>100</w:t>
            </w:r>
          </w:p>
        </w:tc>
        <w:tc>
          <w:tcPr>
            <w:tcW w:w="1330" w:type="dxa"/>
            <w:tcBorders>
              <w:top w:val="single" w:color="auto" w:sz="8" w:space="0"/>
              <w:bottom w:val="single" w:color="auto" w:sz="8" w:space="0"/>
            </w:tcBorders>
            <w:shd w:val="clear" w:color="auto" w:fill="auto"/>
          </w:tcPr>
          <w:p w14:paraId="1B966602">
            <w:pPr>
              <w:pStyle w:val="179"/>
              <w:rPr>
                <w:rFonts w:hAnsi="宋体"/>
              </w:rPr>
            </w:pPr>
            <w:r>
              <w:rPr>
                <w:rFonts w:hAnsi="宋体"/>
              </w:rPr>
              <w:t>≥150</w:t>
            </w:r>
          </w:p>
        </w:tc>
      </w:tr>
      <w:tr w14:paraId="665A1F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tcBorders>
              <w:top w:val="single" w:color="auto" w:sz="8" w:space="0"/>
            </w:tcBorders>
            <w:shd w:val="clear" w:color="auto" w:fill="auto"/>
          </w:tcPr>
          <w:p w14:paraId="2D8740A5">
            <w:pPr>
              <w:pStyle w:val="179"/>
              <w:rPr>
                <w:rFonts w:hAnsi="宋体"/>
              </w:rPr>
            </w:pPr>
            <w:r>
              <w:rPr>
                <w:rFonts w:hAnsi="宋体"/>
              </w:rPr>
              <w:t>赋分/分</w:t>
            </w:r>
          </w:p>
        </w:tc>
        <w:tc>
          <w:tcPr>
            <w:tcW w:w="1330" w:type="dxa"/>
            <w:tcBorders>
              <w:top w:val="single" w:color="auto" w:sz="8" w:space="0"/>
            </w:tcBorders>
            <w:shd w:val="clear" w:color="auto" w:fill="auto"/>
          </w:tcPr>
          <w:p w14:paraId="38C7C180">
            <w:pPr>
              <w:pStyle w:val="179"/>
              <w:rPr>
                <w:rFonts w:hAnsi="宋体"/>
              </w:rPr>
            </w:pPr>
            <w:r>
              <w:rPr>
                <w:rFonts w:hAnsi="宋体"/>
              </w:rPr>
              <w:t>100</w:t>
            </w:r>
          </w:p>
        </w:tc>
        <w:tc>
          <w:tcPr>
            <w:tcW w:w="1330" w:type="dxa"/>
            <w:tcBorders>
              <w:top w:val="single" w:color="auto" w:sz="8" w:space="0"/>
            </w:tcBorders>
            <w:shd w:val="clear" w:color="auto" w:fill="auto"/>
          </w:tcPr>
          <w:p w14:paraId="625710E2">
            <w:pPr>
              <w:pStyle w:val="179"/>
              <w:rPr>
                <w:rFonts w:hAnsi="宋体"/>
              </w:rPr>
            </w:pPr>
            <w:r>
              <w:rPr>
                <w:rFonts w:hAnsi="宋体"/>
              </w:rPr>
              <w:t>60</w:t>
            </w:r>
          </w:p>
        </w:tc>
        <w:tc>
          <w:tcPr>
            <w:tcW w:w="1330" w:type="dxa"/>
            <w:tcBorders>
              <w:top w:val="single" w:color="auto" w:sz="8" w:space="0"/>
            </w:tcBorders>
            <w:shd w:val="clear" w:color="auto" w:fill="auto"/>
          </w:tcPr>
          <w:p w14:paraId="412F8F95">
            <w:pPr>
              <w:pStyle w:val="179"/>
              <w:rPr>
                <w:rFonts w:hAnsi="宋体"/>
              </w:rPr>
            </w:pPr>
            <w:r>
              <w:rPr>
                <w:rFonts w:hAnsi="宋体"/>
              </w:rPr>
              <w:t>40</w:t>
            </w:r>
          </w:p>
        </w:tc>
        <w:tc>
          <w:tcPr>
            <w:tcW w:w="1330" w:type="dxa"/>
            <w:tcBorders>
              <w:top w:val="single" w:color="auto" w:sz="8" w:space="0"/>
            </w:tcBorders>
            <w:shd w:val="clear" w:color="auto" w:fill="auto"/>
          </w:tcPr>
          <w:p w14:paraId="58A42D08">
            <w:pPr>
              <w:pStyle w:val="179"/>
              <w:rPr>
                <w:rFonts w:hAnsi="宋体"/>
              </w:rPr>
            </w:pPr>
            <w:r>
              <w:rPr>
                <w:rFonts w:hAnsi="宋体"/>
              </w:rPr>
              <w:t>20</w:t>
            </w:r>
          </w:p>
        </w:tc>
        <w:tc>
          <w:tcPr>
            <w:tcW w:w="1330" w:type="dxa"/>
            <w:tcBorders>
              <w:top w:val="single" w:color="auto" w:sz="8" w:space="0"/>
            </w:tcBorders>
            <w:shd w:val="clear" w:color="auto" w:fill="auto"/>
          </w:tcPr>
          <w:p w14:paraId="2D6066F2">
            <w:pPr>
              <w:pStyle w:val="179"/>
              <w:rPr>
                <w:rFonts w:hAnsi="宋体"/>
              </w:rPr>
            </w:pPr>
            <w:r>
              <w:rPr>
                <w:rFonts w:hAnsi="宋体"/>
              </w:rPr>
              <w:t>0</w:t>
            </w:r>
          </w:p>
        </w:tc>
      </w:tr>
    </w:tbl>
    <w:p w14:paraId="6057BEC2">
      <w:pPr>
        <w:pStyle w:val="57"/>
        <w:ind w:firstLine="420"/>
      </w:pPr>
    </w:p>
    <w:p w14:paraId="78F3A9A5">
      <w:pPr>
        <w:pStyle w:val="166"/>
      </w:pPr>
      <w:r>
        <w:t>无参考点时</w:t>
      </w:r>
      <w:r>
        <w:rPr>
          <w:rFonts w:hint="eastAsia"/>
        </w:rPr>
        <w:t>，</w:t>
      </w:r>
      <w:r>
        <w:t>可采用直接评判赋分法</w:t>
      </w:r>
      <w:r>
        <w:rPr>
          <w:rFonts w:hint="eastAsia"/>
        </w:rPr>
        <w:t>，</w:t>
      </w:r>
      <w:r>
        <w:t>赋分标准见表22</w:t>
      </w:r>
      <w:r>
        <w:rPr>
          <w:rFonts w:hint="eastAsia"/>
        </w:rPr>
        <w:t>，</w:t>
      </w:r>
      <w:r>
        <w:t>采用线性插值法计算。</w:t>
      </w:r>
    </w:p>
    <w:p w14:paraId="36C021B1">
      <w:pPr>
        <w:pStyle w:val="113"/>
        <w:spacing w:before="156" w:after="156"/>
      </w:pPr>
      <w:r>
        <w:t>浮游植物密度赋分标准</w:t>
      </w:r>
      <w:r>
        <w:rPr>
          <w:rFonts w:hint="eastAsia"/>
        </w:rPr>
        <w:t>（直接评判赋分法）</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84"/>
        <w:gridCol w:w="1330"/>
        <w:gridCol w:w="1330"/>
        <w:gridCol w:w="1330"/>
        <w:gridCol w:w="1330"/>
        <w:gridCol w:w="1330"/>
      </w:tblGrid>
      <w:tr w14:paraId="79B7D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684" w:type="dxa"/>
            <w:tcBorders>
              <w:top w:val="single" w:color="auto" w:sz="8" w:space="0"/>
              <w:bottom w:val="single" w:color="auto" w:sz="8" w:space="0"/>
            </w:tcBorders>
            <w:shd w:val="clear" w:color="auto" w:fill="auto"/>
          </w:tcPr>
          <w:p w14:paraId="3D51DED2">
            <w:pPr>
              <w:pStyle w:val="179"/>
              <w:rPr>
                <w:rFonts w:hAnsi="宋体"/>
              </w:rPr>
            </w:pPr>
            <w:r>
              <w:rPr>
                <w:rFonts w:hAnsi="宋体"/>
              </w:rPr>
              <w:t>浮游植物密度  (</w:t>
            </w:r>
            <w:r>
              <w:rPr>
                <w:rFonts w:hint="eastAsia" w:hAnsi="宋体"/>
              </w:rPr>
              <w:t>×10</w:t>
            </w:r>
            <w:r>
              <w:rPr>
                <w:rFonts w:hint="eastAsia" w:hAnsi="宋体"/>
                <w:vertAlign w:val="superscript"/>
              </w:rPr>
              <w:t>4</w:t>
            </w:r>
            <w:r>
              <w:rPr>
                <w:rFonts w:hAnsi="宋体"/>
              </w:rPr>
              <w:t xml:space="preserve"> cells/L)</w:t>
            </w:r>
          </w:p>
        </w:tc>
        <w:tc>
          <w:tcPr>
            <w:tcW w:w="1330" w:type="dxa"/>
            <w:tcBorders>
              <w:top w:val="single" w:color="auto" w:sz="8" w:space="0"/>
              <w:bottom w:val="single" w:color="auto" w:sz="8" w:space="0"/>
            </w:tcBorders>
            <w:shd w:val="clear" w:color="auto" w:fill="auto"/>
          </w:tcPr>
          <w:p w14:paraId="08DDF61C">
            <w:pPr>
              <w:pStyle w:val="179"/>
              <w:rPr>
                <w:rFonts w:hAnsi="宋体"/>
              </w:rPr>
            </w:pPr>
            <w:r>
              <w:rPr>
                <w:rFonts w:hAnsi="宋体"/>
              </w:rPr>
              <w:t>≤40</w:t>
            </w:r>
          </w:p>
        </w:tc>
        <w:tc>
          <w:tcPr>
            <w:tcW w:w="1330" w:type="dxa"/>
            <w:tcBorders>
              <w:top w:val="single" w:color="auto" w:sz="8" w:space="0"/>
              <w:bottom w:val="single" w:color="auto" w:sz="8" w:space="0"/>
            </w:tcBorders>
            <w:shd w:val="clear" w:color="auto" w:fill="auto"/>
          </w:tcPr>
          <w:p w14:paraId="46373F27">
            <w:pPr>
              <w:pStyle w:val="179"/>
              <w:rPr>
                <w:rFonts w:hAnsi="宋体"/>
              </w:rPr>
            </w:pPr>
            <w:r>
              <w:rPr>
                <w:rFonts w:hAnsi="宋体"/>
              </w:rPr>
              <w:t>200</w:t>
            </w:r>
          </w:p>
        </w:tc>
        <w:tc>
          <w:tcPr>
            <w:tcW w:w="1330" w:type="dxa"/>
            <w:tcBorders>
              <w:top w:val="single" w:color="auto" w:sz="8" w:space="0"/>
              <w:bottom w:val="single" w:color="auto" w:sz="8" w:space="0"/>
            </w:tcBorders>
            <w:shd w:val="clear" w:color="auto" w:fill="auto"/>
          </w:tcPr>
          <w:p w14:paraId="507E90BC">
            <w:pPr>
              <w:pStyle w:val="179"/>
              <w:rPr>
                <w:rFonts w:hAnsi="宋体"/>
              </w:rPr>
            </w:pPr>
            <w:r>
              <w:rPr>
                <w:rFonts w:hAnsi="宋体"/>
              </w:rPr>
              <w:t>500</w:t>
            </w:r>
          </w:p>
        </w:tc>
        <w:tc>
          <w:tcPr>
            <w:tcW w:w="1330" w:type="dxa"/>
            <w:tcBorders>
              <w:top w:val="single" w:color="auto" w:sz="8" w:space="0"/>
              <w:bottom w:val="single" w:color="auto" w:sz="8" w:space="0"/>
            </w:tcBorders>
            <w:shd w:val="clear" w:color="auto" w:fill="auto"/>
          </w:tcPr>
          <w:p w14:paraId="228366C6">
            <w:pPr>
              <w:pStyle w:val="179"/>
              <w:rPr>
                <w:rFonts w:hAnsi="宋体"/>
              </w:rPr>
            </w:pPr>
            <w:r>
              <w:rPr>
                <w:rFonts w:hAnsi="宋体"/>
              </w:rPr>
              <w:t>1000</w:t>
            </w:r>
          </w:p>
        </w:tc>
        <w:tc>
          <w:tcPr>
            <w:tcW w:w="1330" w:type="dxa"/>
            <w:tcBorders>
              <w:top w:val="single" w:color="auto" w:sz="8" w:space="0"/>
              <w:bottom w:val="single" w:color="auto" w:sz="8" w:space="0"/>
            </w:tcBorders>
            <w:shd w:val="clear" w:color="auto" w:fill="auto"/>
          </w:tcPr>
          <w:p w14:paraId="260A71AE">
            <w:pPr>
              <w:pStyle w:val="179"/>
              <w:rPr>
                <w:rFonts w:hAnsi="宋体"/>
              </w:rPr>
            </w:pPr>
            <w:r>
              <w:rPr>
                <w:rFonts w:hAnsi="宋体"/>
              </w:rPr>
              <w:t>≥5000</w:t>
            </w:r>
          </w:p>
        </w:tc>
      </w:tr>
      <w:tr w14:paraId="0400DF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tcBorders>
              <w:top w:val="single" w:color="auto" w:sz="8" w:space="0"/>
            </w:tcBorders>
            <w:shd w:val="clear" w:color="auto" w:fill="auto"/>
          </w:tcPr>
          <w:p w14:paraId="1D0FCF4D">
            <w:pPr>
              <w:pStyle w:val="179"/>
              <w:rPr>
                <w:rFonts w:hAnsi="宋体"/>
              </w:rPr>
            </w:pPr>
            <w:r>
              <w:rPr>
                <w:rFonts w:hAnsi="宋体"/>
              </w:rPr>
              <w:t>赋分/分</w:t>
            </w:r>
          </w:p>
        </w:tc>
        <w:tc>
          <w:tcPr>
            <w:tcW w:w="1330" w:type="dxa"/>
            <w:tcBorders>
              <w:top w:val="single" w:color="auto" w:sz="8" w:space="0"/>
            </w:tcBorders>
            <w:shd w:val="clear" w:color="auto" w:fill="auto"/>
          </w:tcPr>
          <w:p w14:paraId="02907A58">
            <w:pPr>
              <w:pStyle w:val="179"/>
              <w:rPr>
                <w:rFonts w:hAnsi="宋体"/>
              </w:rPr>
            </w:pPr>
            <w:r>
              <w:rPr>
                <w:rFonts w:hAnsi="宋体"/>
              </w:rPr>
              <w:t>100</w:t>
            </w:r>
          </w:p>
        </w:tc>
        <w:tc>
          <w:tcPr>
            <w:tcW w:w="1330" w:type="dxa"/>
            <w:tcBorders>
              <w:top w:val="single" w:color="auto" w:sz="8" w:space="0"/>
            </w:tcBorders>
            <w:shd w:val="clear" w:color="auto" w:fill="auto"/>
          </w:tcPr>
          <w:p w14:paraId="7BB22C60">
            <w:pPr>
              <w:pStyle w:val="179"/>
              <w:rPr>
                <w:rFonts w:hAnsi="宋体"/>
              </w:rPr>
            </w:pPr>
            <w:r>
              <w:rPr>
                <w:rFonts w:hAnsi="宋体"/>
              </w:rPr>
              <w:t>60</w:t>
            </w:r>
          </w:p>
        </w:tc>
        <w:tc>
          <w:tcPr>
            <w:tcW w:w="1330" w:type="dxa"/>
            <w:tcBorders>
              <w:top w:val="single" w:color="auto" w:sz="8" w:space="0"/>
            </w:tcBorders>
            <w:shd w:val="clear" w:color="auto" w:fill="auto"/>
          </w:tcPr>
          <w:p w14:paraId="7D5D57BC">
            <w:pPr>
              <w:pStyle w:val="179"/>
              <w:rPr>
                <w:rFonts w:hAnsi="宋体"/>
              </w:rPr>
            </w:pPr>
            <w:r>
              <w:rPr>
                <w:rFonts w:hAnsi="宋体"/>
              </w:rPr>
              <w:t>40</w:t>
            </w:r>
          </w:p>
        </w:tc>
        <w:tc>
          <w:tcPr>
            <w:tcW w:w="1330" w:type="dxa"/>
            <w:tcBorders>
              <w:top w:val="single" w:color="auto" w:sz="8" w:space="0"/>
            </w:tcBorders>
            <w:shd w:val="clear" w:color="auto" w:fill="auto"/>
          </w:tcPr>
          <w:p w14:paraId="00FBB79E">
            <w:pPr>
              <w:pStyle w:val="179"/>
              <w:rPr>
                <w:rFonts w:hAnsi="宋体"/>
              </w:rPr>
            </w:pPr>
            <w:r>
              <w:rPr>
                <w:rFonts w:hAnsi="宋体"/>
              </w:rPr>
              <w:t>30</w:t>
            </w:r>
          </w:p>
        </w:tc>
        <w:tc>
          <w:tcPr>
            <w:tcW w:w="1330" w:type="dxa"/>
            <w:tcBorders>
              <w:top w:val="single" w:color="auto" w:sz="8" w:space="0"/>
            </w:tcBorders>
            <w:shd w:val="clear" w:color="auto" w:fill="auto"/>
          </w:tcPr>
          <w:p w14:paraId="53BFE6AA">
            <w:pPr>
              <w:pStyle w:val="179"/>
              <w:rPr>
                <w:rFonts w:hAnsi="宋体"/>
              </w:rPr>
            </w:pPr>
            <w:r>
              <w:rPr>
                <w:rFonts w:hAnsi="宋体"/>
              </w:rPr>
              <w:t>0</w:t>
            </w:r>
          </w:p>
        </w:tc>
      </w:tr>
    </w:tbl>
    <w:p w14:paraId="1C812288">
      <w:pPr>
        <w:pStyle w:val="106"/>
        <w:spacing w:before="156" w:after="156"/>
      </w:pPr>
      <w:bookmarkStart w:id="105" w:name="_Toc242804747"/>
      <w:bookmarkStart w:id="106" w:name="_Toc242796903"/>
      <w:r>
        <w:rPr>
          <w:rFonts w:hint="eastAsia"/>
        </w:rPr>
        <w:t>水生维管植物覆盖度</w:t>
      </w:r>
      <w:bookmarkEnd w:id="105"/>
      <w:bookmarkEnd w:id="106"/>
    </w:p>
    <w:p w14:paraId="21167E78">
      <w:pPr>
        <w:pStyle w:val="57"/>
        <w:ind w:firstLine="420"/>
      </w:pPr>
      <w:r>
        <w:rPr>
          <w:rFonts w:hint="eastAsia"/>
        </w:rPr>
        <w:t>对具有景观功能和生态功能的湖泊评价水生维管植物覆盖度</w:t>
      </w:r>
      <w:r>
        <w:t>。评价湖泊岸线水向区内的挺水植物、浮水植物和沉水植物中非外来物种的总覆盖度。依据评价年水生维管植物覆盖度变化值占参考点覆盖度的百分比确定</w:t>
      </w:r>
      <w:r>
        <w:rPr>
          <w:rFonts w:hint="eastAsia"/>
        </w:rPr>
        <w:t>，</w:t>
      </w:r>
      <w:r>
        <w:t>赋分标准见表23</w:t>
      </w:r>
      <w:r>
        <w:rPr>
          <w:rFonts w:hint="eastAsia"/>
        </w:rPr>
        <w:t>，</w:t>
      </w:r>
      <w:r>
        <w:t>采用线性插值法计算。</w:t>
      </w:r>
    </w:p>
    <w:p w14:paraId="76FE8ADF">
      <w:pPr>
        <w:pStyle w:val="113"/>
        <w:spacing w:before="156" w:after="156"/>
      </w:pPr>
      <w:r>
        <w:t>水生维管植物覆盖度赋分标准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75"/>
        <w:gridCol w:w="1471"/>
        <w:gridCol w:w="1472"/>
        <w:gridCol w:w="1472"/>
        <w:gridCol w:w="1472"/>
        <w:gridCol w:w="1472"/>
      </w:tblGrid>
      <w:tr w14:paraId="07F35A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975" w:type="dxa"/>
            <w:tcBorders>
              <w:top w:val="single" w:color="auto" w:sz="8" w:space="0"/>
              <w:bottom w:val="single" w:color="auto" w:sz="8" w:space="0"/>
            </w:tcBorders>
            <w:shd w:val="clear" w:color="auto" w:fill="auto"/>
            <w:vAlign w:val="center"/>
          </w:tcPr>
          <w:p w14:paraId="009401A7">
            <w:pPr>
              <w:pStyle w:val="179"/>
              <w:rPr>
                <w:rFonts w:hAnsi="宋体"/>
              </w:rPr>
            </w:pPr>
            <w:r>
              <w:rPr>
                <w:rFonts w:hAnsi="宋体"/>
              </w:rPr>
              <w:t>水生维管植物覆盖度</w:t>
            </w:r>
          </w:p>
          <w:p w14:paraId="4BC160C4">
            <w:pPr>
              <w:pStyle w:val="179"/>
              <w:rPr>
                <w:rFonts w:hAnsi="宋体"/>
              </w:rPr>
            </w:pPr>
            <w:r>
              <w:rPr>
                <w:rFonts w:hAnsi="宋体"/>
              </w:rPr>
              <w:t>变化比例/%</w:t>
            </w:r>
          </w:p>
        </w:tc>
        <w:tc>
          <w:tcPr>
            <w:tcW w:w="1471" w:type="dxa"/>
            <w:tcBorders>
              <w:top w:val="single" w:color="auto" w:sz="8" w:space="0"/>
              <w:bottom w:val="single" w:color="auto" w:sz="8" w:space="0"/>
            </w:tcBorders>
            <w:shd w:val="clear" w:color="auto" w:fill="auto"/>
            <w:vAlign w:val="center"/>
          </w:tcPr>
          <w:p w14:paraId="54AA2DB9">
            <w:pPr>
              <w:pStyle w:val="179"/>
              <w:rPr>
                <w:rFonts w:hAnsi="宋体"/>
              </w:rPr>
            </w:pPr>
            <w:r>
              <w:rPr>
                <w:rFonts w:hAnsi="宋体"/>
              </w:rPr>
              <w:t>≤5</w:t>
            </w:r>
          </w:p>
        </w:tc>
        <w:tc>
          <w:tcPr>
            <w:tcW w:w="1472" w:type="dxa"/>
            <w:tcBorders>
              <w:top w:val="single" w:color="auto" w:sz="8" w:space="0"/>
              <w:bottom w:val="single" w:color="auto" w:sz="8" w:space="0"/>
            </w:tcBorders>
            <w:shd w:val="clear" w:color="auto" w:fill="auto"/>
            <w:vAlign w:val="center"/>
          </w:tcPr>
          <w:p w14:paraId="1FA8E8FA">
            <w:pPr>
              <w:pStyle w:val="179"/>
              <w:rPr>
                <w:rFonts w:hAnsi="宋体"/>
              </w:rPr>
            </w:pPr>
            <w:r>
              <w:rPr>
                <w:rFonts w:hAnsi="宋体"/>
              </w:rPr>
              <w:t>10</w:t>
            </w:r>
          </w:p>
        </w:tc>
        <w:tc>
          <w:tcPr>
            <w:tcW w:w="1472" w:type="dxa"/>
            <w:tcBorders>
              <w:top w:val="single" w:color="auto" w:sz="8" w:space="0"/>
              <w:bottom w:val="single" w:color="auto" w:sz="8" w:space="0"/>
            </w:tcBorders>
            <w:shd w:val="clear" w:color="auto" w:fill="auto"/>
            <w:vAlign w:val="center"/>
          </w:tcPr>
          <w:p w14:paraId="2DFE7F56">
            <w:pPr>
              <w:pStyle w:val="179"/>
              <w:rPr>
                <w:rFonts w:hAnsi="宋体"/>
              </w:rPr>
            </w:pPr>
            <w:r>
              <w:rPr>
                <w:rFonts w:hAnsi="宋体"/>
              </w:rPr>
              <w:t>25</w:t>
            </w:r>
          </w:p>
        </w:tc>
        <w:tc>
          <w:tcPr>
            <w:tcW w:w="1472" w:type="dxa"/>
            <w:tcBorders>
              <w:top w:val="single" w:color="auto" w:sz="8" w:space="0"/>
              <w:bottom w:val="single" w:color="auto" w:sz="8" w:space="0"/>
            </w:tcBorders>
            <w:shd w:val="clear" w:color="auto" w:fill="auto"/>
            <w:vAlign w:val="center"/>
          </w:tcPr>
          <w:p w14:paraId="1767C8C8">
            <w:pPr>
              <w:pStyle w:val="179"/>
              <w:rPr>
                <w:rFonts w:hAnsi="宋体"/>
              </w:rPr>
            </w:pPr>
            <w:r>
              <w:rPr>
                <w:rFonts w:hAnsi="宋体"/>
              </w:rPr>
              <w:t>50</w:t>
            </w:r>
          </w:p>
        </w:tc>
        <w:tc>
          <w:tcPr>
            <w:tcW w:w="1472" w:type="dxa"/>
            <w:tcBorders>
              <w:top w:val="single" w:color="auto" w:sz="8" w:space="0"/>
              <w:bottom w:val="single" w:color="auto" w:sz="8" w:space="0"/>
            </w:tcBorders>
            <w:shd w:val="clear" w:color="auto" w:fill="auto"/>
            <w:vAlign w:val="center"/>
          </w:tcPr>
          <w:p w14:paraId="038E5F86">
            <w:pPr>
              <w:pStyle w:val="179"/>
              <w:rPr>
                <w:rFonts w:hAnsi="宋体"/>
              </w:rPr>
            </w:pPr>
            <w:r>
              <w:rPr>
                <w:rFonts w:hAnsi="宋体"/>
              </w:rPr>
              <w:t>≥75</w:t>
            </w:r>
          </w:p>
        </w:tc>
      </w:tr>
      <w:tr w14:paraId="1BF906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tcBorders>
              <w:top w:val="single" w:color="auto" w:sz="8" w:space="0"/>
            </w:tcBorders>
            <w:shd w:val="clear" w:color="auto" w:fill="auto"/>
            <w:vAlign w:val="center"/>
          </w:tcPr>
          <w:p w14:paraId="1DDE94F4">
            <w:pPr>
              <w:pStyle w:val="179"/>
              <w:rPr>
                <w:rFonts w:hAnsi="宋体"/>
              </w:rPr>
            </w:pPr>
            <w:r>
              <w:rPr>
                <w:rFonts w:hAnsi="宋体"/>
              </w:rPr>
              <w:t>说明</w:t>
            </w:r>
          </w:p>
        </w:tc>
        <w:tc>
          <w:tcPr>
            <w:tcW w:w="1471" w:type="dxa"/>
            <w:tcBorders>
              <w:top w:val="single" w:color="auto" w:sz="8" w:space="0"/>
            </w:tcBorders>
            <w:shd w:val="clear" w:color="auto" w:fill="auto"/>
            <w:vAlign w:val="center"/>
          </w:tcPr>
          <w:p w14:paraId="7F050F15">
            <w:pPr>
              <w:pStyle w:val="179"/>
              <w:rPr>
                <w:rFonts w:hAnsi="宋体"/>
              </w:rPr>
            </w:pPr>
            <w:r>
              <w:rPr>
                <w:rFonts w:hAnsi="宋体"/>
              </w:rPr>
              <w:t>接近参考点状况</w:t>
            </w:r>
          </w:p>
        </w:tc>
        <w:tc>
          <w:tcPr>
            <w:tcW w:w="1472" w:type="dxa"/>
            <w:tcBorders>
              <w:top w:val="single" w:color="auto" w:sz="8" w:space="0"/>
            </w:tcBorders>
            <w:shd w:val="clear" w:color="auto" w:fill="auto"/>
            <w:vAlign w:val="center"/>
          </w:tcPr>
          <w:p w14:paraId="12BE68F9">
            <w:pPr>
              <w:pStyle w:val="179"/>
              <w:rPr>
                <w:rFonts w:hAnsi="宋体"/>
              </w:rPr>
            </w:pPr>
            <w:r>
              <w:rPr>
                <w:rFonts w:hAnsi="宋体"/>
              </w:rPr>
              <w:t>与参考点状况</w:t>
            </w:r>
          </w:p>
          <w:p w14:paraId="00208C8C">
            <w:pPr>
              <w:pStyle w:val="179"/>
              <w:rPr>
                <w:rFonts w:hAnsi="宋体"/>
              </w:rPr>
            </w:pPr>
            <w:r>
              <w:rPr>
                <w:rFonts w:hAnsi="宋体"/>
              </w:rPr>
              <w:t>有较小差异</w:t>
            </w:r>
          </w:p>
        </w:tc>
        <w:tc>
          <w:tcPr>
            <w:tcW w:w="1472" w:type="dxa"/>
            <w:tcBorders>
              <w:top w:val="single" w:color="auto" w:sz="8" w:space="0"/>
            </w:tcBorders>
            <w:shd w:val="clear" w:color="auto" w:fill="auto"/>
            <w:vAlign w:val="center"/>
          </w:tcPr>
          <w:p w14:paraId="0DEF65A3">
            <w:pPr>
              <w:pStyle w:val="179"/>
              <w:rPr>
                <w:rFonts w:hAnsi="宋体"/>
              </w:rPr>
            </w:pPr>
            <w:r>
              <w:rPr>
                <w:rFonts w:hAnsi="宋体"/>
              </w:rPr>
              <w:t>与参考点状况</w:t>
            </w:r>
          </w:p>
          <w:p w14:paraId="7BBC8A55">
            <w:pPr>
              <w:pStyle w:val="179"/>
              <w:rPr>
                <w:rFonts w:hAnsi="宋体"/>
              </w:rPr>
            </w:pPr>
            <w:r>
              <w:rPr>
                <w:rFonts w:hAnsi="宋体"/>
              </w:rPr>
              <w:t>有中度差异</w:t>
            </w:r>
          </w:p>
        </w:tc>
        <w:tc>
          <w:tcPr>
            <w:tcW w:w="1472" w:type="dxa"/>
            <w:tcBorders>
              <w:top w:val="single" w:color="auto" w:sz="8" w:space="0"/>
            </w:tcBorders>
            <w:shd w:val="clear" w:color="auto" w:fill="auto"/>
            <w:vAlign w:val="center"/>
          </w:tcPr>
          <w:p w14:paraId="4AE63B9A">
            <w:pPr>
              <w:pStyle w:val="179"/>
              <w:rPr>
                <w:rFonts w:hAnsi="宋体"/>
              </w:rPr>
            </w:pPr>
            <w:r>
              <w:rPr>
                <w:rFonts w:hAnsi="宋体"/>
              </w:rPr>
              <w:t>与参考点状况</w:t>
            </w:r>
          </w:p>
          <w:p w14:paraId="0B13D6EB">
            <w:pPr>
              <w:pStyle w:val="179"/>
              <w:rPr>
                <w:rFonts w:hAnsi="宋体"/>
              </w:rPr>
            </w:pPr>
            <w:r>
              <w:rPr>
                <w:rFonts w:hAnsi="宋体"/>
              </w:rPr>
              <w:t>有较大差异</w:t>
            </w:r>
          </w:p>
        </w:tc>
        <w:tc>
          <w:tcPr>
            <w:tcW w:w="1472" w:type="dxa"/>
            <w:tcBorders>
              <w:top w:val="single" w:color="auto" w:sz="8" w:space="0"/>
            </w:tcBorders>
            <w:shd w:val="clear" w:color="auto" w:fill="auto"/>
            <w:vAlign w:val="center"/>
          </w:tcPr>
          <w:p w14:paraId="1CCCB6C2">
            <w:pPr>
              <w:pStyle w:val="179"/>
              <w:rPr>
                <w:rFonts w:hAnsi="宋体"/>
              </w:rPr>
            </w:pPr>
            <w:r>
              <w:rPr>
                <w:rFonts w:hAnsi="宋体"/>
              </w:rPr>
              <w:t>与参考点状况</w:t>
            </w:r>
          </w:p>
          <w:p w14:paraId="1328B6C9">
            <w:pPr>
              <w:pStyle w:val="179"/>
              <w:rPr>
                <w:rFonts w:hAnsi="宋体"/>
              </w:rPr>
            </w:pPr>
            <w:r>
              <w:rPr>
                <w:rFonts w:hAnsi="宋体"/>
              </w:rPr>
              <w:t>有显著差异</w:t>
            </w:r>
          </w:p>
        </w:tc>
      </w:tr>
      <w:tr w14:paraId="7706E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3B7943EB">
            <w:pPr>
              <w:pStyle w:val="179"/>
              <w:rPr>
                <w:rFonts w:hAnsi="宋体"/>
              </w:rPr>
            </w:pPr>
            <w:r>
              <w:rPr>
                <w:rFonts w:hAnsi="宋体"/>
              </w:rPr>
              <w:t>赋分/分</w:t>
            </w:r>
          </w:p>
        </w:tc>
        <w:tc>
          <w:tcPr>
            <w:tcW w:w="1471" w:type="dxa"/>
            <w:shd w:val="clear" w:color="auto" w:fill="auto"/>
            <w:vAlign w:val="center"/>
          </w:tcPr>
          <w:p w14:paraId="362F558E">
            <w:pPr>
              <w:pStyle w:val="179"/>
              <w:rPr>
                <w:rFonts w:hAnsi="宋体"/>
              </w:rPr>
            </w:pPr>
            <w:r>
              <w:rPr>
                <w:rFonts w:hAnsi="宋体"/>
              </w:rPr>
              <w:t>100</w:t>
            </w:r>
          </w:p>
        </w:tc>
        <w:tc>
          <w:tcPr>
            <w:tcW w:w="1472" w:type="dxa"/>
            <w:shd w:val="clear" w:color="auto" w:fill="auto"/>
            <w:vAlign w:val="center"/>
          </w:tcPr>
          <w:p w14:paraId="50F1F17E">
            <w:pPr>
              <w:pStyle w:val="179"/>
              <w:rPr>
                <w:rFonts w:hAnsi="宋体"/>
              </w:rPr>
            </w:pPr>
            <w:r>
              <w:rPr>
                <w:rFonts w:hAnsi="宋体"/>
              </w:rPr>
              <w:t>75</w:t>
            </w:r>
          </w:p>
        </w:tc>
        <w:tc>
          <w:tcPr>
            <w:tcW w:w="1472" w:type="dxa"/>
            <w:shd w:val="clear" w:color="auto" w:fill="auto"/>
            <w:vAlign w:val="center"/>
          </w:tcPr>
          <w:p w14:paraId="6CCA3E7F">
            <w:pPr>
              <w:pStyle w:val="179"/>
              <w:rPr>
                <w:rFonts w:hAnsi="宋体"/>
              </w:rPr>
            </w:pPr>
            <w:r>
              <w:rPr>
                <w:rFonts w:hAnsi="宋体"/>
              </w:rPr>
              <w:t>50</w:t>
            </w:r>
          </w:p>
        </w:tc>
        <w:tc>
          <w:tcPr>
            <w:tcW w:w="1472" w:type="dxa"/>
            <w:shd w:val="clear" w:color="auto" w:fill="auto"/>
            <w:vAlign w:val="center"/>
          </w:tcPr>
          <w:p w14:paraId="25CC722B">
            <w:pPr>
              <w:pStyle w:val="179"/>
              <w:rPr>
                <w:rFonts w:hAnsi="宋体"/>
              </w:rPr>
            </w:pPr>
            <w:r>
              <w:rPr>
                <w:rFonts w:hAnsi="宋体"/>
              </w:rPr>
              <w:t>25</w:t>
            </w:r>
          </w:p>
        </w:tc>
        <w:tc>
          <w:tcPr>
            <w:tcW w:w="1472" w:type="dxa"/>
            <w:shd w:val="clear" w:color="auto" w:fill="auto"/>
            <w:vAlign w:val="center"/>
          </w:tcPr>
          <w:p w14:paraId="2F44A1FB">
            <w:pPr>
              <w:pStyle w:val="179"/>
              <w:rPr>
                <w:rFonts w:hAnsi="宋体"/>
              </w:rPr>
            </w:pPr>
            <w:r>
              <w:rPr>
                <w:rFonts w:hAnsi="宋体"/>
              </w:rPr>
              <w:t>0</w:t>
            </w:r>
          </w:p>
        </w:tc>
      </w:tr>
    </w:tbl>
    <w:p w14:paraId="0FB572E7">
      <w:pPr>
        <w:pStyle w:val="57"/>
        <w:ind w:firstLine="420"/>
      </w:pPr>
    </w:p>
    <w:p w14:paraId="2CD1DD70">
      <w:pPr>
        <w:pStyle w:val="106"/>
        <w:spacing w:before="156" w:after="156"/>
      </w:pPr>
      <w:bookmarkStart w:id="107" w:name="_Toc242796904"/>
      <w:bookmarkStart w:id="108" w:name="_Toc242804748"/>
      <w:r>
        <w:rPr>
          <w:rFonts w:hint="eastAsia"/>
        </w:rPr>
        <w:t>水鸟多样性指数</w:t>
      </w:r>
      <w:bookmarkEnd w:id="107"/>
      <w:bookmarkEnd w:id="108"/>
    </w:p>
    <w:p w14:paraId="0A28E10A">
      <w:pPr>
        <w:pStyle w:val="57"/>
        <w:ind w:firstLine="420"/>
      </w:pPr>
      <w:r>
        <w:rPr>
          <w:rFonts w:hint="eastAsia"/>
        </w:rPr>
        <w:t>对具有景观功能和生态功能的河湖评价水鸟多样性指数</w:t>
      </w:r>
      <w:r>
        <w:t>。</w:t>
      </w:r>
      <w:r>
        <w:rPr>
          <w:rFonts w:hint="eastAsia"/>
        </w:rPr>
        <w:t>水鸟多样性指数</w:t>
      </w:r>
      <w:r>
        <w:t>按公式</w:t>
      </w:r>
      <w:r>
        <w:rPr>
          <w:rFonts w:hint="eastAsia"/>
        </w:rPr>
        <w:t>（11）</w:t>
      </w:r>
      <w:r>
        <w:t>计算</w:t>
      </w:r>
      <w:r>
        <w:rPr>
          <w:rFonts w:hint="eastAsia"/>
        </w:rPr>
        <w:t>，</w:t>
      </w:r>
      <w:r>
        <w:t>赋分标准参考表17</w:t>
      </w:r>
      <w:r>
        <w:rPr>
          <w:rFonts w:hint="eastAsia"/>
        </w:rPr>
        <w:t>，采用线性插值法计算。</w:t>
      </w:r>
    </w:p>
    <w:p w14:paraId="5D4DFDD2">
      <w:pPr>
        <w:pStyle w:val="106"/>
        <w:spacing w:before="156" w:after="156"/>
      </w:pPr>
      <w:bookmarkStart w:id="109" w:name="_Toc242796905"/>
      <w:bookmarkStart w:id="110" w:name="_Toc242804749"/>
      <w:r>
        <w:rPr>
          <w:rFonts w:hint="eastAsia"/>
        </w:rPr>
        <w:t>浮游动物状况</w:t>
      </w:r>
      <w:bookmarkEnd w:id="109"/>
      <w:bookmarkEnd w:id="110"/>
    </w:p>
    <w:p w14:paraId="140F3C2E">
      <w:pPr>
        <w:pStyle w:val="57"/>
        <w:ind w:firstLine="420"/>
      </w:pPr>
      <w:r>
        <w:rPr>
          <w:rFonts w:hint="eastAsia"/>
        </w:rPr>
        <w:t>采用</w:t>
      </w:r>
      <w:r>
        <w:t>浮游动物物种</w:t>
      </w:r>
      <w:r>
        <w:rPr>
          <w:rFonts w:hint="eastAsia"/>
        </w:rPr>
        <w:t>数与</w:t>
      </w:r>
      <w:r>
        <w:t>参考点</w:t>
      </w:r>
      <w:r>
        <w:rPr>
          <w:rFonts w:hint="eastAsia"/>
        </w:rPr>
        <w:t>物种数</w:t>
      </w:r>
      <w:r>
        <w:t>的</w:t>
      </w:r>
      <w:r>
        <w:rPr>
          <w:rFonts w:hint="eastAsia"/>
        </w:rPr>
        <w:t>差异状况确定，</w:t>
      </w:r>
      <w:r>
        <w:rPr>
          <w:rFonts w:hAnsi="宋体" w:cs="宋体"/>
        </w:rPr>
        <w:t>赋分标准见表24</w:t>
      </w:r>
      <w:r>
        <w:rPr>
          <w:rFonts w:hint="eastAsia" w:hAnsi="宋体" w:cs="宋体"/>
        </w:rPr>
        <w:t>，</w:t>
      </w:r>
      <w:r>
        <w:rPr>
          <w:rFonts w:hAnsi="宋体" w:cs="宋体"/>
        </w:rPr>
        <w:t>采用线性插值法计算</w:t>
      </w:r>
      <w:r>
        <w:rPr>
          <w:rFonts w:hint="eastAsia"/>
        </w:rPr>
        <w:t>。</w:t>
      </w:r>
    </w:p>
    <w:p w14:paraId="278470DA">
      <w:pPr>
        <w:pStyle w:val="113"/>
        <w:spacing w:before="156" w:after="156"/>
      </w:pPr>
      <w:r>
        <w:t>浮游动物</w:t>
      </w:r>
      <w:r>
        <w:rPr>
          <w:rFonts w:hint="eastAsia"/>
        </w:rPr>
        <w:t>状况</w:t>
      </w:r>
      <w:r>
        <w:t>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818"/>
        <w:gridCol w:w="788"/>
        <w:gridCol w:w="788"/>
        <w:gridCol w:w="788"/>
        <w:gridCol w:w="788"/>
        <w:gridCol w:w="788"/>
        <w:gridCol w:w="788"/>
        <w:gridCol w:w="788"/>
      </w:tblGrid>
      <w:tr w14:paraId="02908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818" w:type="dxa"/>
            <w:tcBorders>
              <w:top w:val="single" w:color="auto" w:sz="8" w:space="0"/>
              <w:bottom w:val="single" w:color="auto" w:sz="8" w:space="0"/>
            </w:tcBorders>
            <w:shd w:val="clear" w:color="auto" w:fill="auto"/>
            <w:vAlign w:val="center"/>
          </w:tcPr>
          <w:p w14:paraId="61067366">
            <w:pPr>
              <w:pStyle w:val="179"/>
              <w:rPr>
                <w:rFonts w:hAnsi="宋体"/>
              </w:rPr>
            </w:pPr>
            <w:r>
              <w:rPr>
                <w:rFonts w:hint="eastAsia" w:hAnsi="宋体"/>
              </w:rPr>
              <w:t>浮游动物种类数量（剔除外来物种）/1980s以前浮游动物种类数量</w:t>
            </w:r>
          </w:p>
        </w:tc>
        <w:tc>
          <w:tcPr>
            <w:tcW w:w="788" w:type="dxa"/>
            <w:tcBorders>
              <w:top w:val="single" w:color="auto" w:sz="8" w:space="0"/>
              <w:bottom w:val="single" w:color="auto" w:sz="8" w:space="0"/>
            </w:tcBorders>
            <w:shd w:val="clear" w:color="auto" w:fill="auto"/>
            <w:vAlign w:val="center"/>
          </w:tcPr>
          <w:p w14:paraId="4F860D56">
            <w:pPr>
              <w:pStyle w:val="179"/>
              <w:rPr>
                <w:rFonts w:hAnsi="宋体"/>
              </w:rPr>
            </w:pPr>
            <w:r>
              <w:rPr>
                <w:rFonts w:hint="eastAsia" w:hAnsi="宋体"/>
              </w:rPr>
              <w:t>≥</w:t>
            </w:r>
            <w:r>
              <w:rPr>
                <w:rFonts w:hAnsi="宋体"/>
              </w:rPr>
              <w:t>1</w:t>
            </w:r>
          </w:p>
        </w:tc>
        <w:tc>
          <w:tcPr>
            <w:tcW w:w="788" w:type="dxa"/>
            <w:tcBorders>
              <w:top w:val="single" w:color="auto" w:sz="8" w:space="0"/>
              <w:bottom w:val="single" w:color="auto" w:sz="8" w:space="0"/>
            </w:tcBorders>
            <w:shd w:val="clear" w:color="auto" w:fill="auto"/>
            <w:vAlign w:val="center"/>
          </w:tcPr>
          <w:p w14:paraId="64BA6AB1">
            <w:pPr>
              <w:pStyle w:val="179"/>
              <w:rPr>
                <w:rFonts w:hAnsi="宋体"/>
              </w:rPr>
            </w:pPr>
            <w:r>
              <w:rPr>
                <w:rFonts w:hAnsi="宋体"/>
              </w:rPr>
              <w:t>0.85</w:t>
            </w:r>
          </w:p>
        </w:tc>
        <w:tc>
          <w:tcPr>
            <w:tcW w:w="788" w:type="dxa"/>
            <w:tcBorders>
              <w:top w:val="single" w:color="auto" w:sz="8" w:space="0"/>
              <w:bottom w:val="single" w:color="auto" w:sz="8" w:space="0"/>
            </w:tcBorders>
            <w:shd w:val="clear" w:color="auto" w:fill="auto"/>
            <w:vAlign w:val="center"/>
          </w:tcPr>
          <w:p w14:paraId="5E9BE8F5">
            <w:pPr>
              <w:pStyle w:val="179"/>
              <w:rPr>
                <w:rFonts w:hAnsi="宋体"/>
              </w:rPr>
            </w:pPr>
            <w:r>
              <w:rPr>
                <w:rFonts w:hAnsi="宋体"/>
              </w:rPr>
              <w:t>0.75</w:t>
            </w:r>
          </w:p>
        </w:tc>
        <w:tc>
          <w:tcPr>
            <w:tcW w:w="788" w:type="dxa"/>
            <w:tcBorders>
              <w:top w:val="single" w:color="auto" w:sz="8" w:space="0"/>
              <w:bottom w:val="single" w:color="auto" w:sz="8" w:space="0"/>
            </w:tcBorders>
            <w:shd w:val="clear" w:color="auto" w:fill="auto"/>
            <w:vAlign w:val="center"/>
          </w:tcPr>
          <w:p w14:paraId="1E44E4FC">
            <w:pPr>
              <w:pStyle w:val="179"/>
              <w:rPr>
                <w:rFonts w:hAnsi="宋体"/>
              </w:rPr>
            </w:pPr>
            <w:r>
              <w:rPr>
                <w:rFonts w:hAnsi="宋体"/>
              </w:rPr>
              <w:t>0.6</w:t>
            </w:r>
          </w:p>
        </w:tc>
        <w:tc>
          <w:tcPr>
            <w:tcW w:w="788" w:type="dxa"/>
            <w:tcBorders>
              <w:top w:val="single" w:color="auto" w:sz="8" w:space="0"/>
              <w:bottom w:val="single" w:color="auto" w:sz="8" w:space="0"/>
            </w:tcBorders>
            <w:shd w:val="clear" w:color="auto" w:fill="auto"/>
            <w:vAlign w:val="center"/>
          </w:tcPr>
          <w:p w14:paraId="54115330">
            <w:pPr>
              <w:pStyle w:val="179"/>
              <w:rPr>
                <w:rFonts w:hAnsi="宋体"/>
              </w:rPr>
            </w:pPr>
            <w:r>
              <w:rPr>
                <w:rFonts w:hAnsi="宋体"/>
              </w:rPr>
              <w:t>0.5</w:t>
            </w:r>
          </w:p>
        </w:tc>
        <w:tc>
          <w:tcPr>
            <w:tcW w:w="788" w:type="dxa"/>
            <w:tcBorders>
              <w:top w:val="single" w:color="auto" w:sz="8" w:space="0"/>
              <w:bottom w:val="single" w:color="auto" w:sz="8" w:space="0"/>
            </w:tcBorders>
            <w:shd w:val="clear" w:color="auto" w:fill="auto"/>
            <w:vAlign w:val="center"/>
          </w:tcPr>
          <w:p w14:paraId="37B148C1">
            <w:pPr>
              <w:pStyle w:val="179"/>
              <w:rPr>
                <w:rFonts w:hAnsi="宋体"/>
              </w:rPr>
            </w:pPr>
            <w:r>
              <w:rPr>
                <w:rFonts w:hAnsi="宋体"/>
              </w:rPr>
              <w:t>0.25</w:t>
            </w:r>
          </w:p>
        </w:tc>
        <w:tc>
          <w:tcPr>
            <w:tcW w:w="788" w:type="dxa"/>
            <w:tcBorders>
              <w:top w:val="single" w:color="auto" w:sz="8" w:space="0"/>
              <w:bottom w:val="single" w:color="auto" w:sz="8" w:space="0"/>
            </w:tcBorders>
            <w:shd w:val="clear" w:color="auto" w:fill="auto"/>
            <w:vAlign w:val="center"/>
          </w:tcPr>
          <w:p w14:paraId="2740F8AB">
            <w:pPr>
              <w:pStyle w:val="179"/>
              <w:rPr>
                <w:rFonts w:hAnsi="宋体"/>
              </w:rPr>
            </w:pPr>
            <w:r>
              <w:rPr>
                <w:rFonts w:hAnsi="宋体"/>
              </w:rPr>
              <w:t>0</w:t>
            </w:r>
          </w:p>
        </w:tc>
      </w:tr>
      <w:tr w14:paraId="4C94A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18" w:type="dxa"/>
            <w:tcBorders>
              <w:top w:val="single" w:color="auto" w:sz="8" w:space="0"/>
            </w:tcBorders>
            <w:shd w:val="clear" w:color="auto" w:fill="auto"/>
            <w:vAlign w:val="center"/>
          </w:tcPr>
          <w:p w14:paraId="7DDDABD0">
            <w:pPr>
              <w:pStyle w:val="179"/>
              <w:rPr>
                <w:rFonts w:hAnsi="宋体"/>
              </w:rPr>
            </w:pPr>
            <w:r>
              <w:rPr>
                <w:rFonts w:hAnsi="宋体"/>
              </w:rPr>
              <w:t>赋分</w:t>
            </w:r>
          </w:p>
        </w:tc>
        <w:tc>
          <w:tcPr>
            <w:tcW w:w="788" w:type="dxa"/>
            <w:tcBorders>
              <w:top w:val="single" w:color="auto" w:sz="8" w:space="0"/>
            </w:tcBorders>
            <w:shd w:val="clear" w:color="auto" w:fill="auto"/>
            <w:vAlign w:val="center"/>
          </w:tcPr>
          <w:p w14:paraId="3C154E5D">
            <w:pPr>
              <w:pStyle w:val="179"/>
              <w:rPr>
                <w:rFonts w:hAnsi="宋体"/>
              </w:rPr>
            </w:pPr>
            <w:r>
              <w:rPr>
                <w:rFonts w:hAnsi="宋体"/>
              </w:rPr>
              <w:t>100</w:t>
            </w:r>
          </w:p>
        </w:tc>
        <w:tc>
          <w:tcPr>
            <w:tcW w:w="788" w:type="dxa"/>
            <w:tcBorders>
              <w:top w:val="single" w:color="auto" w:sz="8" w:space="0"/>
            </w:tcBorders>
            <w:shd w:val="clear" w:color="auto" w:fill="auto"/>
            <w:vAlign w:val="center"/>
          </w:tcPr>
          <w:p w14:paraId="186C23AC">
            <w:pPr>
              <w:pStyle w:val="179"/>
              <w:rPr>
                <w:rFonts w:hAnsi="宋体"/>
              </w:rPr>
            </w:pPr>
            <w:r>
              <w:rPr>
                <w:rFonts w:hAnsi="宋体"/>
              </w:rPr>
              <w:t>80</w:t>
            </w:r>
          </w:p>
        </w:tc>
        <w:tc>
          <w:tcPr>
            <w:tcW w:w="788" w:type="dxa"/>
            <w:tcBorders>
              <w:top w:val="single" w:color="auto" w:sz="8" w:space="0"/>
            </w:tcBorders>
            <w:shd w:val="clear" w:color="auto" w:fill="auto"/>
            <w:vAlign w:val="center"/>
          </w:tcPr>
          <w:p w14:paraId="07A147D1">
            <w:pPr>
              <w:pStyle w:val="179"/>
              <w:rPr>
                <w:rFonts w:hAnsi="宋体"/>
              </w:rPr>
            </w:pPr>
            <w:r>
              <w:rPr>
                <w:rFonts w:hAnsi="宋体"/>
              </w:rPr>
              <w:t>60</w:t>
            </w:r>
          </w:p>
        </w:tc>
        <w:tc>
          <w:tcPr>
            <w:tcW w:w="788" w:type="dxa"/>
            <w:tcBorders>
              <w:top w:val="single" w:color="auto" w:sz="8" w:space="0"/>
            </w:tcBorders>
            <w:shd w:val="clear" w:color="auto" w:fill="auto"/>
            <w:vAlign w:val="center"/>
          </w:tcPr>
          <w:p w14:paraId="514CD798">
            <w:pPr>
              <w:pStyle w:val="179"/>
              <w:rPr>
                <w:rFonts w:hAnsi="宋体"/>
              </w:rPr>
            </w:pPr>
            <w:r>
              <w:rPr>
                <w:rFonts w:hAnsi="宋体"/>
              </w:rPr>
              <w:t>40</w:t>
            </w:r>
          </w:p>
        </w:tc>
        <w:tc>
          <w:tcPr>
            <w:tcW w:w="788" w:type="dxa"/>
            <w:tcBorders>
              <w:top w:val="single" w:color="auto" w:sz="8" w:space="0"/>
            </w:tcBorders>
            <w:shd w:val="clear" w:color="auto" w:fill="auto"/>
            <w:vAlign w:val="center"/>
          </w:tcPr>
          <w:p w14:paraId="0BF7C4AE">
            <w:pPr>
              <w:pStyle w:val="179"/>
              <w:rPr>
                <w:rFonts w:hAnsi="宋体"/>
              </w:rPr>
            </w:pPr>
            <w:r>
              <w:rPr>
                <w:rFonts w:hAnsi="宋体"/>
              </w:rPr>
              <w:t>30</w:t>
            </w:r>
          </w:p>
        </w:tc>
        <w:tc>
          <w:tcPr>
            <w:tcW w:w="788" w:type="dxa"/>
            <w:tcBorders>
              <w:top w:val="single" w:color="auto" w:sz="8" w:space="0"/>
            </w:tcBorders>
            <w:shd w:val="clear" w:color="auto" w:fill="auto"/>
          </w:tcPr>
          <w:p w14:paraId="3B40EE40">
            <w:pPr>
              <w:pStyle w:val="179"/>
              <w:rPr>
                <w:rFonts w:hAnsi="宋体"/>
              </w:rPr>
            </w:pPr>
            <w:r>
              <w:rPr>
                <w:rFonts w:hAnsi="宋体"/>
              </w:rPr>
              <w:t>10</w:t>
            </w:r>
          </w:p>
        </w:tc>
        <w:tc>
          <w:tcPr>
            <w:tcW w:w="788" w:type="dxa"/>
            <w:tcBorders>
              <w:top w:val="single" w:color="auto" w:sz="8" w:space="0"/>
            </w:tcBorders>
            <w:shd w:val="clear" w:color="auto" w:fill="auto"/>
          </w:tcPr>
          <w:p w14:paraId="4500D914">
            <w:pPr>
              <w:pStyle w:val="179"/>
              <w:rPr>
                <w:rFonts w:hAnsi="宋体"/>
              </w:rPr>
            </w:pPr>
            <w:r>
              <w:rPr>
                <w:rFonts w:hAnsi="宋体"/>
              </w:rPr>
              <w:t>0</w:t>
            </w:r>
          </w:p>
        </w:tc>
      </w:tr>
    </w:tbl>
    <w:p w14:paraId="6E36011A">
      <w:pPr>
        <w:pStyle w:val="106"/>
        <w:spacing w:before="156" w:after="156"/>
      </w:pPr>
      <w:bookmarkStart w:id="111" w:name="_Toc242804750"/>
      <w:bookmarkStart w:id="112" w:name="_Toc242796906"/>
      <w:r>
        <w:rPr>
          <w:rFonts w:hint="eastAsia"/>
        </w:rPr>
        <w:t>公众满意度</w:t>
      </w:r>
      <w:bookmarkEnd w:id="111"/>
      <w:bookmarkEnd w:id="112"/>
    </w:p>
    <w:p w14:paraId="28D53071">
      <w:pPr>
        <w:pStyle w:val="57"/>
        <w:ind w:firstLine="420"/>
      </w:pPr>
      <w:r>
        <w:rPr>
          <w:rFonts w:hint="eastAsia"/>
        </w:rPr>
        <w:t>评价公众对河湖水安全、岸线、水量、水环境、水生态、水景观与水文化等的满意程度，采用公众调查方法确定，其赋分取评价流域（区域）内参与调查的公众赋分的平均值，公众满意度问卷样表见附录</w:t>
      </w:r>
      <w:r>
        <w:t>A</w:t>
      </w:r>
      <w:r>
        <w:rPr>
          <w:rFonts w:hint="eastAsia"/>
        </w:rPr>
        <w:t>。</w:t>
      </w:r>
    </w:p>
    <w:p w14:paraId="15B02B68">
      <w:pPr>
        <w:pStyle w:val="106"/>
        <w:spacing w:before="156" w:after="156"/>
      </w:pPr>
      <w:bookmarkStart w:id="113" w:name="_Toc242796907"/>
      <w:bookmarkStart w:id="114" w:name="_Toc242804751"/>
      <w:r>
        <w:rPr>
          <w:rFonts w:hint="eastAsia"/>
        </w:rPr>
        <w:t>防洪（汛）达标率</w:t>
      </w:r>
      <w:bookmarkEnd w:id="113"/>
      <w:bookmarkEnd w:id="114"/>
    </w:p>
    <w:p w14:paraId="227DEBC8">
      <w:pPr>
        <w:pStyle w:val="57"/>
        <w:ind w:firstLine="420"/>
      </w:pPr>
      <w:r>
        <w:rPr>
          <w:rFonts w:hint="eastAsia"/>
        </w:rPr>
        <w:t>防洪（汛）达标率根据评价河段达到防洪（汛）标准的堤防长度占规划堤防总长度进行评价，按公式（14）计算，赋分标准见表</w:t>
      </w:r>
      <w:r>
        <w:t>25</w:t>
      </w:r>
      <w:r>
        <w:rPr>
          <w:rFonts w:hint="eastAsia"/>
        </w:rPr>
        <w:t>，采用线性插值法计算，评价年标准内洪水条件下，堤防工程及穿（跨）堤建筑物存在重大事故隐患的，防洪（汛）达标率直接赋0分。</w:t>
      </w:r>
    </w:p>
    <w:p w14:paraId="3154138E">
      <w:pPr>
        <w:spacing w:line="240" w:lineRule="auto"/>
        <w:ind w:right="58"/>
        <w:jc w:val="right"/>
        <w:rPr>
          <w:rFonts w:ascii="宋体" w:hAnsi="宋体"/>
        </w:rPr>
      </w:pPr>
      <m:oMath>
        <m:sSub>
          <m:sSubPr>
            <m:ctrlPr>
              <w:rPr>
                <w:rFonts w:ascii="Cambria Math" w:hAnsi="Cambria Math" w:cs="微软雅黑"/>
                <w:i/>
              </w:rPr>
            </m:ctrlPr>
          </m:sSubPr>
          <m:e>
            <m:r>
              <m:rPr/>
              <w:rPr>
                <w:rFonts w:ascii="Cambria Math" w:hAnsi="Cambria Math" w:cs="微软雅黑"/>
              </w:rPr>
              <m:t>I</m:t>
            </m:r>
            <m:ctrlPr>
              <w:rPr>
                <w:rFonts w:ascii="Cambria Math" w:hAnsi="Cambria Math" w:cs="微软雅黑"/>
                <w:i/>
              </w:rPr>
            </m:ctrlPr>
          </m:e>
          <m:sub>
            <m:r>
              <m:rPr/>
              <w:rPr>
                <w:rFonts w:hint="eastAsia" w:ascii="Cambria Math" w:hAnsi="Cambria Math" w:cs="微软雅黑"/>
              </w:rPr>
              <m:t>d</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l</m:t>
                </m:r>
                <m:ctrlPr>
                  <w:rPr>
                    <w:rFonts w:ascii="Cambria Math" w:hAnsi="Cambria Math" w:cs="微软雅黑"/>
                    <w:i/>
                  </w:rPr>
                </m:ctrlPr>
              </m:e>
              <m:sub>
                <m:r>
                  <m:rPr/>
                  <w:rPr>
                    <w:rFonts w:ascii="Cambria Math" w:hAnsi="Cambria Math" w:cs="微软雅黑"/>
                  </w:rPr>
                  <m:t>R</m:t>
                </m:r>
                <m:ctrlPr>
                  <w:rPr>
                    <w:rFonts w:ascii="Cambria Math" w:hAnsi="Cambria Math" w:cs="微软雅黑"/>
                    <w:i/>
                  </w:rPr>
                </m:ctrlPr>
              </m:sub>
            </m:sSub>
            <m:ctrlPr>
              <w:rPr>
                <w:rFonts w:ascii="Cambria Math" w:hAnsi="Cambria Math" w:cs="微软雅黑"/>
                <w:i/>
              </w:rPr>
            </m:ctrlPr>
          </m:num>
          <m:den>
            <m:sSub>
              <m:sSubPr>
                <m:ctrlPr>
                  <w:rPr>
                    <w:rFonts w:ascii="Cambria Math" w:hAnsi="Cambria Math" w:cs="微软雅黑"/>
                    <w:i/>
                  </w:rPr>
                </m:ctrlPr>
              </m:sSubPr>
              <m:e>
                <m:r>
                  <m:rPr/>
                  <w:rPr>
                    <w:rFonts w:ascii="Cambria Math" w:hAnsi="Cambria Math" w:cs="微软雅黑"/>
                  </w:rPr>
                  <m:t>L</m:t>
                </m:r>
                <m:ctrlPr>
                  <w:rPr>
                    <w:rFonts w:ascii="Cambria Math" w:hAnsi="Cambria Math" w:cs="微软雅黑"/>
                    <w:i/>
                  </w:rPr>
                </m:ctrlPr>
              </m:e>
              <m:sub>
                <m:r>
                  <m:rPr/>
                  <w:rPr>
                    <w:rFonts w:ascii="Cambria Math" w:hAnsi="Cambria Math" w:cs="微软雅黑"/>
                  </w:rPr>
                  <m:t>R</m:t>
                </m:r>
                <m:ctrlPr>
                  <w:rPr>
                    <w:rFonts w:ascii="Cambria Math" w:hAnsi="Cambria Math" w:cs="微软雅黑"/>
                    <w:i/>
                  </w:rPr>
                </m:ctrlPr>
              </m:sub>
            </m:sSub>
            <m:ctrlPr>
              <w:rPr>
                <w:rFonts w:ascii="Cambria Math" w:hAnsi="Cambria Math" w:cs="微软雅黑"/>
                <w:i/>
              </w:rPr>
            </m:ctrlPr>
          </m:den>
        </m:f>
        <m:r>
          <m:rPr/>
          <w:rPr>
            <w:rFonts w:ascii="Cambria Math" w:hAnsi="Cambria Math" w:cs="微软雅黑"/>
          </w:rPr>
          <m:t>×100</m:t>
        </m:r>
        <m:r>
          <m:rPr/>
          <w:rPr>
            <w:rFonts w:hint="eastAsia" w:ascii="Cambria Math" w:hAnsi="Cambria Math" w:cs="微软雅黑"/>
          </w:rPr>
          <m:t>%</m:t>
        </m:r>
      </m:oMath>
      <w:r>
        <w:rPr>
          <w:rFonts w:ascii="宋体" w:hAnsi="宋体" w:cs="微软雅黑"/>
        </w:rPr>
        <w:t xml:space="preserve">                                </w:t>
      </w:r>
      <w:r>
        <w:rPr>
          <w:rFonts w:hint="eastAsia" w:ascii="宋体" w:hAnsi="宋体" w:cs="微软雅黑"/>
          <w:position w:val="2"/>
        </w:rPr>
        <w:t>（14）</w:t>
      </w:r>
    </w:p>
    <w:p w14:paraId="017F0E6C">
      <w:pPr>
        <w:pStyle w:val="57"/>
        <w:ind w:firstLine="420"/>
      </w:pPr>
      <w:r>
        <w:t>式中</w:t>
      </w:r>
      <w:r>
        <w:rPr>
          <w:rFonts w:hint="eastAsia"/>
        </w:rPr>
        <w:t>：</w:t>
      </w:r>
    </w:p>
    <w:p w14:paraId="025904ED">
      <w:pPr>
        <w:pStyle w:val="57"/>
        <w:ind w:firstLine="420"/>
      </w:pPr>
      <m:oMath>
        <m:sSub>
          <m:sSubPr>
            <m:ctrlPr>
              <w:rPr>
                <w:rFonts w:ascii="Cambria Math" w:hAnsi="Cambria Math" w:cs="微软雅黑"/>
                <w:i/>
                <w:kern w:val="2"/>
                <w:szCs w:val="21"/>
              </w:rPr>
            </m:ctrlPr>
          </m:sSubPr>
          <m:e>
            <m:r>
              <m:rPr/>
              <w:rPr>
                <w:rFonts w:ascii="Cambria Math" w:hAnsi="Cambria Math" w:cs="微软雅黑"/>
              </w:rPr>
              <m:t>I</m:t>
            </m:r>
            <m:ctrlPr>
              <w:rPr>
                <w:rFonts w:ascii="Cambria Math" w:hAnsi="Cambria Math" w:cs="微软雅黑"/>
                <w:i/>
                <w:kern w:val="2"/>
                <w:szCs w:val="21"/>
              </w:rPr>
            </m:ctrlPr>
          </m:e>
          <m:sub>
            <m:r>
              <m:rPr/>
              <w:rPr>
                <w:rFonts w:hint="eastAsia" w:ascii="Cambria Math" w:hAnsi="Cambria Math" w:cs="微软雅黑"/>
              </w:rPr>
              <m:t>d</m:t>
            </m:r>
            <m:r>
              <m:rPr/>
              <w:rPr>
                <w:rFonts w:ascii="Cambria Math" w:hAnsi="Cambria Math" w:cs="微软雅黑"/>
              </w:rPr>
              <m:t xml:space="preserve">  </m:t>
            </m:r>
            <m:ctrlPr>
              <w:rPr>
                <w:rFonts w:ascii="Cambria Math" w:hAnsi="Cambria Math" w:cs="微软雅黑"/>
                <w:i/>
                <w:kern w:val="2"/>
                <w:szCs w:val="21"/>
              </w:rPr>
            </m:ctrlPr>
          </m:sub>
        </m:sSub>
      </m:oMath>
      <w:r>
        <w:t xml:space="preserve"> </w:t>
      </w:r>
      <w:r>
        <w:rPr>
          <w:rFonts w:hint="eastAsia"/>
        </w:rPr>
        <w:t>——</w:t>
      </w:r>
      <w:r>
        <w:t>评价河段</w:t>
      </w:r>
      <w:r>
        <w:rPr>
          <w:rFonts w:hint="eastAsia"/>
        </w:rPr>
        <w:t>防洪（汛）达标率；</w:t>
      </w:r>
    </w:p>
    <w:p w14:paraId="2C1EBAB6">
      <w:pPr>
        <w:pStyle w:val="57"/>
        <w:ind w:firstLine="420"/>
      </w:pPr>
      <m:oMath>
        <m:sSub>
          <m:sSubPr>
            <m:ctrlPr>
              <w:rPr>
                <w:rFonts w:ascii="Cambria Math" w:hAnsi="Cambria Math" w:cs="微软雅黑"/>
                <w:i/>
                <w:kern w:val="2"/>
                <w:szCs w:val="21"/>
              </w:rPr>
            </m:ctrlPr>
          </m:sSubPr>
          <m:e>
            <m:r>
              <m:rPr/>
              <w:rPr>
                <w:rFonts w:hint="eastAsia" w:ascii="Cambria Math" w:hAnsi="Cambria Math" w:cs="微软雅黑"/>
              </w:rPr>
              <m:t>l</m:t>
            </m:r>
            <m:ctrlPr>
              <w:rPr>
                <w:rFonts w:ascii="Cambria Math" w:hAnsi="Cambria Math" w:cs="微软雅黑"/>
                <w:i/>
                <w:kern w:val="2"/>
                <w:szCs w:val="21"/>
              </w:rPr>
            </m:ctrlPr>
          </m:e>
          <m:sub>
            <m:r>
              <m:rPr/>
              <w:rPr>
                <w:rFonts w:ascii="Cambria Math" w:hAnsi="Cambria Math" w:cs="微软雅黑"/>
              </w:rPr>
              <m:t xml:space="preserve">R  </m:t>
            </m:r>
            <m:ctrlPr>
              <w:rPr>
                <w:rFonts w:ascii="Cambria Math" w:hAnsi="Cambria Math" w:cs="微软雅黑"/>
                <w:i/>
                <w:kern w:val="2"/>
                <w:szCs w:val="21"/>
              </w:rPr>
            </m:ctrlPr>
          </m:sub>
        </m:sSub>
      </m:oMath>
      <w:r>
        <w:t xml:space="preserve"> </w:t>
      </w:r>
      <w:r>
        <w:rPr>
          <w:rFonts w:hint="eastAsia"/>
        </w:rPr>
        <w:t>——</w:t>
      </w:r>
      <w:r>
        <w:t>河流达到防洪</w:t>
      </w:r>
      <w:r>
        <w:rPr>
          <w:rFonts w:hint="eastAsia"/>
        </w:rPr>
        <w:t>（汛）</w:t>
      </w:r>
      <w:r>
        <w:t>标准的堤防长度</w:t>
      </w:r>
      <w:r>
        <w:rPr>
          <w:rFonts w:hint="eastAsia"/>
        </w:rPr>
        <w:t>，单位为千米（km）；</w:t>
      </w:r>
    </w:p>
    <w:p w14:paraId="058A7D5B">
      <w:pPr>
        <w:pStyle w:val="57"/>
        <w:ind w:firstLine="420"/>
      </w:pPr>
      <m:oMath>
        <m:sSub>
          <m:sSubPr>
            <m:ctrlPr>
              <w:rPr>
                <w:rFonts w:ascii="Cambria Math" w:hAnsi="Cambria Math" w:cs="微软雅黑"/>
                <w:i/>
                <w:kern w:val="2"/>
                <w:szCs w:val="21"/>
              </w:rPr>
            </m:ctrlPr>
          </m:sSubPr>
          <m:e>
            <m:r>
              <m:rPr/>
              <w:rPr>
                <w:rFonts w:ascii="Cambria Math" w:hAnsi="Cambria Math" w:cs="微软雅黑"/>
              </w:rPr>
              <m:t>L</m:t>
            </m:r>
            <m:ctrlPr>
              <w:rPr>
                <w:rFonts w:ascii="Cambria Math" w:hAnsi="Cambria Math" w:cs="微软雅黑"/>
                <w:i/>
                <w:kern w:val="2"/>
                <w:szCs w:val="21"/>
              </w:rPr>
            </m:ctrlPr>
          </m:e>
          <m:sub>
            <m:r>
              <m:rPr/>
              <w:rPr>
                <w:rFonts w:ascii="Cambria Math" w:hAnsi="Cambria Math" w:cs="微软雅黑"/>
              </w:rPr>
              <m:t>R</m:t>
            </m:r>
            <m:ctrlPr>
              <w:rPr>
                <w:rFonts w:ascii="Cambria Math" w:hAnsi="Cambria Math" w:cs="微软雅黑"/>
                <w:i/>
                <w:kern w:val="2"/>
                <w:szCs w:val="21"/>
              </w:rPr>
            </m:ctrlPr>
          </m:sub>
        </m:sSub>
      </m:oMath>
      <w:r>
        <w:t xml:space="preserve"> </w:t>
      </w:r>
      <w:r>
        <w:rPr>
          <w:rFonts w:hint="eastAsia"/>
        </w:rPr>
        <w:t>——</w:t>
      </w:r>
      <w:r>
        <w:t>规划堤防总长度</w:t>
      </w:r>
      <w:r>
        <w:rPr>
          <w:rFonts w:hint="eastAsia"/>
        </w:rPr>
        <w:t>，</w:t>
      </w:r>
      <w:r>
        <w:t>包括流域(区域)综合规划、流域(区域)防洪规划等规划新建、加高加固堤防总长度</w:t>
      </w:r>
      <w:r>
        <w:rPr>
          <w:rFonts w:hint="eastAsia"/>
        </w:rPr>
        <w:t>，单位为千米（km）</w:t>
      </w:r>
      <w:r>
        <w:t>。</w:t>
      </w:r>
    </w:p>
    <w:p w14:paraId="2CF7BC5A">
      <w:pPr>
        <w:pStyle w:val="113"/>
        <w:spacing w:before="156" w:after="156"/>
      </w:pPr>
      <w:r>
        <w:rPr>
          <w:rFonts w:hint="eastAsia"/>
        </w:rPr>
        <w:t>防洪（汛）达标率</w:t>
      </w:r>
      <w:r>
        <w:t>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358"/>
        <w:gridCol w:w="1358"/>
        <w:gridCol w:w="1359"/>
        <w:gridCol w:w="1358"/>
        <w:gridCol w:w="1359"/>
      </w:tblGrid>
      <w:tr w14:paraId="2257D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tcPr>
          <w:p w14:paraId="7A476EAC">
            <w:pPr>
              <w:pStyle w:val="179"/>
              <w:rPr>
                <w:rFonts w:hAnsi="宋体"/>
              </w:rPr>
            </w:pPr>
            <w:r>
              <w:rPr>
                <w:rFonts w:hint="eastAsia" w:hAnsi="宋体"/>
              </w:rPr>
              <w:t>防洪（汛）达标率</w:t>
            </w:r>
            <w:r>
              <w:rPr>
                <w:rFonts w:hAnsi="宋体"/>
              </w:rPr>
              <w:t>/%</w:t>
            </w:r>
          </w:p>
        </w:tc>
        <w:tc>
          <w:tcPr>
            <w:tcW w:w="1358" w:type="dxa"/>
            <w:tcBorders>
              <w:top w:val="single" w:color="auto" w:sz="8" w:space="0"/>
              <w:bottom w:val="single" w:color="auto" w:sz="8" w:space="0"/>
            </w:tcBorders>
            <w:shd w:val="clear" w:color="auto" w:fill="auto"/>
          </w:tcPr>
          <w:p w14:paraId="216DC0BC">
            <w:pPr>
              <w:pStyle w:val="179"/>
              <w:rPr>
                <w:rFonts w:hAnsi="宋体"/>
              </w:rPr>
            </w:pPr>
            <w:r>
              <w:rPr>
                <w:rFonts w:hAnsi="宋体"/>
              </w:rPr>
              <w:t>100</w:t>
            </w:r>
          </w:p>
        </w:tc>
        <w:tc>
          <w:tcPr>
            <w:tcW w:w="1358" w:type="dxa"/>
            <w:tcBorders>
              <w:top w:val="single" w:color="auto" w:sz="8" w:space="0"/>
              <w:bottom w:val="single" w:color="auto" w:sz="8" w:space="0"/>
            </w:tcBorders>
            <w:shd w:val="clear" w:color="auto" w:fill="auto"/>
          </w:tcPr>
          <w:p w14:paraId="0A87B6B4">
            <w:pPr>
              <w:pStyle w:val="179"/>
              <w:rPr>
                <w:rFonts w:hAnsi="宋体"/>
              </w:rPr>
            </w:pPr>
            <w:r>
              <w:rPr>
                <w:rFonts w:hAnsi="宋体"/>
              </w:rPr>
              <w:t>90</w:t>
            </w:r>
          </w:p>
        </w:tc>
        <w:tc>
          <w:tcPr>
            <w:tcW w:w="1359" w:type="dxa"/>
            <w:tcBorders>
              <w:top w:val="single" w:color="auto" w:sz="8" w:space="0"/>
              <w:bottom w:val="single" w:color="auto" w:sz="8" w:space="0"/>
            </w:tcBorders>
            <w:shd w:val="clear" w:color="auto" w:fill="auto"/>
          </w:tcPr>
          <w:p w14:paraId="1378D908">
            <w:pPr>
              <w:pStyle w:val="179"/>
              <w:rPr>
                <w:rFonts w:hAnsi="宋体"/>
              </w:rPr>
            </w:pPr>
            <w:r>
              <w:rPr>
                <w:rFonts w:hAnsi="宋体"/>
              </w:rPr>
              <w:t>85</w:t>
            </w:r>
          </w:p>
        </w:tc>
        <w:tc>
          <w:tcPr>
            <w:tcW w:w="1358" w:type="dxa"/>
            <w:tcBorders>
              <w:top w:val="single" w:color="auto" w:sz="8" w:space="0"/>
              <w:bottom w:val="single" w:color="auto" w:sz="8" w:space="0"/>
            </w:tcBorders>
            <w:shd w:val="clear" w:color="auto" w:fill="auto"/>
          </w:tcPr>
          <w:p w14:paraId="1E2ABFE1">
            <w:pPr>
              <w:pStyle w:val="179"/>
              <w:rPr>
                <w:rFonts w:hAnsi="宋体"/>
              </w:rPr>
            </w:pPr>
            <w:r>
              <w:rPr>
                <w:rFonts w:hAnsi="宋体"/>
              </w:rPr>
              <w:t>70</w:t>
            </w:r>
          </w:p>
        </w:tc>
        <w:tc>
          <w:tcPr>
            <w:tcW w:w="1359" w:type="dxa"/>
            <w:tcBorders>
              <w:top w:val="single" w:color="auto" w:sz="8" w:space="0"/>
              <w:bottom w:val="single" w:color="auto" w:sz="8" w:space="0"/>
            </w:tcBorders>
            <w:shd w:val="clear" w:color="auto" w:fill="auto"/>
          </w:tcPr>
          <w:p w14:paraId="690FE883">
            <w:pPr>
              <w:pStyle w:val="179"/>
              <w:rPr>
                <w:rFonts w:hAnsi="宋体"/>
              </w:rPr>
            </w:pPr>
            <w:r>
              <w:rPr>
                <w:rFonts w:hAnsi="宋体"/>
              </w:rPr>
              <w:t>≤50</w:t>
            </w:r>
          </w:p>
        </w:tc>
      </w:tr>
      <w:tr w14:paraId="1877F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tcPr>
          <w:p w14:paraId="1F1040AF">
            <w:pPr>
              <w:pStyle w:val="179"/>
              <w:rPr>
                <w:rFonts w:hAnsi="宋体"/>
              </w:rPr>
            </w:pPr>
            <w:r>
              <w:rPr>
                <w:rFonts w:hAnsi="宋体"/>
              </w:rPr>
              <w:t>赋分/分</w:t>
            </w:r>
          </w:p>
        </w:tc>
        <w:tc>
          <w:tcPr>
            <w:tcW w:w="1358" w:type="dxa"/>
            <w:tcBorders>
              <w:top w:val="single" w:color="auto" w:sz="8" w:space="0"/>
            </w:tcBorders>
            <w:shd w:val="clear" w:color="auto" w:fill="auto"/>
          </w:tcPr>
          <w:p w14:paraId="4D8E31D8">
            <w:pPr>
              <w:pStyle w:val="179"/>
              <w:rPr>
                <w:rFonts w:hAnsi="宋体"/>
              </w:rPr>
            </w:pPr>
            <w:r>
              <w:rPr>
                <w:rFonts w:hAnsi="宋体"/>
              </w:rPr>
              <w:t>100</w:t>
            </w:r>
          </w:p>
        </w:tc>
        <w:tc>
          <w:tcPr>
            <w:tcW w:w="1358" w:type="dxa"/>
            <w:tcBorders>
              <w:top w:val="single" w:color="auto" w:sz="8" w:space="0"/>
            </w:tcBorders>
            <w:shd w:val="clear" w:color="auto" w:fill="auto"/>
          </w:tcPr>
          <w:p w14:paraId="631B151E">
            <w:pPr>
              <w:pStyle w:val="179"/>
              <w:rPr>
                <w:rFonts w:hAnsi="宋体"/>
              </w:rPr>
            </w:pPr>
            <w:r>
              <w:rPr>
                <w:rFonts w:hAnsi="宋体"/>
              </w:rPr>
              <w:t>75</w:t>
            </w:r>
          </w:p>
        </w:tc>
        <w:tc>
          <w:tcPr>
            <w:tcW w:w="1359" w:type="dxa"/>
            <w:tcBorders>
              <w:top w:val="single" w:color="auto" w:sz="8" w:space="0"/>
            </w:tcBorders>
            <w:shd w:val="clear" w:color="auto" w:fill="auto"/>
          </w:tcPr>
          <w:p w14:paraId="2105FE16">
            <w:pPr>
              <w:pStyle w:val="179"/>
              <w:rPr>
                <w:rFonts w:hAnsi="宋体"/>
              </w:rPr>
            </w:pPr>
            <w:r>
              <w:rPr>
                <w:rFonts w:hAnsi="宋体"/>
              </w:rPr>
              <w:t>50</w:t>
            </w:r>
          </w:p>
        </w:tc>
        <w:tc>
          <w:tcPr>
            <w:tcW w:w="1358" w:type="dxa"/>
            <w:tcBorders>
              <w:top w:val="single" w:color="auto" w:sz="8" w:space="0"/>
            </w:tcBorders>
            <w:shd w:val="clear" w:color="auto" w:fill="auto"/>
          </w:tcPr>
          <w:p w14:paraId="7DF151D4">
            <w:pPr>
              <w:pStyle w:val="179"/>
              <w:rPr>
                <w:rFonts w:hAnsi="宋体"/>
              </w:rPr>
            </w:pPr>
            <w:r>
              <w:rPr>
                <w:rFonts w:hAnsi="宋体"/>
              </w:rPr>
              <w:t>25</w:t>
            </w:r>
          </w:p>
        </w:tc>
        <w:tc>
          <w:tcPr>
            <w:tcW w:w="1359" w:type="dxa"/>
            <w:tcBorders>
              <w:top w:val="single" w:color="auto" w:sz="8" w:space="0"/>
            </w:tcBorders>
            <w:shd w:val="clear" w:color="auto" w:fill="auto"/>
          </w:tcPr>
          <w:p w14:paraId="2DDD28EE">
            <w:pPr>
              <w:pStyle w:val="179"/>
              <w:rPr>
                <w:rFonts w:hAnsi="宋体"/>
              </w:rPr>
            </w:pPr>
            <w:r>
              <w:rPr>
                <w:rFonts w:hAnsi="宋体"/>
              </w:rPr>
              <w:t>0</w:t>
            </w:r>
          </w:p>
        </w:tc>
      </w:tr>
    </w:tbl>
    <w:p w14:paraId="4EE7A88F">
      <w:pPr>
        <w:pStyle w:val="106"/>
        <w:spacing w:before="156" w:after="156"/>
      </w:pPr>
      <w:bookmarkStart w:id="115" w:name="_Toc242796908"/>
      <w:bookmarkStart w:id="116" w:name="_Toc242804752"/>
      <w:r>
        <w:rPr>
          <w:rFonts w:hint="eastAsia"/>
        </w:rPr>
        <w:t>岸线贯通程度</w:t>
      </w:r>
      <w:bookmarkEnd w:id="115"/>
      <w:bookmarkEnd w:id="116"/>
    </w:p>
    <w:p w14:paraId="283A59D5">
      <w:pPr>
        <w:pStyle w:val="57"/>
        <w:ind w:firstLine="420"/>
        <w:rPr>
          <w:color w:val="000000" w:themeColor="text1"/>
          <w14:textFill>
            <w14:solidFill>
              <w14:schemeClr w14:val="tx1"/>
            </w14:solidFill>
          </w14:textFill>
        </w:rPr>
      </w:pPr>
      <w:r>
        <w:rPr>
          <w:rFonts w:hint="eastAsia" w:hAnsi="宋体" w:cs="宋体"/>
        </w:rPr>
        <w:t>对具有滨水空间服务功能的河湖评价岸线贯通程度。</w:t>
      </w:r>
      <w:r>
        <w:rPr>
          <w:rFonts w:hint="eastAsia"/>
        </w:rPr>
        <w:t>贯通是指有沿岸步道或具备沿岸步行条件。岸线贯通程度得分为</w:t>
      </w:r>
      <w:r>
        <w:rPr>
          <w:rFonts w:hint="eastAsia"/>
          <w:color w:val="000000" w:themeColor="text1"/>
          <w14:textFill>
            <w14:solidFill>
              <w14:schemeClr w14:val="tx1"/>
            </w14:solidFill>
          </w14:textFill>
        </w:rPr>
        <w:t>按公式（15）计算。</w:t>
      </w:r>
    </w:p>
    <w:p w14:paraId="2E8D4670">
      <w:pPr>
        <w:spacing w:line="240" w:lineRule="auto"/>
        <w:ind w:right="23"/>
        <w:jc w:val="right"/>
        <w:rPr>
          <w:rFonts w:ascii="宋体" w:hAnsi="宋体"/>
        </w:rPr>
      </w:pPr>
      <m:oMath>
        <m:sSub>
          <w:bookmarkStart w:id="117" w:name="_Hlk242803151"/>
          <m:sSubPr>
            <m:ctrlPr>
              <w:rPr>
                <w:rFonts w:ascii="Cambria Math" w:hAnsi="Cambria Math" w:cs="微软雅黑"/>
                <w:i/>
              </w:rPr>
            </m:ctrlPr>
          </m:sSubPr>
          <m:e>
            <m:r>
              <m:rPr/>
              <w:rPr>
                <w:rFonts w:ascii="Cambria Math" w:hAnsi="Cambria Math" w:cs="微软雅黑"/>
              </w:rPr>
              <m:t>T</m:t>
            </m:r>
            <m:ctrlPr>
              <w:rPr>
                <w:rFonts w:ascii="Cambria Math" w:hAnsi="Cambria Math" w:cs="微软雅黑"/>
                <w:i/>
              </w:rPr>
            </m:ctrlPr>
          </m:e>
          <m:sub>
            <m:r>
              <m:rPr/>
              <w:rPr>
                <w:rFonts w:ascii="Cambria Math" w:hAnsi="Cambria Math" w:cs="微软雅黑"/>
              </w:rPr>
              <m:t>6</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6</m:t>
                </m:r>
                <m:ctrlPr>
                  <w:rPr>
                    <w:rFonts w:ascii="Cambria Math" w:hAnsi="Cambria Math" w:cs="微软雅黑"/>
                    <w:i/>
                  </w:rPr>
                </m:ctrlPr>
              </m:sub>
            </m:sSub>
            <m:ctrlPr>
              <w:rPr>
                <w:rFonts w:ascii="Cambria Math" w:hAnsi="Cambria Math" w:cs="微软雅黑"/>
                <w:i/>
              </w:rPr>
            </m:ctrlPr>
          </m:num>
          <m:den>
            <m:sSub>
              <m:sSubPr>
                <m:ctrlPr>
                  <w:rPr>
                    <w:rFonts w:ascii="Cambria Math" w:hAnsi="Cambria Math" w:cs="微软雅黑"/>
                    <w:i/>
                  </w:rPr>
                </m:ctrlPr>
              </m:sSubPr>
              <m:e>
                <m:r>
                  <m:rPr/>
                  <w:rPr>
                    <w:rFonts w:ascii="Cambria Math" w:hAnsi="Cambria Math" w:cs="微软雅黑"/>
                  </w:rPr>
                  <m:t>A</m:t>
                </m:r>
                <m:ctrlPr>
                  <w:rPr>
                    <w:rFonts w:ascii="Cambria Math" w:hAnsi="Cambria Math" w:cs="微软雅黑"/>
                    <w:i/>
                  </w:rPr>
                </m:ctrlPr>
              </m:e>
              <m:sub>
                <m:r>
                  <m:rPr/>
                  <w:rPr>
                    <w:rFonts w:ascii="Cambria Math" w:hAnsi="Cambria Math" w:cs="微软雅黑"/>
                  </w:rPr>
                  <m:t>6</m:t>
                </m:r>
                <m:ctrlPr>
                  <w:rPr>
                    <w:rFonts w:ascii="Cambria Math" w:hAnsi="Cambria Math" w:cs="微软雅黑"/>
                    <w:i/>
                  </w:rPr>
                </m:ctrlPr>
              </m:sub>
            </m:sSub>
            <m:ctrlPr>
              <w:rPr>
                <w:rFonts w:ascii="Cambria Math" w:hAnsi="Cambria Math" w:cs="微软雅黑"/>
                <w:i/>
              </w:rPr>
            </m:ctrlPr>
          </m:den>
        </m:f>
        <m:r>
          <m:rPr/>
          <w:rPr>
            <w:rFonts w:ascii="Cambria Math" w:hAnsi="Cambria Math" w:cs="微软雅黑"/>
          </w:rPr>
          <m:t>×100</m:t>
        </m:r>
      </m:oMath>
      <w:r>
        <w:rPr>
          <w:rFonts w:ascii="宋体" w:hAnsi="宋体" w:cs="微软雅黑"/>
          <w:w w:val="101"/>
        </w:rPr>
        <w:t xml:space="preserve"> </w:t>
      </w:r>
      <w:r>
        <w:rPr>
          <w:rFonts w:ascii="宋体" w:hAnsi="宋体" w:cs="微软雅黑"/>
          <w:position w:val="2"/>
        </w:rPr>
        <w:t xml:space="preserve">                                </w:t>
      </w:r>
      <w:r>
        <w:rPr>
          <w:rFonts w:hint="eastAsia" w:ascii="宋体" w:hAnsi="宋体"/>
        </w:rPr>
        <w:t>（</w:t>
      </w:r>
      <w:r>
        <w:rPr>
          <w:rFonts w:ascii="宋体" w:hAnsi="宋体"/>
        </w:rPr>
        <w:t>1</w:t>
      </w:r>
      <w:r>
        <w:rPr>
          <w:rFonts w:hint="eastAsia" w:ascii="宋体" w:hAnsi="宋体"/>
        </w:rPr>
        <w:t>5）</w:t>
      </w:r>
    </w:p>
    <w:p w14:paraId="34183AB4">
      <w:pPr>
        <w:pStyle w:val="57"/>
        <w:ind w:firstLine="420"/>
      </w:pPr>
      <w:r>
        <w:rPr>
          <w:rFonts w:hint="eastAsia"/>
        </w:rPr>
        <w:t>式中：</w:t>
      </w:r>
    </w:p>
    <w:p w14:paraId="4C0B1885">
      <w:pPr>
        <w:pStyle w:val="57"/>
        <w:ind w:firstLine="420"/>
      </w:pPr>
      <m:oMath>
        <m:sSub>
          <m:sSubPr>
            <m:ctrlPr>
              <w:rPr>
                <w:rFonts w:ascii="Cambria Math" w:hAnsi="Cambria Math" w:cs="微软雅黑"/>
                <w:i/>
              </w:rPr>
            </m:ctrlPr>
          </m:sSubPr>
          <m:e>
            <m:r>
              <m:rPr/>
              <w:rPr>
                <w:rFonts w:ascii="Cambria Math" w:hAnsi="Cambria Math" w:cs="微软雅黑"/>
              </w:rPr>
              <m:t>T</m:t>
            </m:r>
            <m:ctrlPr>
              <w:rPr>
                <w:rFonts w:ascii="Cambria Math" w:hAnsi="Cambria Math" w:cs="微软雅黑"/>
                <w:i/>
              </w:rPr>
            </m:ctrlPr>
          </m:e>
          <m:sub>
            <m:r>
              <m:rPr/>
              <w:rPr>
                <w:rFonts w:ascii="Cambria Math" w:hAnsi="Cambria Math" w:cs="微软雅黑"/>
              </w:rPr>
              <m:t>6</m:t>
            </m:r>
            <m:ctrlPr>
              <w:rPr>
                <w:rFonts w:ascii="Cambria Math" w:hAnsi="Cambria Math" w:cs="微软雅黑"/>
                <w:i/>
              </w:rPr>
            </m:ctrlPr>
          </m:sub>
        </m:sSub>
        <m:r>
          <m:rPr/>
          <w:rPr>
            <w:rFonts w:ascii="Cambria Math" w:hAnsi="Cambria Math" w:cs="微软雅黑"/>
          </w:rPr>
          <m:t xml:space="preserve"> </m:t>
        </m:r>
      </m:oMath>
      <w:r>
        <w:rPr>
          <w:rFonts w:hint="eastAsia"/>
        </w:rPr>
        <w:t>——岸线贯通程度得分，单位为分；</w:t>
      </w:r>
    </w:p>
    <w:p w14:paraId="4682E11E">
      <w:pPr>
        <w:pStyle w:val="57"/>
        <w:ind w:firstLine="420"/>
      </w:pPr>
      <m:oMath>
        <m:sSub>
          <m:sSubPr>
            <m:ctrlPr>
              <w:rPr>
                <w:rFonts w:ascii="Cambria Math" w:hAnsi="Cambria Math" w:cs="微软雅黑"/>
                <w:i/>
              </w:rPr>
            </m:ctrlPr>
          </m:sSubPr>
          <m:e>
            <m:r>
              <m:rPr/>
              <w:rPr>
                <w:rFonts w:hint="eastAsia" w:ascii="Cambria Math" w:hAnsi="Cambria Math" w:cs="微软雅黑"/>
              </w:rPr>
              <m:t>a</m:t>
            </m:r>
            <m:ctrlPr>
              <w:rPr>
                <w:rFonts w:ascii="Cambria Math" w:hAnsi="Cambria Math" w:cs="微软雅黑"/>
                <w:i/>
              </w:rPr>
            </m:ctrlPr>
          </m:e>
          <m:sub>
            <m:r>
              <m:rPr/>
              <w:rPr>
                <w:rFonts w:ascii="Cambria Math" w:hAnsi="Cambria Math" w:cs="微软雅黑"/>
              </w:rPr>
              <m:t>6</m:t>
            </m:r>
            <m:ctrlPr>
              <w:rPr>
                <w:rFonts w:ascii="Cambria Math" w:hAnsi="Cambria Math" w:cs="微软雅黑"/>
                <w:i/>
              </w:rPr>
            </m:ctrlPr>
          </m:sub>
        </m:sSub>
        <m:r>
          <m:rPr/>
          <w:rPr>
            <w:rFonts w:ascii="Cambria Math" w:hAnsi="Cambria Math" w:cs="微软雅黑"/>
          </w:rPr>
          <m:t xml:space="preserve"> </m:t>
        </m:r>
      </m:oMath>
      <w:r>
        <w:rPr>
          <w:rFonts w:hint="eastAsia"/>
        </w:rPr>
        <w:t>——岸线贯通长度，单位为千米（km）；</w:t>
      </w:r>
    </w:p>
    <w:p w14:paraId="0523818B">
      <w:pPr>
        <w:pStyle w:val="57"/>
        <w:ind w:firstLine="420"/>
      </w:pPr>
      <m:oMath>
        <m:sSub>
          <m:sSubPr>
            <m:ctrlPr>
              <w:rPr>
                <w:rFonts w:ascii="Cambria Math" w:hAnsi="Cambria Math" w:cs="微软雅黑"/>
                <w:i/>
                <w:kern w:val="2"/>
                <w:szCs w:val="21"/>
              </w:rPr>
            </m:ctrlPr>
          </m:sSubPr>
          <m:e>
            <m:r>
              <m:rPr/>
              <w:rPr>
                <w:rFonts w:ascii="Cambria Math" w:hAnsi="Cambria Math" w:cs="微软雅黑"/>
              </w:rPr>
              <m:t>A</m:t>
            </m:r>
            <m:ctrlPr>
              <w:rPr>
                <w:rFonts w:ascii="Cambria Math" w:hAnsi="Cambria Math" w:cs="微软雅黑"/>
                <w:i/>
                <w:kern w:val="2"/>
                <w:szCs w:val="21"/>
              </w:rPr>
            </m:ctrlPr>
          </m:e>
          <m:sub>
            <m:r>
              <m:rPr/>
              <w:rPr>
                <w:rFonts w:ascii="Cambria Math" w:hAnsi="Cambria Math" w:cs="微软雅黑"/>
              </w:rPr>
              <m:t>6</m:t>
            </m:r>
            <m:ctrlPr>
              <w:rPr>
                <w:rFonts w:ascii="Cambria Math" w:hAnsi="Cambria Math" w:cs="微软雅黑"/>
                <w:i/>
                <w:kern w:val="2"/>
                <w:szCs w:val="21"/>
              </w:rPr>
            </m:ctrlPr>
          </m:sub>
        </m:sSub>
        <m:r>
          <m:rPr/>
          <w:rPr>
            <w:rFonts w:ascii="Cambria Math" w:hAnsi="Cambria Math" w:cs="微软雅黑"/>
            <w:kern w:val="2"/>
            <w:szCs w:val="21"/>
          </w:rPr>
          <m:t xml:space="preserve"> </m:t>
        </m:r>
      </m:oMath>
      <w:r>
        <w:rPr>
          <w:rFonts w:hint="eastAsia"/>
        </w:rPr>
        <w:t>——岸线总长度，单位为千米（km）。</w:t>
      </w:r>
    </w:p>
    <w:bookmarkEnd w:id="117"/>
    <w:p w14:paraId="6194F8B9">
      <w:pPr>
        <w:pStyle w:val="106"/>
        <w:spacing w:before="156" w:after="156"/>
      </w:pPr>
      <w:bookmarkStart w:id="118" w:name="_Toc242796909"/>
      <w:bookmarkStart w:id="119" w:name="_Toc242804753"/>
      <w:r>
        <w:rPr>
          <w:rFonts w:hint="eastAsia"/>
        </w:rPr>
        <w:t>供水保证程度</w:t>
      </w:r>
      <w:bookmarkEnd w:id="118"/>
      <w:bookmarkEnd w:id="119"/>
    </w:p>
    <w:p w14:paraId="2B16C1D3">
      <w:pPr>
        <w:pStyle w:val="57"/>
        <w:ind w:firstLine="420"/>
      </w:pPr>
      <w:r>
        <w:t>根据评价年内逐日水位或流量达到供水保证水位或流量的天数占年内总天数的百分比确定</w:t>
      </w:r>
      <w:r>
        <w:rPr>
          <w:rFonts w:hint="eastAsia"/>
        </w:rPr>
        <w:t>，</w:t>
      </w:r>
      <w:r>
        <w:t>按公式</w:t>
      </w:r>
      <w:r>
        <w:rPr>
          <w:rFonts w:hint="eastAsia"/>
        </w:rPr>
        <w:t>（</w:t>
      </w:r>
      <w:r>
        <w:t>1</w:t>
      </w:r>
      <w:r>
        <w:rPr>
          <w:rFonts w:hint="eastAsia"/>
        </w:rPr>
        <w:t>6）</w:t>
      </w:r>
      <w:r>
        <w:t>计算。赋分标准见表26</w:t>
      </w:r>
      <w:r>
        <w:rPr>
          <w:rFonts w:hint="eastAsia"/>
        </w:rPr>
        <w:t>，</w:t>
      </w:r>
      <w:r>
        <w:t>采用线性插值法计算。</w:t>
      </w:r>
    </w:p>
    <w:p w14:paraId="231695B8">
      <w:pPr>
        <w:spacing w:line="240" w:lineRule="auto"/>
        <w:ind w:right="23"/>
        <w:jc w:val="right"/>
        <w:rPr>
          <w:rFonts w:ascii="宋体" w:hAnsi="宋体"/>
        </w:rPr>
      </w:pPr>
      <m:oMath>
        <m:sSub>
          <m:sSubPr>
            <m:ctrlPr>
              <w:rPr>
                <w:rFonts w:ascii="Cambria Math" w:hAnsi="Cambria Math" w:cs="微软雅黑"/>
                <w:i/>
              </w:rPr>
            </m:ctrlPr>
          </m:sSubPr>
          <m:e>
            <m:r>
              <m:rPr/>
              <w:rPr>
                <w:rFonts w:ascii="Cambria Math" w:hAnsi="Cambria Math" w:cs="微软雅黑"/>
              </w:rPr>
              <m:t>R</m:t>
            </m:r>
            <m:ctrlPr>
              <w:rPr>
                <w:rFonts w:ascii="Cambria Math" w:hAnsi="Cambria Math" w:cs="微软雅黑"/>
                <w:i/>
              </w:rPr>
            </m:ctrlPr>
          </m:e>
          <m:sub>
            <m:r>
              <m:rPr/>
              <w:rPr>
                <w:rFonts w:hint="eastAsia" w:ascii="Cambria Math" w:hAnsi="Cambria Math" w:cs="微软雅黑"/>
              </w:rPr>
              <m:t>gs</m:t>
            </m:r>
            <m:ctrlPr>
              <w:rPr>
                <w:rFonts w:ascii="Cambria Math" w:hAnsi="Cambria Math" w:cs="微软雅黑"/>
                <w:i/>
              </w:rPr>
            </m:ctrlPr>
          </m:sub>
        </m:sSub>
        <m:r>
          <m:rPr/>
          <w:rPr>
            <w:rFonts w:hint="eastAsia" w:ascii="Cambria Math" w:hAnsi="Cambria Math" w:cs="微软雅黑"/>
          </w:rPr>
          <m:t>=</m:t>
        </m:r>
        <m:f>
          <m:fPr>
            <m:ctrlPr>
              <w:rPr>
                <w:rFonts w:ascii="Cambria Math" w:hAnsi="Cambria Math" w:cs="微软雅黑"/>
                <w:i/>
              </w:rPr>
            </m:ctrlPr>
          </m:fPr>
          <m:num>
            <m:sSub>
              <w:bookmarkStart w:id="120" w:name="OLE_LINK10"/>
              <m:sSubPr>
                <m:ctrlPr>
                  <w:rPr>
                    <w:rFonts w:ascii="Cambria Math" w:hAnsi="Cambria Math" w:cs="微软雅黑"/>
                    <w:i/>
                  </w:rPr>
                </m:ctrlPr>
              </m:sSubPr>
              <m:e>
                <m:r>
                  <m:rPr/>
                  <w:rPr>
                    <w:rFonts w:ascii="Cambria Math" w:hAnsi="Cambria Math" w:cs="微软雅黑"/>
                  </w:rPr>
                  <m:t>D</m:t>
                </m:r>
                <m:ctrlPr>
                  <w:rPr>
                    <w:rFonts w:ascii="Cambria Math" w:hAnsi="Cambria Math" w:cs="微软雅黑"/>
                    <w:i/>
                  </w:rPr>
                </m:ctrlPr>
              </m:e>
              <m:sub>
                <m:r>
                  <m:rPr/>
                  <w:rPr>
                    <w:rFonts w:ascii="Cambria Math" w:hAnsi="Cambria Math" w:cs="微软雅黑"/>
                  </w:rPr>
                  <m:t>0</m:t>
                </m:r>
                <m:ctrlPr>
                  <w:rPr>
                    <w:rFonts w:ascii="Cambria Math" w:hAnsi="Cambria Math" w:cs="微软雅黑"/>
                    <w:i/>
                  </w:rPr>
                </m:ctrlPr>
                <w:bookmarkEnd w:id="120"/>
              </m:sub>
            </m:sSub>
            <m:ctrlPr>
              <w:rPr>
                <w:rFonts w:ascii="Cambria Math" w:hAnsi="Cambria Math" w:cs="微软雅黑"/>
                <w:i/>
              </w:rPr>
            </m:ctrlPr>
          </m:num>
          <m:den>
            <m:r>
              <m:rPr/>
              <w:rPr>
                <w:rFonts w:ascii="Cambria Math" w:hAnsi="Cambria Math" w:cs="微软雅黑"/>
              </w:rPr>
              <m:t>D</m:t>
            </m:r>
            <m:ctrlPr>
              <w:rPr>
                <w:rFonts w:ascii="Cambria Math" w:hAnsi="Cambria Math" w:cs="微软雅黑"/>
                <w:i/>
              </w:rPr>
            </m:ctrlPr>
          </m:den>
        </m:f>
        <m:r>
          <m:rPr/>
          <w:rPr>
            <w:rFonts w:ascii="Cambria Math" w:hAnsi="Cambria Math" w:cs="微软雅黑"/>
          </w:rPr>
          <m:t>×100</m:t>
        </m:r>
        <m:r>
          <m:rPr/>
          <w:rPr>
            <w:rFonts w:hint="eastAsia" w:ascii="Cambria Math" w:hAnsi="Cambria Math" w:cs="微软雅黑"/>
          </w:rPr>
          <m:t>%</m:t>
        </m:r>
      </m:oMath>
      <w:r>
        <w:rPr>
          <w:rFonts w:ascii="宋体" w:hAnsi="宋体" w:cs="微软雅黑"/>
          <w:w w:val="101"/>
        </w:rPr>
        <w:t xml:space="preserve"> </w:t>
      </w:r>
      <w:r>
        <w:rPr>
          <w:rFonts w:ascii="宋体" w:hAnsi="宋体" w:cs="微软雅黑"/>
          <w:position w:val="2"/>
        </w:rPr>
        <w:t xml:space="preserve">                                </w:t>
      </w:r>
      <w:r>
        <w:rPr>
          <w:rFonts w:hint="eastAsia" w:ascii="宋体" w:hAnsi="宋体"/>
        </w:rPr>
        <w:t>（</w:t>
      </w:r>
      <w:r>
        <w:rPr>
          <w:rFonts w:ascii="宋体" w:hAnsi="宋体"/>
        </w:rPr>
        <w:t>1</w:t>
      </w:r>
      <w:r>
        <w:rPr>
          <w:rFonts w:hint="eastAsia" w:ascii="宋体" w:hAnsi="宋体"/>
        </w:rPr>
        <w:t>6）</w:t>
      </w:r>
    </w:p>
    <w:p w14:paraId="347A740F">
      <w:pPr>
        <w:pStyle w:val="57"/>
        <w:ind w:firstLine="420"/>
      </w:pPr>
      <w:r>
        <w:t>式中</w:t>
      </w:r>
      <w:r>
        <w:rPr>
          <w:rFonts w:hint="eastAsia"/>
        </w:rPr>
        <w:t>：</w:t>
      </w:r>
    </w:p>
    <w:p w14:paraId="58C33079">
      <w:pPr>
        <w:pStyle w:val="57"/>
        <w:ind w:firstLine="420"/>
      </w:pPr>
      <m:oMath>
        <m:sSub>
          <m:sSubPr>
            <m:ctrlPr>
              <w:rPr>
                <w:rFonts w:ascii="Cambria Math" w:hAnsi="Cambria Math" w:cs="微软雅黑"/>
                <w:i/>
                <w:kern w:val="2"/>
                <w:szCs w:val="21"/>
              </w:rPr>
            </m:ctrlPr>
          </m:sSubPr>
          <m:e>
            <m:r>
              <m:rPr/>
              <w:rPr>
                <w:rFonts w:ascii="Cambria Math" w:hAnsi="Cambria Math" w:cs="微软雅黑"/>
              </w:rPr>
              <m:t>R</m:t>
            </m:r>
            <m:ctrlPr>
              <w:rPr>
                <w:rFonts w:ascii="Cambria Math" w:hAnsi="Cambria Math" w:cs="微软雅黑"/>
                <w:i/>
                <w:kern w:val="2"/>
                <w:szCs w:val="21"/>
              </w:rPr>
            </m:ctrlPr>
          </m:e>
          <m:sub>
            <m:r>
              <m:rPr/>
              <w:rPr>
                <w:rFonts w:hint="eastAsia" w:ascii="Cambria Math" w:hAnsi="Cambria Math" w:cs="微软雅黑"/>
              </w:rPr>
              <m:t>gs</m:t>
            </m:r>
            <m:ctrlPr>
              <w:rPr>
                <w:rFonts w:ascii="Cambria Math" w:hAnsi="Cambria Math" w:cs="微软雅黑"/>
                <w:i/>
                <w:kern w:val="2"/>
                <w:szCs w:val="21"/>
              </w:rPr>
            </m:ctrlPr>
          </m:sub>
        </m:sSub>
      </m:oMath>
      <w:r>
        <w:t xml:space="preserve"> </w:t>
      </w:r>
      <w:r>
        <w:rPr>
          <w:rFonts w:hint="eastAsia"/>
        </w:rPr>
        <w:t>——</w:t>
      </w:r>
      <w:r>
        <w:t>供水保证程度</w:t>
      </w:r>
      <w:r>
        <w:rPr>
          <w:rFonts w:hint="eastAsia"/>
        </w:rPr>
        <w:t>；</w:t>
      </w:r>
    </w:p>
    <w:p w14:paraId="532787AB">
      <w:pPr>
        <w:pStyle w:val="57"/>
        <w:ind w:firstLine="420"/>
      </w:pPr>
      <m:oMath>
        <m:sSub>
          <m:sSubPr>
            <m:ctrlPr>
              <w:rPr>
                <w:rFonts w:ascii="Cambria Math" w:hAnsi="Cambria Math" w:cs="微软雅黑"/>
                <w:i/>
                <w:kern w:val="2"/>
                <w:szCs w:val="21"/>
              </w:rPr>
            </m:ctrlPr>
          </m:sSubPr>
          <m:e>
            <m:r>
              <m:rPr/>
              <w:rPr>
                <w:rFonts w:ascii="Cambria Math" w:hAnsi="Cambria Math" w:cs="微软雅黑"/>
              </w:rPr>
              <m:t>D</m:t>
            </m:r>
            <m:ctrlPr>
              <w:rPr>
                <w:rFonts w:ascii="Cambria Math" w:hAnsi="Cambria Math" w:cs="微软雅黑"/>
                <w:i/>
                <w:kern w:val="2"/>
                <w:szCs w:val="21"/>
              </w:rPr>
            </m:ctrlPr>
          </m:e>
          <m:sub>
            <m:r>
              <m:rPr/>
              <w:rPr>
                <w:rFonts w:ascii="Cambria Math" w:hAnsi="Cambria Math" w:cs="微软雅黑"/>
              </w:rPr>
              <m:t xml:space="preserve">0     </m:t>
            </m:r>
            <m:ctrlPr>
              <w:rPr>
                <w:rFonts w:ascii="Cambria Math" w:hAnsi="Cambria Math" w:cs="微软雅黑"/>
                <w:i/>
                <w:kern w:val="2"/>
                <w:szCs w:val="21"/>
              </w:rPr>
            </m:ctrlPr>
          </m:sub>
        </m:sSub>
      </m:oMath>
      <w:r>
        <w:rPr>
          <w:rFonts w:hint="eastAsia"/>
          <w:kern w:val="2"/>
          <w:szCs w:val="21"/>
        </w:rPr>
        <w:t>——</w:t>
      </w:r>
      <w:r>
        <w:t>水位或流量达到供水保证水位或流量的天数</w:t>
      </w:r>
      <w:r>
        <w:rPr>
          <w:rFonts w:hint="eastAsia"/>
        </w:rPr>
        <w:t>，单位为日（d）；</w:t>
      </w:r>
    </w:p>
    <w:p w14:paraId="2E8C92AC">
      <w:pPr>
        <w:pStyle w:val="57"/>
        <w:ind w:firstLine="420"/>
      </w:pPr>
      <m:oMath>
        <m:r>
          <m:rPr/>
          <w:rPr>
            <w:rFonts w:ascii="Cambria Math" w:hAnsi="Cambria Math" w:cs="微软雅黑"/>
          </w:rPr>
          <m:t>D</m:t>
        </m:r>
        <m:r>
          <m:rPr/>
          <w:rPr>
            <w:rFonts w:ascii="Cambria Math" w:hAnsi="Cambria Math"/>
          </w:rPr>
          <m:t xml:space="preserve">     </m:t>
        </m:r>
      </m:oMath>
      <w:r>
        <w:rPr>
          <w:rFonts w:hint="eastAsia"/>
        </w:rPr>
        <w:t>——</w:t>
      </w:r>
      <w:r>
        <w:t>评价年总天数</w:t>
      </w:r>
      <w:r>
        <w:rPr>
          <w:rFonts w:hint="eastAsia"/>
        </w:rPr>
        <w:t>，单位为日（d）</w:t>
      </w:r>
      <w:r>
        <w:t>。</w:t>
      </w:r>
    </w:p>
    <w:p w14:paraId="61E3AB5F">
      <w:pPr>
        <w:pStyle w:val="113"/>
        <w:spacing w:before="156" w:after="156"/>
      </w:pPr>
      <w:r>
        <w:t>供水保证程度赋分标准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358"/>
        <w:gridCol w:w="1358"/>
        <w:gridCol w:w="1359"/>
        <w:gridCol w:w="1358"/>
        <w:gridCol w:w="1359"/>
      </w:tblGrid>
      <w:tr w14:paraId="05770E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tcPr>
          <w:p w14:paraId="79960680">
            <w:pPr>
              <w:pStyle w:val="179"/>
              <w:rPr>
                <w:rFonts w:hAnsi="宋体"/>
              </w:rPr>
            </w:pPr>
            <w:r>
              <w:rPr>
                <w:rFonts w:hAnsi="宋体"/>
              </w:rPr>
              <w:t>供水保证程度/%</w:t>
            </w:r>
          </w:p>
        </w:tc>
        <w:tc>
          <w:tcPr>
            <w:tcW w:w="1358" w:type="dxa"/>
            <w:tcBorders>
              <w:top w:val="single" w:color="auto" w:sz="8" w:space="0"/>
              <w:bottom w:val="single" w:color="auto" w:sz="8" w:space="0"/>
            </w:tcBorders>
            <w:shd w:val="clear" w:color="auto" w:fill="auto"/>
          </w:tcPr>
          <w:p w14:paraId="0B84683F">
            <w:pPr>
              <w:pStyle w:val="179"/>
              <w:rPr>
                <w:rFonts w:hAnsi="宋体"/>
              </w:rPr>
            </w:pPr>
            <w:r>
              <w:rPr>
                <w:rFonts w:hAnsi="宋体"/>
              </w:rPr>
              <w:t>≥95</w:t>
            </w:r>
          </w:p>
        </w:tc>
        <w:tc>
          <w:tcPr>
            <w:tcW w:w="1358" w:type="dxa"/>
            <w:tcBorders>
              <w:top w:val="single" w:color="auto" w:sz="8" w:space="0"/>
              <w:bottom w:val="single" w:color="auto" w:sz="8" w:space="0"/>
            </w:tcBorders>
            <w:shd w:val="clear" w:color="auto" w:fill="auto"/>
          </w:tcPr>
          <w:p w14:paraId="719FE338">
            <w:pPr>
              <w:pStyle w:val="179"/>
              <w:rPr>
                <w:rFonts w:hAnsi="宋体"/>
              </w:rPr>
            </w:pPr>
            <w:r>
              <w:rPr>
                <w:rFonts w:hAnsi="宋体"/>
              </w:rPr>
              <w:t>85</w:t>
            </w:r>
          </w:p>
        </w:tc>
        <w:tc>
          <w:tcPr>
            <w:tcW w:w="1359" w:type="dxa"/>
            <w:tcBorders>
              <w:top w:val="single" w:color="auto" w:sz="8" w:space="0"/>
              <w:bottom w:val="single" w:color="auto" w:sz="8" w:space="0"/>
            </w:tcBorders>
            <w:shd w:val="clear" w:color="auto" w:fill="auto"/>
          </w:tcPr>
          <w:p w14:paraId="1DDCCD3D">
            <w:pPr>
              <w:pStyle w:val="179"/>
              <w:rPr>
                <w:rFonts w:hAnsi="宋体"/>
              </w:rPr>
            </w:pPr>
            <w:r>
              <w:rPr>
                <w:rFonts w:hAnsi="宋体"/>
              </w:rPr>
              <w:t>60</w:t>
            </w:r>
          </w:p>
        </w:tc>
        <w:tc>
          <w:tcPr>
            <w:tcW w:w="1358" w:type="dxa"/>
            <w:tcBorders>
              <w:top w:val="single" w:color="auto" w:sz="8" w:space="0"/>
              <w:bottom w:val="single" w:color="auto" w:sz="8" w:space="0"/>
            </w:tcBorders>
            <w:shd w:val="clear" w:color="auto" w:fill="auto"/>
          </w:tcPr>
          <w:p w14:paraId="3ABA543C">
            <w:pPr>
              <w:pStyle w:val="179"/>
              <w:rPr>
                <w:rFonts w:hAnsi="宋体"/>
              </w:rPr>
            </w:pPr>
            <w:r>
              <w:rPr>
                <w:rFonts w:hAnsi="宋体"/>
              </w:rPr>
              <w:t>20</w:t>
            </w:r>
          </w:p>
        </w:tc>
        <w:tc>
          <w:tcPr>
            <w:tcW w:w="1359" w:type="dxa"/>
            <w:tcBorders>
              <w:top w:val="single" w:color="auto" w:sz="8" w:space="0"/>
              <w:bottom w:val="single" w:color="auto" w:sz="8" w:space="0"/>
            </w:tcBorders>
            <w:shd w:val="clear" w:color="auto" w:fill="auto"/>
          </w:tcPr>
          <w:p w14:paraId="193E48AF">
            <w:pPr>
              <w:pStyle w:val="179"/>
              <w:rPr>
                <w:rFonts w:hAnsi="宋体"/>
              </w:rPr>
            </w:pPr>
            <w:r>
              <w:rPr>
                <w:rFonts w:hAnsi="宋体"/>
              </w:rPr>
              <w:t>0</w:t>
            </w:r>
          </w:p>
        </w:tc>
      </w:tr>
      <w:tr w14:paraId="77087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tcPr>
          <w:p w14:paraId="43783084">
            <w:pPr>
              <w:pStyle w:val="179"/>
              <w:rPr>
                <w:rFonts w:hAnsi="宋体"/>
              </w:rPr>
            </w:pPr>
            <w:r>
              <w:rPr>
                <w:rFonts w:hAnsi="宋体"/>
              </w:rPr>
              <w:t>赋分/分</w:t>
            </w:r>
          </w:p>
        </w:tc>
        <w:tc>
          <w:tcPr>
            <w:tcW w:w="1358" w:type="dxa"/>
            <w:tcBorders>
              <w:top w:val="single" w:color="auto" w:sz="8" w:space="0"/>
            </w:tcBorders>
            <w:shd w:val="clear" w:color="auto" w:fill="auto"/>
          </w:tcPr>
          <w:p w14:paraId="74EA1A7B">
            <w:pPr>
              <w:pStyle w:val="179"/>
              <w:rPr>
                <w:rFonts w:hAnsi="宋体"/>
              </w:rPr>
            </w:pPr>
            <w:r>
              <w:rPr>
                <w:rFonts w:hAnsi="宋体"/>
              </w:rPr>
              <w:t>100</w:t>
            </w:r>
          </w:p>
        </w:tc>
        <w:tc>
          <w:tcPr>
            <w:tcW w:w="1358" w:type="dxa"/>
            <w:tcBorders>
              <w:top w:val="single" w:color="auto" w:sz="8" w:space="0"/>
            </w:tcBorders>
            <w:shd w:val="clear" w:color="auto" w:fill="auto"/>
          </w:tcPr>
          <w:p w14:paraId="5406DB6A">
            <w:pPr>
              <w:pStyle w:val="179"/>
              <w:rPr>
                <w:rFonts w:hAnsi="宋体"/>
              </w:rPr>
            </w:pPr>
            <w:r>
              <w:rPr>
                <w:rFonts w:hAnsi="宋体"/>
              </w:rPr>
              <w:t>85</w:t>
            </w:r>
          </w:p>
        </w:tc>
        <w:tc>
          <w:tcPr>
            <w:tcW w:w="1359" w:type="dxa"/>
            <w:tcBorders>
              <w:top w:val="single" w:color="auto" w:sz="8" w:space="0"/>
            </w:tcBorders>
            <w:shd w:val="clear" w:color="auto" w:fill="auto"/>
          </w:tcPr>
          <w:p w14:paraId="261C5FBB">
            <w:pPr>
              <w:pStyle w:val="179"/>
              <w:rPr>
                <w:rFonts w:hAnsi="宋体"/>
              </w:rPr>
            </w:pPr>
            <w:r>
              <w:rPr>
                <w:rFonts w:hAnsi="宋体"/>
              </w:rPr>
              <w:t>60</w:t>
            </w:r>
          </w:p>
        </w:tc>
        <w:tc>
          <w:tcPr>
            <w:tcW w:w="1358" w:type="dxa"/>
            <w:tcBorders>
              <w:top w:val="single" w:color="auto" w:sz="8" w:space="0"/>
            </w:tcBorders>
            <w:shd w:val="clear" w:color="auto" w:fill="auto"/>
          </w:tcPr>
          <w:p w14:paraId="299143D4">
            <w:pPr>
              <w:pStyle w:val="179"/>
              <w:rPr>
                <w:rFonts w:hAnsi="宋体"/>
              </w:rPr>
            </w:pPr>
            <w:r>
              <w:rPr>
                <w:rFonts w:hAnsi="宋体"/>
              </w:rPr>
              <w:t>20</w:t>
            </w:r>
          </w:p>
        </w:tc>
        <w:tc>
          <w:tcPr>
            <w:tcW w:w="1359" w:type="dxa"/>
            <w:tcBorders>
              <w:top w:val="single" w:color="auto" w:sz="8" w:space="0"/>
            </w:tcBorders>
            <w:shd w:val="clear" w:color="auto" w:fill="auto"/>
          </w:tcPr>
          <w:p w14:paraId="44E3ED03">
            <w:pPr>
              <w:pStyle w:val="179"/>
              <w:rPr>
                <w:rFonts w:hAnsi="宋体"/>
              </w:rPr>
            </w:pPr>
            <w:r>
              <w:rPr>
                <w:rFonts w:hAnsi="宋体"/>
              </w:rPr>
              <w:t>0</w:t>
            </w:r>
          </w:p>
        </w:tc>
      </w:tr>
    </w:tbl>
    <w:p w14:paraId="3D0930AA">
      <w:pPr>
        <w:pStyle w:val="106"/>
        <w:spacing w:before="156" w:after="156"/>
      </w:pPr>
      <w:bookmarkStart w:id="121" w:name="_Toc242796910"/>
      <w:bookmarkStart w:id="122" w:name="_Toc242804754"/>
      <w:r>
        <w:rPr>
          <w:rFonts w:hint="eastAsia"/>
        </w:rPr>
        <w:t>排涝工程达标率</w:t>
      </w:r>
      <w:bookmarkEnd w:id="121"/>
      <w:bookmarkEnd w:id="122"/>
    </w:p>
    <w:p w14:paraId="249CB583">
      <w:pPr>
        <w:pStyle w:val="166"/>
        <w:rPr>
          <w:b/>
          <w:bCs/>
        </w:rPr>
      </w:pPr>
      <w:r>
        <w:t>根据评价年达到排涝标准的涝区面积占流域涝区总面积的比例确定</w:t>
      </w:r>
      <w:r>
        <w:rPr>
          <w:rFonts w:hint="eastAsia"/>
        </w:rPr>
        <w:t>，</w:t>
      </w:r>
      <w:r>
        <w:t>按公式</w:t>
      </w:r>
      <w:r>
        <w:rPr>
          <w:rFonts w:hint="eastAsia"/>
        </w:rPr>
        <w:t>（17）</w:t>
      </w:r>
      <w:r>
        <w:t>计算</w:t>
      </w:r>
      <w:r>
        <w:rPr>
          <w:rFonts w:hint="eastAsia"/>
        </w:rPr>
        <w:t>，</w:t>
      </w:r>
      <w:r>
        <w:t>赋分标准见表27</w:t>
      </w:r>
      <w:r>
        <w:rPr>
          <w:rFonts w:hint="eastAsia"/>
        </w:rPr>
        <w:t>，</w:t>
      </w:r>
      <w:r>
        <w:t>采用线性插值法计算。</w:t>
      </w:r>
    </w:p>
    <w:p w14:paraId="2AEC2E92">
      <w:pPr>
        <w:spacing w:line="240" w:lineRule="auto"/>
        <w:ind w:right="23"/>
        <w:jc w:val="right"/>
        <w:rPr>
          <w:rFonts w:ascii="宋体" w:hAnsi="宋体"/>
        </w:rPr>
      </w:pPr>
      <m:oMath>
        <m:r>
          <m:rPr/>
          <w:rPr>
            <w:rFonts w:ascii="Cambria Math" w:hAnsi="Cambria Math" w:cs="微软雅黑"/>
          </w:rPr>
          <m:t>PAD=</m:t>
        </m:r>
        <m:f>
          <m:fPr>
            <m:ctrlPr>
              <w:rPr>
                <w:rFonts w:ascii="Cambria Math" w:hAnsi="Cambria Math" w:cs="微软雅黑"/>
                <w:i/>
              </w:rPr>
            </m:ctrlPr>
          </m:fPr>
          <m:num>
            <m:r>
              <m:rPr/>
              <w:rPr>
                <w:rFonts w:ascii="Cambria Math" w:hAnsi="Cambria Math" w:cs="微软雅黑"/>
              </w:rPr>
              <m:t>AAD</m:t>
            </m:r>
            <m:ctrlPr>
              <w:rPr>
                <w:rFonts w:ascii="Cambria Math" w:hAnsi="Cambria Math" w:cs="微软雅黑"/>
                <w:i/>
              </w:rPr>
            </m:ctrlPr>
          </m:num>
          <m:den>
            <m:r>
              <m:rPr/>
              <w:rPr>
                <w:rFonts w:ascii="Cambria Math" w:hAnsi="Cambria Math" w:cs="微软雅黑"/>
              </w:rPr>
              <m:t>TAD</m:t>
            </m:r>
            <m:ctrlPr>
              <w:rPr>
                <w:rFonts w:ascii="Cambria Math" w:hAnsi="Cambria Math" w:cs="微软雅黑"/>
                <w:i/>
              </w:rPr>
            </m:ctrlPr>
          </m:den>
        </m:f>
      </m:oMath>
      <w:r>
        <w:rPr>
          <w:rFonts w:ascii="宋体" w:hAnsi="宋体" w:cs="微软雅黑"/>
        </w:rPr>
        <w:t xml:space="preserve">  </w:t>
      </w:r>
      <w:r>
        <w:rPr>
          <w:rFonts w:ascii="宋体" w:hAnsi="宋体" w:cs="微软雅黑"/>
          <w:position w:val="2"/>
        </w:rPr>
        <w:t xml:space="preserve">                                    </w:t>
      </w:r>
      <w:r>
        <w:rPr>
          <w:rFonts w:hint="eastAsia" w:ascii="宋体" w:hAnsi="宋体" w:cs="微软雅黑"/>
          <w:position w:val="2"/>
        </w:rPr>
        <w:t>（</w:t>
      </w:r>
      <w:r>
        <w:rPr>
          <w:rFonts w:ascii="宋体" w:hAnsi="宋体" w:cs="微软雅黑"/>
          <w:position w:val="2"/>
        </w:rPr>
        <w:t>1</w:t>
      </w:r>
      <w:r>
        <w:rPr>
          <w:rFonts w:hint="eastAsia" w:ascii="宋体" w:hAnsi="宋体" w:cs="微软雅黑"/>
          <w:position w:val="2"/>
        </w:rPr>
        <w:t>7）</w:t>
      </w:r>
    </w:p>
    <w:p w14:paraId="41C3518F">
      <w:pPr>
        <w:pStyle w:val="57"/>
        <w:ind w:firstLine="420"/>
      </w:pPr>
      <w:r>
        <w:t>式中</w:t>
      </w:r>
      <w:r>
        <w:rPr>
          <w:rFonts w:hint="eastAsia"/>
        </w:rPr>
        <w:t>：</w:t>
      </w:r>
    </w:p>
    <w:p w14:paraId="7D1CAF77">
      <w:pPr>
        <w:pStyle w:val="57"/>
        <w:ind w:firstLine="420"/>
      </w:pPr>
      <m:oMath>
        <m:r>
          <m:rPr/>
          <w:rPr>
            <w:rFonts w:ascii="Cambria Math" w:hAnsi="Cambria Math" w:cs="微软雅黑"/>
          </w:rPr>
          <m:t>PAD</m:t>
        </m:r>
      </m:oMath>
      <w:r>
        <w:t xml:space="preserve"> </w:t>
      </w:r>
      <w:r>
        <w:rPr>
          <w:rFonts w:hint="eastAsia"/>
        </w:rPr>
        <w:t>——</w:t>
      </w:r>
      <w:r>
        <w:t>排涝工程达标率</w:t>
      </w:r>
      <w:r>
        <w:rPr>
          <w:rFonts w:hint="eastAsia"/>
        </w:rPr>
        <w:t>；</w:t>
      </w:r>
    </w:p>
    <w:p w14:paraId="5084643C">
      <w:pPr>
        <w:pStyle w:val="57"/>
        <w:ind w:firstLine="420"/>
      </w:pPr>
      <m:oMath>
        <m:r>
          <m:rPr/>
          <w:rPr>
            <w:rFonts w:ascii="Cambria Math" w:hAnsi="Cambria Math" w:cs="微软雅黑"/>
          </w:rPr>
          <m:t>AAD</m:t>
        </m:r>
      </m:oMath>
      <w:r>
        <w:t xml:space="preserve"> </w:t>
      </w:r>
      <w:r>
        <w:rPr>
          <w:rFonts w:hint="eastAsia"/>
        </w:rPr>
        <w:t>——</w:t>
      </w:r>
      <w:r>
        <w:t>达到排涝标准的涝区面积</w:t>
      </w:r>
      <w:r>
        <w:rPr>
          <w:rFonts w:hint="eastAsia"/>
        </w:rPr>
        <w:t>，单位为平方千米（</w:t>
      </w:r>
      <w:r>
        <w:t>km</w:t>
      </w:r>
      <w:r>
        <w:rPr>
          <w:vertAlign w:val="superscript"/>
        </w:rPr>
        <w:t>2</w:t>
      </w:r>
      <w:r>
        <w:rPr>
          <w:rFonts w:hint="eastAsia"/>
        </w:rPr>
        <w:t>）；</w:t>
      </w:r>
    </w:p>
    <w:p w14:paraId="02064351">
      <w:pPr>
        <w:pStyle w:val="57"/>
        <w:ind w:firstLine="420"/>
      </w:pPr>
      <m:oMath>
        <m:r>
          <m:rPr/>
          <w:rPr>
            <w:rFonts w:ascii="Cambria Math" w:hAnsi="Cambria Math" w:cs="微软雅黑"/>
          </w:rPr>
          <m:t>TAD</m:t>
        </m:r>
      </m:oMath>
      <w:r>
        <w:t xml:space="preserve"> </w:t>
      </w:r>
      <w:r>
        <w:rPr>
          <w:rFonts w:hint="eastAsia"/>
        </w:rPr>
        <w:t>——</w:t>
      </w:r>
      <w:r>
        <w:t>流域涝区总面积</w:t>
      </w:r>
      <w:r>
        <w:rPr>
          <w:rFonts w:hint="eastAsia"/>
        </w:rPr>
        <w:t>，单位为平方千米（</w:t>
      </w:r>
      <w:r>
        <w:t>km</w:t>
      </w:r>
      <w:r>
        <w:rPr>
          <w:vertAlign w:val="superscript"/>
        </w:rPr>
        <w:t>2</w:t>
      </w:r>
      <w:r>
        <w:rPr>
          <w:rFonts w:hint="eastAsia"/>
        </w:rPr>
        <w:t>）</w:t>
      </w:r>
      <w:r>
        <w:t>。</w:t>
      </w:r>
    </w:p>
    <w:p w14:paraId="02C8D4AD">
      <w:pPr>
        <w:pStyle w:val="113"/>
        <w:spacing w:before="156" w:after="156"/>
      </w:pPr>
      <w:r>
        <w:t>排涝工程达标率赋分标准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17"/>
        <w:gridCol w:w="1804"/>
        <w:gridCol w:w="1804"/>
        <w:gridCol w:w="1804"/>
        <w:gridCol w:w="1805"/>
      </w:tblGrid>
      <w:tr w14:paraId="0C69BF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2117" w:type="dxa"/>
            <w:tcBorders>
              <w:top w:val="single" w:color="auto" w:sz="8" w:space="0"/>
              <w:bottom w:val="single" w:color="auto" w:sz="8" w:space="0"/>
            </w:tcBorders>
            <w:shd w:val="clear" w:color="auto" w:fill="auto"/>
          </w:tcPr>
          <w:p w14:paraId="27D964DE">
            <w:pPr>
              <w:pStyle w:val="179"/>
              <w:rPr>
                <w:rFonts w:hAnsi="宋体"/>
              </w:rPr>
            </w:pPr>
            <w:r>
              <w:rPr>
                <w:rFonts w:hAnsi="宋体"/>
              </w:rPr>
              <w:t>排涝达标率/%</w:t>
            </w:r>
          </w:p>
        </w:tc>
        <w:tc>
          <w:tcPr>
            <w:tcW w:w="1804" w:type="dxa"/>
            <w:tcBorders>
              <w:top w:val="single" w:color="auto" w:sz="8" w:space="0"/>
              <w:bottom w:val="single" w:color="auto" w:sz="8" w:space="0"/>
            </w:tcBorders>
            <w:shd w:val="clear" w:color="auto" w:fill="auto"/>
          </w:tcPr>
          <w:p w14:paraId="59FF5B09">
            <w:pPr>
              <w:pStyle w:val="179"/>
              <w:rPr>
                <w:rFonts w:hAnsi="宋体"/>
              </w:rPr>
            </w:pPr>
            <w:r>
              <w:rPr>
                <w:rFonts w:hAnsi="宋体"/>
              </w:rPr>
              <w:t>100</w:t>
            </w:r>
          </w:p>
        </w:tc>
        <w:tc>
          <w:tcPr>
            <w:tcW w:w="1804" w:type="dxa"/>
            <w:tcBorders>
              <w:top w:val="single" w:color="auto" w:sz="8" w:space="0"/>
              <w:bottom w:val="single" w:color="auto" w:sz="8" w:space="0"/>
            </w:tcBorders>
            <w:shd w:val="clear" w:color="auto" w:fill="auto"/>
          </w:tcPr>
          <w:p w14:paraId="34543F90">
            <w:pPr>
              <w:pStyle w:val="179"/>
              <w:rPr>
                <w:rFonts w:hAnsi="宋体"/>
              </w:rPr>
            </w:pPr>
            <w:r>
              <w:rPr>
                <w:rFonts w:hAnsi="宋体"/>
              </w:rPr>
              <w:t>90</w:t>
            </w:r>
          </w:p>
        </w:tc>
        <w:tc>
          <w:tcPr>
            <w:tcW w:w="1804" w:type="dxa"/>
            <w:tcBorders>
              <w:top w:val="single" w:color="auto" w:sz="8" w:space="0"/>
              <w:bottom w:val="single" w:color="auto" w:sz="8" w:space="0"/>
            </w:tcBorders>
            <w:shd w:val="clear" w:color="auto" w:fill="auto"/>
          </w:tcPr>
          <w:p w14:paraId="1F17423E">
            <w:pPr>
              <w:pStyle w:val="179"/>
              <w:rPr>
                <w:rFonts w:hAnsi="宋体"/>
              </w:rPr>
            </w:pPr>
            <w:r>
              <w:rPr>
                <w:rFonts w:hAnsi="宋体"/>
              </w:rPr>
              <w:t>80</w:t>
            </w:r>
          </w:p>
        </w:tc>
        <w:tc>
          <w:tcPr>
            <w:tcW w:w="1805" w:type="dxa"/>
            <w:tcBorders>
              <w:top w:val="single" w:color="auto" w:sz="8" w:space="0"/>
              <w:bottom w:val="single" w:color="auto" w:sz="8" w:space="0"/>
            </w:tcBorders>
            <w:shd w:val="clear" w:color="auto" w:fill="auto"/>
          </w:tcPr>
          <w:p w14:paraId="5A551093">
            <w:pPr>
              <w:pStyle w:val="179"/>
              <w:rPr>
                <w:rFonts w:hAnsi="宋体"/>
              </w:rPr>
            </w:pPr>
            <w:r>
              <w:rPr>
                <w:rFonts w:hint="eastAsia" w:hAnsi="宋体"/>
              </w:rPr>
              <w:t>＜</w:t>
            </w:r>
            <w:r>
              <w:rPr>
                <w:rFonts w:hAnsi="宋体"/>
              </w:rPr>
              <w:t>75</w:t>
            </w:r>
          </w:p>
        </w:tc>
      </w:tr>
      <w:tr w14:paraId="27861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117" w:type="dxa"/>
            <w:tcBorders>
              <w:top w:val="single" w:color="auto" w:sz="8" w:space="0"/>
            </w:tcBorders>
            <w:shd w:val="clear" w:color="auto" w:fill="auto"/>
          </w:tcPr>
          <w:p w14:paraId="4FDAF103">
            <w:pPr>
              <w:pStyle w:val="179"/>
              <w:rPr>
                <w:rFonts w:hAnsi="宋体"/>
              </w:rPr>
            </w:pPr>
            <w:r>
              <w:rPr>
                <w:rFonts w:hAnsi="宋体"/>
              </w:rPr>
              <w:t>赋分/分</w:t>
            </w:r>
          </w:p>
        </w:tc>
        <w:tc>
          <w:tcPr>
            <w:tcW w:w="1804" w:type="dxa"/>
            <w:tcBorders>
              <w:top w:val="single" w:color="auto" w:sz="8" w:space="0"/>
            </w:tcBorders>
            <w:shd w:val="clear" w:color="auto" w:fill="auto"/>
          </w:tcPr>
          <w:p w14:paraId="1D5CD61C">
            <w:pPr>
              <w:pStyle w:val="179"/>
              <w:rPr>
                <w:rFonts w:hAnsi="宋体"/>
              </w:rPr>
            </w:pPr>
            <w:r>
              <w:rPr>
                <w:rFonts w:hAnsi="宋体"/>
              </w:rPr>
              <w:t>100</w:t>
            </w:r>
          </w:p>
        </w:tc>
        <w:tc>
          <w:tcPr>
            <w:tcW w:w="1804" w:type="dxa"/>
            <w:tcBorders>
              <w:top w:val="single" w:color="auto" w:sz="8" w:space="0"/>
            </w:tcBorders>
            <w:shd w:val="clear" w:color="auto" w:fill="auto"/>
          </w:tcPr>
          <w:p w14:paraId="0D8EB7BB">
            <w:pPr>
              <w:pStyle w:val="179"/>
              <w:rPr>
                <w:rFonts w:hAnsi="宋体"/>
              </w:rPr>
            </w:pPr>
            <w:r>
              <w:rPr>
                <w:rFonts w:hAnsi="宋体"/>
              </w:rPr>
              <w:t>60</w:t>
            </w:r>
          </w:p>
        </w:tc>
        <w:tc>
          <w:tcPr>
            <w:tcW w:w="1804" w:type="dxa"/>
            <w:tcBorders>
              <w:top w:val="single" w:color="auto" w:sz="8" w:space="0"/>
            </w:tcBorders>
            <w:shd w:val="clear" w:color="auto" w:fill="auto"/>
          </w:tcPr>
          <w:p w14:paraId="372B4651">
            <w:pPr>
              <w:pStyle w:val="179"/>
              <w:rPr>
                <w:rFonts w:hAnsi="宋体"/>
              </w:rPr>
            </w:pPr>
            <w:r>
              <w:rPr>
                <w:rFonts w:hAnsi="宋体"/>
              </w:rPr>
              <w:t>20</w:t>
            </w:r>
          </w:p>
        </w:tc>
        <w:tc>
          <w:tcPr>
            <w:tcW w:w="1805" w:type="dxa"/>
            <w:tcBorders>
              <w:top w:val="single" w:color="auto" w:sz="8" w:space="0"/>
            </w:tcBorders>
            <w:shd w:val="clear" w:color="auto" w:fill="auto"/>
          </w:tcPr>
          <w:p w14:paraId="123572E9">
            <w:pPr>
              <w:pStyle w:val="179"/>
              <w:rPr>
                <w:rFonts w:hAnsi="宋体"/>
              </w:rPr>
            </w:pPr>
            <w:r>
              <w:rPr>
                <w:rFonts w:hAnsi="宋体"/>
              </w:rPr>
              <w:t>0</w:t>
            </w:r>
          </w:p>
        </w:tc>
      </w:tr>
    </w:tbl>
    <w:p w14:paraId="49D998EA">
      <w:pPr>
        <w:pStyle w:val="57"/>
        <w:ind w:firstLine="420"/>
      </w:pPr>
    </w:p>
    <w:p w14:paraId="3ECC1648">
      <w:pPr>
        <w:pStyle w:val="166"/>
        <w:rPr>
          <w:b/>
          <w:bCs/>
        </w:rPr>
      </w:pPr>
      <w:r>
        <w:t>无规划排涝标准的</w:t>
      </w:r>
      <w:r>
        <w:rPr>
          <w:rFonts w:hint="eastAsia"/>
        </w:rPr>
        <w:t>，</w:t>
      </w:r>
      <w:r>
        <w:t>参照SL 723确定排涝标准</w:t>
      </w:r>
      <w:r>
        <w:rPr>
          <w:rFonts w:hint="eastAsia"/>
        </w:rPr>
        <w:t>；</w:t>
      </w:r>
      <w:r>
        <w:t>有市政管网系统的城镇区域排涝标准按市政相关规范的规定确定</w:t>
      </w:r>
      <w:r>
        <w:rPr>
          <w:rFonts w:hint="eastAsia"/>
        </w:rPr>
        <w:t>，</w:t>
      </w:r>
      <w:r>
        <w:t>涝区面积按有关排涝规划划定的评价河流所在排涝分区面积取值。</w:t>
      </w:r>
    </w:p>
    <w:p w14:paraId="367FB015">
      <w:pPr>
        <w:pStyle w:val="106"/>
        <w:spacing w:before="156" w:after="156"/>
      </w:pPr>
      <w:bookmarkStart w:id="123" w:name="_Toc242804755"/>
      <w:bookmarkStart w:id="124" w:name="_Toc242796911"/>
      <w:r>
        <w:rPr>
          <w:rFonts w:hint="eastAsia"/>
        </w:rPr>
        <w:t>通航保证率</w:t>
      </w:r>
      <w:bookmarkEnd w:id="123"/>
      <w:bookmarkEnd w:id="124"/>
    </w:p>
    <w:p w14:paraId="5B92ECFE">
      <w:pPr>
        <w:pStyle w:val="57"/>
        <w:ind w:firstLine="420"/>
      </w:pPr>
      <w:r>
        <w:rPr>
          <w:rFonts w:hint="eastAsia"/>
        </w:rPr>
        <w:t>评价通航保证情况，按公式（18）计算，赋分标准见表</w:t>
      </w:r>
      <w:r>
        <w:t>28</w:t>
      </w:r>
      <w:r>
        <w:rPr>
          <w:rFonts w:hint="eastAsia" w:hAnsi="宋体"/>
        </w:rPr>
        <w:t>～</w:t>
      </w:r>
      <w:r>
        <w:rPr>
          <w:rFonts w:hint="eastAsia"/>
        </w:rPr>
        <w:t>表</w:t>
      </w:r>
      <w:r>
        <w:t>30</w:t>
      </w:r>
      <w:r>
        <w:rPr>
          <w:rFonts w:hint="eastAsia"/>
        </w:rPr>
        <w:t>，采用线性插值法计算。</w:t>
      </w:r>
    </w:p>
    <w:p w14:paraId="2E9AC489">
      <w:pPr>
        <w:spacing w:line="240" w:lineRule="auto"/>
        <w:ind w:left="5" w:right="168" w:firstLine="4428" w:firstLineChars="1800"/>
        <w:rPr>
          <w:rFonts w:ascii="宋体" w:hAnsi="宋体" w:cs="宋体"/>
        </w:rPr>
      </w:pPr>
      <m:oMath>
        <m:sSub>
          <m:sSubPr>
            <m:ctrlPr>
              <w:rPr>
                <w:rFonts w:ascii="Cambria Math" w:hAnsi="Cambria Math" w:cs="微软雅黑"/>
                <w:i/>
                <w:spacing w:val="18"/>
              </w:rPr>
            </m:ctrlPr>
          </m:sSubPr>
          <m:e>
            <m:r>
              <m:rPr/>
              <w:rPr>
                <w:rFonts w:ascii="Cambria Math" w:hAnsi="Cambria Math" w:cs="微软雅黑"/>
                <w:spacing w:val="18"/>
              </w:rPr>
              <m:t>N</m:t>
            </m:r>
            <m:ctrlPr>
              <w:rPr>
                <w:rFonts w:ascii="Cambria Math" w:hAnsi="Cambria Math" w:cs="微软雅黑"/>
                <w:i/>
                <w:spacing w:val="18"/>
              </w:rPr>
            </m:ctrlPr>
          </m:e>
          <m:sub>
            <m:r>
              <m:rPr/>
              <w:rPr>
                <w:rFonts w:hint="eastAsia" w:ascii="Cambria Math" w:hAnsi="Cambria Math" w:cs="微软雅黑"/>
                <w:spacing w:val="18"/>
              </w:rPr>
              <m:t>d</m:t>
            </m:r>
            <m:ctrlPr>
              <w:rPr>
                <w:rFonts w:ascii="Cambria Math" w:hAnsi="Cambria Math" w:cs="微软雅黑"/>
                <w:i/>
                <w:spacing w:val="18"/>
              </w:rPr>
            </m:ctrlPr>
          </m:sub>
        </m:sSub>
        <m:r>
          <m:rPr/>
          <w:rPr>
            <w:rFonts w:hint="eastAsia" w:ascii="Cambria Math" w:hAnsi="Cambria Math" w:cs="微软雅黑"/>
            <w:spacing w:val="18"/>
          </w:rPr>
          <m:t>=</m:t>
        </m:r>
        <m:f>
          <m:fPr>
            <m:ctrlPr>
              <w:rPr>
                <w:rFonts w:ascii="Cambria Math" w:hAnsi="Cambria Math" w:cs="微软雅黑"/>
                <w:i/>
                <w:spacing w:val="18"/>
              </w:rPr>
            </m:ctrlPr>
          </m:fPr>
          <m:num>
            <m:sSub>
              <m:sSubPr>
                <m:ctrlPr>
                  <w:rPr>
                    <w:rFonts w:ascii="Cambria Math" w:hAnsi="Cambria Math" w:cs="微软雅黑"/>
                    <w:i/>
                    <w:spacing w:val="18"/>
                  </w:rPr>
                </m:ctrlPr>
              </m:sSubPr>
              <m:e>
                <m:r>
                  <m:rPr/>
                  <w:rPr>
                    <w:rFonts w:ascii="Cambria Math" w:hAnsi="Cambria Math" w:cs="微软雅黑"/>
                    <w:spacing w:val="18"/>
                  </w:rPr>
                  <m:t>N</m:t>
                </m:r>
                <m:ctrlPr>
                  <w:rPr>
                    <w:rFonts w:ascii="Cambria Math" w:hAnsi="Cambria Math" w:cs="微软雅黑"/>
                    <w:i/>
                    <w:spacing w:val="18"/>
                  </w:rPr>
                </m:ctrlPr>
              </m:e>
              <m:sub>
                <m:r>
                  <m:rPr/>
                  <w:rPr>
                    <w:rFonts w:hint="eastAsia" w:ascii="Cambria Math" w:hAnsi="Cambria Math" w:cs="微软雅黑"/>
                    <w:spacing w:val="18"/>
                  </w:rPr>
                  <m:t>n</m:t>
                </m:r>
                <m:ctrlPr>
                  <w:rPr>
                    <w:rFonts w:ascii="Cambria Math" w:hAnsi="Cambria Math" w:cs="微软雅黑"/>
                    <w:i/>
                    <w:spacing w:val="18"/>
                  </w:rPr>
                </m:ctrlPr>
              </m:sub>
            </m:sSub>
            <m:ctrlPr>
              <w:rPr>
                <w:rFonts w:ascii="Cambria Math" w:hAnsi="Cambria Math" w:cs="微软雅黑"/>
                <w:i/>
                <w:spacing w:val="18"/>
              </w:rPr>
            </m:ctrlPr>
          </m:num>
          <m:den>
            <m:sSub>
              <m:sSubPr>
                <m:ctrlPr>
                  <w:rPr>
                    <w:rFonts w:ascii="Cambria Math" w:hAnsi="Cambria Math" w:cs="微软雅黑"/>
                    <w:i/>
                    <w:spacing w:val="18"/>
                  </w:rPr>
                </m:ctrlPr>
              </m:sSubPr>
              <m:e>
                <m:r>
                  <m:rPr/>
                  <w:rPr>
                    <w:rFonts w:ascii="Cambria Math" w:hAnsi="Cambria Math" w:cs="微软雅黑"/>
                    <w:spacing w:val="18"/>
                  </w:rPr>
                  <m:t>N</m:t>
                </m:r>
                <m:ctrlPr>
                  <w:rPr>
                    <w:rFonts w:ascii="Cambria Math" w:hAnsi="Cambria Math" w:cs="微软雅黑"/>
                    <w:i/>
                    <w:spacing w:val="18"/>
                  </w:rPr>
                </m:ctrlPr>
              </m:e>
              <m:sub>
                <m:r>
                  <m:rPr/>
                  <w:rPr>
                    <w:rFonts w:ascii="Cambria Math" w:hAnsi="Cambria Math" w:cs="微软雅黑"/>
                    <w:spacing w:val="18"/>
                  </w:rPr>
                  <m:t>T</m:t>
                </m:r>
                <m:ctrlPr>
                  <w:rPr>
                    <w:rFonts w:ascii="Cambria Math" w:hAnsi="Cambria Math" w:cs="微软雅黑"/>
                    <w:i/>
                    <w:spacing w:val="18"/>
                  </w:rPr>
                </m:ctrlPr>
              </m:sub>
            </m:sSub>
            <m:ctrlPr>
              <w:rPr>
                <w:rFonts w:ascii="Cambria Math" w:hAnsi="Cambria Math" w:cs="微软雅黑"/>
                <w:i/>
                <w:spacing w:val="18"/>
              </w:rPr>
            </m:ctrlPr>
          </m:den>
        </m:f>
        <m:r>
          <m:rPr/>
          <w:rPr>
            <w:rFonts w:ascii="Cambria Math" w:hAnsi="Cambria Math" w:cs="微软雅黑"/>
            <w:spacing w:val="18"/>
          </w:rPr>
          <m:t>×100</m:t>
        </m:r>
        <m:r>
          <m:rPr/>
          <w:rPr>
            <w:rFonts w:hint="eastAsia" w:ascii="Cambria Math" w:hAnsi="Cambria Math" w:cs="微软雅黑"/>
            <w:spacing w:val="18"/>
          </w:rPr>
          <m:t>%</m:t>
        </m:r>
      </m:oMath>
      <w:r>
        <w:rPr>
          <w:rFonts w:ascii="宋体" w:hAnsi="宋体" w:cs="微软雅黑"/>
        </w:rPr>
        <w:t xml:space="preserve"> </w:t>
      </w:r>
      <w:r>
        <w:rPr>
          <w:rFonts w:ascii="宋体" w:hAnsi="宋体" w:cs="微软雅黑"/>
          <w:position w:val="2"/>
        </w:rPr>
        <w:t xml:space="preserve">                              </w:t>
      </w:r>
      <w:r>
        <w:rPr>
          <w:rFonts w:hint="eastAsia" w:ascii="宋体" w:hAnsi="宋体" w:cs="微软雅黑"/>
          <w:position w:val="2"/>
        </w:rPr>
        <w:t>（18）</w:t>
      </w:r>
    </w:p>
    <w:p w14:paraId="027283B4">
      <w:pPr>
        <w:pStyle w:val="57"/>
        <w:ind w:firstLine="420"/>
      </w:pPr>
      <w:r>
        <w:rPr>
          <w:rFonts w:hint="eastAsia"/>
        </w:rPr>
        <w:t>式中：</w:t>
      </w:r>
    </w:p>
    <w:p w14:paraId="7E335240">
      <w:pPr>
        <w:pStyle w:val="57"/>
        <w:ind w:firstLine="420"/>
      </w:pPr>
      <m:oMath>
        <m:sSub>
          <m:sSubPr>
            <m:ctrlPr>
              <w:rPr>
                <w:rFonts w:ascii="Cambria Math" w:hAnsi="Cambria Math" w:cs="微软雅黑"/>
                <w:i/>
                <w:spacing w:val="18"/>
                <w:kern w:val="2"/>
                <w:szCs w:val="21"/>
              </w:rPr>
            </m:ctrlPr>
          </m:sSubPr>
          <m:e>
            <m:r>
              <m:rPr/>
              <w:rPr>
                <w:rFonts w:ascii="Cambria Math" w:hAnsi="Cambria Math" w:cs="微软雅黑"/>
                <w:spacing w:val="18"/>
              </w:rPr>
              <m:t>N</m:t>
            </m:r>
            <m:ctrlPr>
              <w:rPr>
                <w:rFonts w:ascii="Cambria Math" w:hAnsi="Cambria Math" w:cs="微软雅黑"/>
                <w:i/>
                <w:spacing w:val="18"/>
                <w:kern w:val="2"/>
                <w:szCs w:val="21"/>
              </w:rPr>
            </m:ctrlPr>
          </m:e>
          <m:sub>
            <m:r>
              <m:rPr/>
              <w:rPr>
                <w:rFonts w:hint="eastAsia" w:ascii="Cambria Math" w:hAnsi="Cambria Math" w:cs="微软雅黑"/>
                <w:spacing w:val="18"/>
              </w:rPr>
              <m:t>d</m:t>
            </m:r>
            <m:ctrlPr>
              <w:rPr>
                <w:rFonts w:ascii="Cambria Math" w:hAnsi="Cambria Math" w:cs="微软雅黑"/>
                <w:i/>
                <w:spacing w:val="18"/>
                <w:kern w:val="2"/>
                <w:szCs w:val="21"/>
              </w:rPr>
            </m:ctrlPr>
          </m:sub>
        </m:sSub>
      </m:oMath>
      <w:r>
        <w:rPr>
          <w:rFonts w:hint="eastAsia"/>
        </w:rPr>
        <w:t xml:space="preserve"> ——通航保证率；</w:t>
      </w:r>
    </w:p>
    <w:p w14:paraId="11E7547F">
      <w:pPr>
        <w:pStyle w:val="57"/>
        <w:ind w:firstLine="420"/>
      </w:pPr>
      <m:oMath>
        <m:sSub>
          <m:sSubPr>
            <m:ctrlPr>
              <w:rPr>
                <w:rFonts w:ascii="Cambria Math" w:hAnsi="Cambria Math" w:cs="微软雅黑"/>
                <w:i/>
                <w:spacing w:val="18"/>
                <w:kern w:val="2"/>
                <w:szCs w:val="21"/>
              </w:rPr>
            </m:ctrlPr>
          </m:sSubPr>
          <m:e>
            <m:r>
              <m:rPr/>
              <w:rPr>
                <w:rFonts w:ascii="Cambria Math" w:hAnsi="Cambria Math" w:cs="微软雅黑"/>
                <w:spacing w:val="18"/>
              </w:rPr>
              <m:t>N</m:t>
            </m:r>
            <m:ctrlPr>
              <w:rPr>
                <w:rFonts w:ascii="Cambria Math" w:hAnsi="Cambria Math" w:cs="微软雅黑"/>
                <w:i/>
                <w:spacing w:val="18"/>
                <w:kern w:val="2"/>
                <w:szCs w:val="21"/>
              </w:rPr>
            </m:ctrlPr>
          </m:e>
          <m:sub>
            <m:r>
              <m:rPr/>
              <w:rPr>
                <w:rFonts w:hint="eastAsia" w:ascii="Cambria Math" w:hAnsi="Cambria Math" w:cs="微软雅黑"/>
                <w:spacing w:val="18"/>
              </w:rPr>
              <m:t>n</m:t>
            </m:r>
            <m:ctrlPr>
              <w:rPr>
                <w:rFonts w:ascii="Cambria Math" w:hAnsi="Cambria Math" w:cs="微软雅黑"/>
                <w:i/>
                <w:spacing w:val="18"/>
                <w:kern w:val="2"/>
                <w:szCs w:val="21"/>
              </w:rPr>
            </m:ctrlPr>
          </m:sub>
        </m:sSub>
      </m:oMath>
      <w:r>
        <w:rPr>
          <w:rFonts w:hint="eastAsia"/>
        </w:rPr>
        <w:t xml:space="preserve"> ——正常通航天数，单位为日（d）；</w:t>
      </w:r>
    </w:p>
    <w:p w14:paraId="72A13E43">
      <w:pPr>
        <w:pStyle w:val="57"/>
        <w:ind w:firstLine="420"/>
      </w:pPr>
      <m:oMath>
        <m:sSub>
          <m:sSubPr>
            <m:ctrlPr>
              <w:rPr>
                <w:rFonts w:ascii="Cambria Math" w:hAnsi="Cambria Math" w:cs="微软雅黑"/>
                <w:i/>
                <w:spacing w:val="18"/>
                <w:kern w:val="2"/>
                <w:szCs w:val="21"/>
              </w:rPr>
            </m:ctrlPr>
          </m:sSubPr>
          <m:e>
            <m:r>
              <m:rPr/>
              <w:rPr>
                <w:rFonts w:ascii="Cambria Math" w:hAnsi="Cambria Math" w:cs="微软雅黑"/>
                <w:spacing w:val="18"/>
              </w:rPr>
              <m:t>N</m:t>
            </m:r>
            <m:ctrlPr>
              <w:rPr>
                <w:rFonts w:ascii="Cambria Math" w:hAnsi="Cambria Math" w:cs="微软雅黑"/>
                <w:i/>
                <w:spacing w:val="18"/>
                <w:kern w:val="2"/>
                <w:szCs w:val="21"/>
              </w:rPr>
            </m:ctrlPr>
          </m:e>
          <m:sub>
            <m:r>
              <m:rPr/>
              <w:rPr>
                <w:rFonts w:ascii="Cambria Math" w:hAnsi="Cambria Math" w:cs="微软雅黑"/>
                <w:spacing w:val="18"/>
              </w:rPr>
              <m:t>T</m:t>
            </m:r>
            <m:ctrlPr>
              <w:rPr>
                <w:rFonts w:ascii="Cambria Math" w:hAnsi="Cambria Math" w:cs="微软雅黑"/>
                <w:i/>
                <w:spacing w:val="18"/>
                <w:kern w:val="2"/>
                <w:szCs w:val="21"/>
              </w:rPr>
            </m:ctrlPr>
          </m:sub>
        </m:sSub>
        <m:r>
          <m:rPr/>
          <w:rPr>
            <w:rFonts w:ascii="Cambria Math" w:hAnsi="Cambria Math" w:cs="微软雅黑"/>
            <w:spacing w:val="18"/>
            <w:kern w:val="2"/>
            <w:szCs w:val="21"/>
          </w:rPr>
          <m:t xml:space="preserve"> </m:t>
        </m:r>
      </m:oMath>
      <w:r>
        <w:rPr>
          <w:rFonts w:hint="eastAsia"/>
          <w:spacing w:val="18"/>
          <w:kern w:val="2"/>
          <w:szCs w:val="21"/>
        </w:rPr>
        <w:t>——</w:t>
      </w:r>
      <w:r>
        <w:rPr>
          <w:rFonts w:hint="eastAsia"/>
        </w:rPr>
        <w:t>评价年总天数，单位为日（d），因风、雾、洪水、船闸检修等不可抗力因素而不能通航的天数除外。</w:t>
      </w:r>
    </w:p>
    <w:p w14:paraId="06E65429">
      <w:pPr>
        <w:pStyle w:val="57"/>
        <w:ind w:firstLine="420"/>
      </w:pPr>
    </w:p>
    <w:p w14:paraId="205C7F6B">
      <w:pPr>
        <w:pStyle w:val="57"/>
        <w:ind w:firstLine="420"/>
      </w:pPr>
    </w:p>
    <w:p w14:paraId="2EDE7E09">
      <w:pPr>
        <w:pStyle w:val="113"/>
        <w:spacing w:before="156" w:after="156"/>
      </w:pPr>
      <w:r>
        <w:t>Ⅰ、Ⅱ级航道通航保证率赋分标准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358"/>
        <w:gridCol w:w="1358"/>
        <w:gridCol w:w="1359"/>
        <w:gridCol w:w="1358"/>
        <w:gridCol w:w="1359"/>
      </w:tblGrid>
      <w:tr w14:paraId="45B431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tcPr>
          <w:p w14:paraId="2AC786B5">
            <w:pPr>
              <w:pStyle w:val="179"/>
              <w:rPr>
                <w:rFonts w:hAnsi="宋体"/>
              </w:rPr>
            </w:pPr>
            <w:r>
              <w:rPr>
                <w:rFonts w:hAnsi="宋体"/>
              </w:rPr>
              <w:t>通航保证率/%</w:t>
            </w:r>
          </w:p>
        </w:tc>
        <w:tc>
          <w:tcPr>
            <w:tcW w:w="1358" w:type="dxa"/>
            <w:tcBorders>
              <w:top w:val="single" w:color="auto" w:sz="8" w:space="0"/>
              <w:bottom w:val="single" w:color="auto" w:sz="8" w:space="0"/>
            </w:tcBorders>
            <w:shd w:val="clear" w:color="auto" w:fill="auto"/>
          </w:tcPr>
          <w:p w14:paraId="43879037">
            <w:pPr>
              <w:pStyle w:val="179"/>
              <w:rPr>
                <w:rFonts w:hAnsi="宋体"/>
              </w:rPr>
            </w:pPr>
            <w:r>
              <w:rPr>
                <w:rFonts w:hAnsi="宋体"/>
              </w:rPr>
              <w:t>≥98</w:t>
            </w:r>
          </w:p>
        </w:tc>
        <w:tc>
          <w:tcPr>
            <w:tcW w:w="1358" w:type="dxa"/>
            <w:tcBorders>
              <w:top w:val="single" w:color="auto" w:sz="8" w:space="0"/>
              <w:bottom w:val="single" w:color="auto" w:sz="8" w:space="0"/>
            </w:tcBorders>
            <w:shd w:val="clear" w:color="auto" w:fill="auto"/>
          </w:tcPr>
          <w:p w14:paraId="42B46C3E">
            <w:pPr>
              <w:pStyle w:val="179"/>
              <w:rPr>
                <w:rFonts w:hAnsi="宋体"/>
              </w:rPr>
            </w:pPr>
            <w:r>
              <w:rPr>
                <w:rFonts w:hAnsi="宋体"/>
              </w:rPr>
              <w:t>96</w:t>
            </w:r>
          </w:p>
        </w:tc>
        <w:tc>
          <w:tcPr>
            <w:tcW w:w="1359" w:type="dxa"/>
            <w:tcBorders>
              <w:top w:val="single" w:color="auto" w:sz="8" w:space="0"/>
              <w:bottom w:val="single" w:color="auto" w:sz="8" w:space="0"/>
            </w:tcBorders>
            <w:shd w:val="clear" w:color="auto" w:fill="auto"/>
          </w:tcPr>
          <w:p w14:paraId="1EA94D55">
            <w:pPr>
              <w:pStyle w:val="179"/>
              <w:rPr>
                <w:rFonts w:hAnsi="宋体"/>
              </w:rPr>
            </w:pPr>
            <w:r>
              <w:rPr>
                <w:rFonts w:hAnsi="宋体"/>
              </w:rPr>
              <w:t>94</w:t>
            </w:r>
          </w:p>
        </w:tc>
        <w:tc>
          <w:tcPr>
            <w:tcW w:w="1358" w:type="dxa"/>
            <w:tcBorders>
              <w:top w:val="single" w:color="auto" w:sz="8" w:space="0"/>
              <w:bottom w:val="single" w:color="auto" w:sz="8" w:space="0"/>
            </w:tcBorders>
            <w:shd w:val="clear" w:color="auto" w:fill="auto"/>
          </w:tcPr>
          <w:p w14:paraId="6008824E">
            <w:pPr>
              <w:pStyle w:val="179"/>
              <w:rPr>
                <w:rFonts w:hAnsi="宋体"/>
              </w:rPr>
            </w:pPr>
            <w:r>
              <w:rPr>
                <w:rFonts w:hAnsi="宋体"/>
              </w:rPr>
              <w:t>92</w:t>
            </w:r>
          </w:p>
        </w:tc>
        <w:tc>
          <w:tcPr>
            <w:tcW w:w="1359" w:type="dxa"/>
            <w:tcBorders>
              <w:top w:val="single" w:color="auto" w:sz="8" w:space="0"/>
              <w:bottom w:val="single" w:color="auto" w:sz="8" w:space="0"/>
            </w:tcBorders>
            <w:shd w:val="clear" w:color="auto" w:fill="auto"/>
          </w:tcPr>
          <w:p w14:paraId="417BCEAA">
            <w:pPr>
              <w:pStyle w:val="179"/>
              <w:rPr>
                <w:rFonts w:hAnsi="宋体"/>
              </w:rPr>
            </w:pPr>
            <w:r>
              <w:rPr>
                <w:rFonts w:hint="eastAsia" w:hAnsi="宋体"/>
              </w:rPr>
              <w:t>＜</w:t>
            </w:r>
            <w:r>
              <w:rPr>
                <w:rFonts w:hAnsi="宋体"/>
              </w:rPr>
              <w:t>92</w:t>
            </w:r>
          </w:p>
        </w:tc>
      </w:tr>
      <w:tr w14:paraId="03D9C8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tcPr>
          <w:p w14:paraId="2CEBB5E6">
            <w:pPr>
              <w:pStyle w:val="179"/>
              <w:rPr>
                <w:rFonts w:hAnsi="宋体"/>
              </w:rPr>
            </w:pPr>
            <w:r>
              <w:rPr>
                <w:rFonts w:hAnsi="宋体"/>
              </w:rPr>
              <w:t>赋分/分</w:t>
            </w:r>
          </w:p>
        </w:tc>
        <w:tc>
          <w:tcPr>
            <w:tcW w:w="1358" w:type="dxa"/>
            <w:tcBorders>
              <w:top w:val="single" w:color="auto" w:sz="8" w:space="0"/>
            </w:tcBorders>
            <w:shd w:val="clear" w:color="auto" w:fill="auto"/>
          </w:tcPr>
          <w:p w14:paraId="69AE14DD">
            <w:pPr>
              <w:pStyle w:val="179"/>
              <w:rPr>
                <w:rFonts w:hAnsi="宋体"/>
              </w:rPr>
            </w:pPr>
            <w:r>
              <w:rPr>
                <w:rFonts w:hAnsi="宋体"/>
              </w:rPr>
              <w:t>100</w:t>
            </w:r>
          </w:p>
        </w:tc>
        <w:tc>
          <w:tcPr>
            <w:tcW w:w="1358" w:type="dxa"/>
            <w:tcBorders>
              <w:top w:val="single" w:color="auto" w:sz="8" w:space="0"/>
            </w:tcBorders>
            <w:shd w:val="clear" w:color="auto" w:fill="auto"/>
          </w:tcPr>
          <w:p w14:paraId="56635A18">
            <w:pPr>
              <w:pStyle w:val="179"/>
              <w:rPr>
                <w:rFonts w:hAnsi="宋体"/>
              </w:rPr>
            </w:pPr>
            <w:r>
              <w:rPr>
                <w:rFonts w:hAnsi="宋体"/>
              </w:rPr>
              <w:t>80</w:t>
            </w:r>
          </w:p>
        </w:tc>
        <w:tc>
          <w:tcPr>
            <w:tcW w:w="1359" w:type="dxa"/>
            <w:tcBorders>
              <w:top w:val="single" w:color="auto" w:sz="8" w:space="0"/>
            </w:tcBorders>
            <w:shd w:val="clear" w:color="auto" w:fill="auto"/>
          </w:tcPr>
          <w:p w14:paraId="3C843591">
            <w:pPr>
              <w:pStyle w:val="179"/>
              <w:rPr>
                <w:rFonts w:hAnsi="宋体"/>
              </w:rPr>
            </w:pPr>
            <w:r>
              <w:rPr>
                <w:rFonts w:hAnsi="宋体"/>
              </w:rPr>
              <w:t>60</w:t>
            </w:r>
          </w:p>
        </w:tc>
        <w:tc>
          <w:tcPr>
            <w:tcW w:w="1358" w:type="dxa"/>
            <w:tcBorders>
              <w:top w:val="single" w:color="auto" w:sz="8" w:space="0"/>
            </w:tcBorders>
            <w:shd w:val="clear" w:color="auto" w:fill="auto"/>
          </w:tcPr>
          <w:p w14:paraId="3707D644">
            <w:pPr>
              <w:pStyle w:val="179"/>
              <w:rPr>
                <w:rFonts w:hAnsi="宋体"/>
              </w:rPr>
            </w:pPr>
            <w:r>
              <w:rPr>
                <w:rFonts w:hAnsi="宋体"/>
              </w:rPr>
              <w:t>40</w:t>
            </w:r>
          </w:p>
        </w:tc>
        <w:tc>
          <w:tcPr>
            <w:tcW w:w="1359" w:type="dxa"/>
            <w:tcBorders>
              <w:top w:val="single" w:color="auto" w:sz="8" w:space="0"/>
            </w:tcBorders>
            <w:shd w:val="clear" w:color="auto" w:fill="auto"/>
          </w:tcPr>
          <w:p w14:paraId="42B3B955">
            <w:pPr>
              <w:pStyle w:val="179"/>
              <w:rPr>
                <w:rFonts w:hAnsi="宋体"/>
              </w:rPr>
            </w:pPr>
            <w:r>
              <w:rPr>
                <w:rFonts w:hAnsi="宋体"/>
              </w:rPr>
              <w:t>0</w:t>
            </w:r>
          </w:p>
        </w:tc>
      </w:tr>
    </w:tbl>
    <w:p w14:paraId="06BBBE6D">
      <w:pPr>
        <w:pStyle w:val="113"/>
        <w:spacing w:before="156" w:after="156"/>
      </w:pPr>
      <w:r>
        <w:t>Ⅲ、Ⅳ级航道通航保证率赋分标准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358"/>
        <w:gridCol w:w="1358"/>
        <w:gridCol w:w="1359"/>
        <w:gridCol w:w="1358"/>
        <w:gridCol w:w="1359"/>
      </w:tblGrid>
      <w:tr w14:paraId="4EA8B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tcPr>
          <w:p w14:paraId="0BF1B611">
            <w:pPr>
              <w:pStyle w:val="179"/>
              <w:rPr>
                <w:rFonts w:hAnsi="宋体"/>
              </w:rPr>
            </w:pPr>
            <w:r>
              <w:rPr>
                <w:rFonts w:hAnsi="宋体"/>
              </w:rPr>
              <w:t>通航保证率/%</w:t>
            </w:r>
          </w:p>
        </w:tc>
        <w:tc>
          <w:tcPr>
            <w:tcW w:w="1358" w:type="dxa"/>
            <w:tcBorders>
              <w:top w:val="single" w:color="auto" w:sz="8" w:space="0"/>
              <w:bottom w:val="single" w:color="auto" w:sz="8" w:space="0"/>
            </w:tcBorders>
            <w:shd w:val="clear" w:color="auto" w:fill="auto"/>
          </w:tcPr>
          <w:p w14:paraId="52E2569C">
            <w:pPr>
              <w:pStyle w:val="179"/>
              <w:rPr>
                <w:rFonts w:hAnsi="宋体"/>
              </w:rPr>
            </w:pPr>
            <w:r>
              <w:rPr>
                <w:rFonts w:hAnsi="宋体"/>
              </w:rPr>
              <w:t>≥95</w:t>
            </w:r>
          </w:p>
        </w:tc>
        <w:tc>
          <w:tcPr>
            <w:tcW w:w="1358" w:type="dxa"/>
            <w:tcBorders>
              <w:top w:val="single" w:color="auto" w:sz="8" w:space="0"/>
              <w:bottom w:val="single" w:color="auto" w:sz="8" w:space="0"/>
            </w:tcBorders>
            <w:shd w:val="clear" w:color="auto" w:fill="auto"/>
          </w:tcPr>
          <w:p w14:paraId="50216D7F">
            <w:pPr>
              <w:pStyle w:val="179"/>
              <w:rPr>
                <w:rFonts w:hAnsi="宋体"/>
              </w:rPr>
            </w:pPr>
            <w:r>
              <w:rPr>
                <w:rFonts w:hAnsi="宋体"/>
              </w:rPr>
              <w:t>91</w:t>
            </w:r>
          </w:p>
        </w:tc>
        <w:tc>
          <w:tcPr>
            <w:tcW w:w="1359" w:type="dxa"/>
            <w:tcBorders>
              <w:top w:val="single" w:color="auto" w:sz="8" w:space="0"/>
              <w:bottom w:val="single" w:color="auto" w:sz="8" w:space="0"/>
            </w:tcBorders>
            <w:shd w:val="clear" w:color="auto" w:fill="auto"/>
          </w:tcPr>
          <w:p w14:paraId="2D727E46">
            <w:pPr>
              <w:pStyle w:val="179"/>
              <w:rPr>
                <w:rFonts w:hAnsi="宋体"/>
              </w:rPr>
            </w:pPr>
            <w:r>
              <w:rPr>
                <w:rFonts w:hAnsi="宋体"/>
              </w:rPr>
              <w:t>87</w:t>
            </w:r>
          </w:p>
        </w:tc>
        <w:tc>
          <w:tcPr>
            <w:tcW w:w="1358" w:type="dxa"/>
            <w:tcBorders>
              <w:top w:val="single" w:color="auto" w:sz="8" w:space="0"/>
              <w:bottom w:val="single" w:color="auto" w:sz="8" w:space="0"/>
            </w:tcBorders>
            <w:shd w:val="clear" w:color="auto" w:fill="auto"/>
          </w:tcPr>
          <w:p w14:paraId="1C6314CE">
            <w:pPr>
              <w:pStyle w:val="179"/>
              <w:rPr>
                <w:rFonts w:hAnsi="宋体"/>
              </w:rPr>
            </w:pPr>
            <w:r>
              <w:rPr>
                <w:rFonts w:hAnsi="宋体"/>
              </w:rPr>
              <w:t>83</w:t>
            </w:r>
          </w:p>
        </w:tc>
        <w:tc>
          <w:tcPr>
            <w:tcW w:w="1359" w:type="dxa"/>
            <w:tcBorders>
              <w:top w:val="single" w:color="auto" w:sz="8" w:space="0"/>
              <w:bottom w:val="single" w:color="auto" w:sz="8" w:space="0"/>
            </w:tcBorders>
            <w:shd w:val="clear" w:color="auto" w:fill="auto"/>
          </w:tcPr>
          <w:p w14:paraId="2021E05B">
            <w:pPr>
              <w:pStyle w:val="179"/>
              <w:rPr>
                <w:rFonts w:hAnsi="宋体"/>
              </w:rPr>
            </w:pPr>
            <w:bookmarkStart w:id="125" w:name="OLE_LINK3"/>
            <w:r>
              <w:rPr>
                <w:rFonts w:hint="eastAsia" w:hAnsi="宋体"/>
              </w:rPr>
              <w:t>＜</w:t>
            </w:r>
            <w:bookmarkEnd w:id="125"/>
            <w:r>
              <w:rPr>
                <w:rFonts w:hAnsi="宋体"/>
              </w:rPr>
              <w:t>83</w:t>
            </w:r>
          </w:p>
        </w:tc>
      </w:tr>
      <w:tr w14:paraId="229655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tcPr>
          <w:p w14:paraId="3A2A4F09">
            <w:pPr>
              <w:pStyle w:val="179"/>
              <w:rPr>
                <w:rFonts w:hAnsi="宋体"/>
              </w:rPr>
            </w:pPr>
            <w:r>
              <w:rPr>
                <w:rFonts w:hAnsi="宋体"/>
              </w:rPr>
              <w:t>赋分/分</w:t>
            </w:r>
          </w:p>
        </w:tc>
        <w:tc>
          <w:tcPr>
            <w:tcW w:w="1358" w:type="dxa"/>
            <w:tcBorders>
              <w:top w:val="single" w:color="auto" w:sz="8" w:space="0"/>
            </w:tcBorders>
            <w:shd w:val="clear" w:color="auto" w:fill="auto"/>
          </w:tcPr>
          <w:p w14:paraId="0426E656">
            <w:pPr>
              <w:pStyle w:val="179"/>
              <w:rPr>
                <w:rFonts w:hAnsi="宋体"/>
              </w:rPr>
            </w:pPr>
            <w:r>
              <w:rPr>
                <w:rFonts w:hAnsi="宋体"/>
              </w:rPr>
              <w:t>100</w:t>
            </w:r>
          </w:p>
        </w:tc>
        <w:tc>
          <w:tcPr>
            <w:tcW w:w="1358" w:type="dxa"/>
            <w:tcBorders>
              <w:top w:val="single" w:color="auto" w:sz="8" w:space="0"/>
            </w:tcBorders>
            <w:shd w:val="clear" w:color="auto" w:fill="auto"/>
          </w:tcPr>
          <w:p w14:paraId="635F3174">
            <w:pPr>
              <w:pStyle w:val="179"/>
              <w:rPr>
                <w:rFonts w:hAnsi="宋体"/>
              </w:rPr>
            </w:pPr>
            <w:r>
              <w:rPr>
                <w:rFonts w:hAnsi="宋体"/>
              </w:rPr>
              <w:t>80</w:t>
            </w:r>
          </w:p>
        </w:tc>
        <w:tc>
          <w:tcPr>
            <w:tcW w:w="1359" w:type="dxa"/>
            <w:tcBorders>
              <w:top w:val="single" w:color="auto" w:sz="8" w:space="0"/>
            </w:tcBorders>
            <w:shd w:val="clear" w:color="auto" w:fill="auto"/>
          </w:tcPr>
          <w:p w14:paraId="55F92287">
            <w:pPr>
              <w:pStyle w:val="179"/>
              <w:rPr>
                <w:rFonts w:hAnsi="宋体"/>
              </w:rPr>
            </w:pPr>
            <w:r>
              <w:rPr>
                <w:rFonts w:hAnsi="宋体"/>
              </w:rPr>
              <w:t>60</w:t>
            </w:r>
          </w:p>
        </w:tc>
        <w:tc>
          <w:tcPr>
            <w:tcW w:w="1358" w:type="dxa"/>
            <w:tcBorders>
              <w:top w:val="single" w:color="auto" w:sz="8" w:space="0"/>
            </w:tcBorders>
            <w:shd w:val="clear" w:color="auto" w:fill="auto"/>
          </w:tcPr>
          <w:p w14:paraId="51AE8AC1">
            <w:pPr>
              <w:pStyle w:val="179"/>
              <w:rPr>
                <w:rFonts w:hAnsi="宋体"/>
              </w:rPr>
            </w:pPr>
            <w:r>
              <w:rPr>
                <w:rFonts w:hAnsi="宋体"/>
              </w:rPr>
              <w:t>40</w:t>
            </w:r>
          </w:p>
        </w:tc>
        <w:tc>
          <w:tcPr>
            <w:tcW w:w="1359" w:type="dxa"/>
            <w:tcBorders>
              <w:top w:val="single" w:color="auto" w:sz="8" w:space="0"/>
            </w:tcBorders>
            <w:shd w:val="clear" w:color="auto" w:fill="auto"/>
          </w:tcPr>
          <w:p w14:paraId="300DF5AA">
            <w:pPr>
              <w:pStyle w:val="179"/>
              <w:rPr>
                <w:rFonts w:hAnsi="宋体"/>
              </w:rPr>
            </w:pPr>
            <w:r>
              <w:rPr>
                <w:rFonts w:hAnsi="宋体"/>
              </w:rPr>
              <w:t>0</w:t>
            </w:r>
          </w:p>
        </w:tc>
      </w:tr>
    </w:tbl>
    <w:p w14:paraId="28A303E0">
      <w:pPr>
        <w:pStyle w:val="113"/>
        <w:spacing w:before="156" w:after="156"/>
      </w:pPr>
      <w:r>
        <w:t>Ⅴ-Ⅶ级航道通航保证率赋分标准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542"/>
        <w:gridCol w:w="1358"/>
        <w:gridCol w:w="1358"/>
        <w:gridCol w:w="1359"/>
        <w:gridCol w:w="1358"/>
        <w:gridCol w:w="1359"/>
      </w:tblGrid>
      <w:tr w14:paraId="745849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shd w:val="clear" w:color="auto" w:fill="auto"/>
          </w:tcPr>
          <w:p w14:paraId="1F0D7A74">
            <w:pPr>
              <w:pStyle w:val="179"/>
              <w:rPr>
                <w:rFonts w:hAnsi="宋体"/>
              </w:rPr>
            </w:pPr>
            <w:r>
              <w:rPr>
                <w:rFonts w:hAnsi="宋体"/>
              </w:rPr>
              <w:t>通航保证率/%</w:t>
            </w:r>
          </w:p>
        </w:tc>
        <w:tc>
          <w:tcPr>
            <w:tcW w:w="1358" w:type="dxa"/>
            <w:tcBorders>
              <w:top w:val="single" w:color="auto" w:sz="8" w:space="0"/>
              <w:bottom w:val="single" w:color="auto" w:sz="8" w:space="0"/>
            </w:tcBorders>
            <w:shd w:val="clear" w:color="auto" w:fill="auto"/>
          </w:tcPr>
          <w:p w14:paraId="631F7F84">
            <w:pPr>
              <w:pStyle w:val="179"/>
              <w:rPr>
                <w:rFonts w:hAnsi="宋体"/>
              </w:rPr>
            </w:pPr>
            <w:r>
              <w:rPr>
                <w:rFonts w:hAnsi="宋体"/>
              </w:rPr>
              <w:t>≥90</w:t>
            </w:r>
          </w:p>
        </w:tc>
        <w:tc>
          <w:tcPr>
            <w:tcW w:w="1358" w:type="dxa"/>
            <w:tcBorders>
              <w:top w:val="single" w:color="auto" w:sz="8" w:space="0"/>
              <w:bottom w:val="single" w:color="auto" w:sz="8" w:space="0"/>
            </w:tcBorders>
            <w:shd w:val="clear" w:color="auto" w:fill="auto"/>
          </w:tcPr>
          <w:p w14:paraId="4A6BE0D1">
            <w:pPr>
              <w:pStyle w:val="179"/>
              <w:rPr>
                <w:rFonts w:hAnsi="宋体"/>
              </w:rPr>
            </w:pPr>
            <w:r>
              <w:rPr>
                <w:rFonts w:hAnsi="宋体"/>
              </w:rPr>
              <w:t>85</w:t>
            </w:r>
          </w:p>
        </w:tc>
        <w:tc>
          <w:tcPr>
            <w:tcW w:w="1359" w:type="dxa"/>
            <w:tcBorders>
              <w:top w:val="single" w:color="auto" w:sz="8" w:space="0"/>
              <w:bottom w:val="single" w:color="auto" w:sz="8" w:space="0"/>
            </w:tcBorders>
            <w:shd w:val="clear" w:color="auto" w:fill="auto"/>
          </w:tcPr>
          <w:p w14:paraId="279C810D">
            <w:pPr>
              <w:pStyle w:val="179"/>
              <w:rPr>
                <w:rFonts w:hAnsi="宋体"/>
              </w:rPr>
            </w:pPr>
            <w:r>
              <w:rPr>
                <w:rFonts w:hAnsi="宋体"/>
              </w:rPr>
              <w:t>80</w:t>
            </w:r>
          </w:p>
        </w:tc>
        <w:tc>
          <w:tcPr>
            <w:tcW w:w="1358" w:type="dxa"/>
            <w:tcBorders>
              <w:top w:val="single" w:color="auto" w:sz="8" w:space="0"/>
              <w:bottom w:val="single" w:color="auto" w:sz="8" w:space="0"/>
            </w:tcBorders>
            <w:shd w:val="clear" w:color="auto" w:fill="auto"/>
          </w:tcPr>
          <w:p w14:paraId="3A0FA25F">
            <w:pPr>
              <w:pStyle w:val="179"/>
              <w:rPr>
                <w:rFonts w:hAnsi="宋体"/>
              </w:rPr>
            </w:pPr>
            <w:r>
              <w:rPr>
                <w:rFonts w:hAnsi="宋体"/>
              </w:rPr>
              <w:t>75</w:t>
            </w:r>
          </w:p>
        </w:tc>
        <w:tc>
          <w:tcPr>
            <w:tcW w:w="1359" w:type="dxa"/>
            <w:tcBorders>
              <w:top w:val="single" w:color="auto" w:sz="8" w:space="0"/>
              <w:bottom w:val="single" w:color="auto" w:sz="8" w:space="0"/>
            </w:tcBorders>
            <w:shd w:val="clear" w:color="auto" w:fill="auto"/>
          </w:tcPr>
          <w:p w14:paraId="04D4D767">
            <w:pPr>
              <w:pStyle w:val="179"/>
              <w:rPr>
                <w:rFonts w:hAnsi="宋体"/>
              </w:rPr>
            </w:pPr>
            <w:r>
              <w:rPr>
                <w:rFonts w:hint="eastAsia" w:hAnsi="宋体"/>
              </w:rPr>
              <w:t>＜</w:t>
            </w:r>
            <w:r>
              <w:rPr>
                <w:rFonts w:hAnsi="宋体"/>
              </w:rPr>
              <w:t>75</w:t>
            </w:r>
          </w:p>
        </w:tc>
      </w:tr>
      <w:tr w14:paraId="6DD5C9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542" w:type="dxa"/>
            <w:tcBorders>
              <w:top w:val="single" w:color="auto" w:sz="8" w:space="0"/>
            </w:tcBorders>
            <w:shd w:val="clear" w:color="auto" w:fill="auto"/>
          </w:tcPr>
          <w:p w14:paraId="7A05F7F2">
            <w:pPr>
              <w:pStyle w:val="179"/>
              <w:rPr>
                <w:rFonts w:hAnsi="宋体"/>
              </w:rPr>
            </w:pPr>
            <w:r>
              <w:rPr>
                <w:rFonts w:hAnsi="宋体"/>
              </w:rPr>
              <w:t>赋分/分</w:t>
            </w:r>
          </w:p>
        </w:tc>
        <w:tc>
          <w:tcPr>
            <w:tcW w:w="1358" w:type="dxa"/>
            <w:tcBorders>
              <w:top w:val="single" w:color="auto" w:sz="8" w:space="0"/>
            </w:tcBorders>
            <w:shd w:val="clear" w:color="auto" w:fill="auto"/>
          </w:tcPr>
          <w:p w14:paraId="5205E9D6">
            <w:pPr>
              <w:pStyle w:val="179"/>
              <w:rPr>
                <w:rFonts w:hAnsi="宋体"/>
              </w:rPr>
            </w:pPr>
            <w:r>
              <w:rPr>
                <w:rFonts w:hAnsi="宋体"/>
              </w:rPr>
              <w:t>100</w:t>
            </w:r>
          </w:p>
        </w:tc>
        <w:tc>
          <w:tcPr>
            <w:tcW w:w="1358" w:type="dxa"/>
            <w:tcBorders>
              <w:top w:val="single" w:color="auto" w:sz="8" w:space="0"/>
            </w:tcBorders>
            <w:shd w:val="clear" w:color="auto" w:fill="auto"/>
          </w:tcPr>
          <w:p w14:paraId="47E89860">
            <w:pPr>
              <w:pStyle w:val="179"/>
              <w:rPr>
                <w:rFonts w:hAnsi="宋体"/>
              </w:rPr>
            </w:pPr>
            <w:r>
              <w:rPr>
                <w:rFonts w:hAnsi="宋体"/>
              </w:rPr>
              <w:t>80</w:t>
            </w:r>
          </w:p>
        </w:tc>
        <w:tc>
          <w:tcPr>
            <w:tcW w:w="1359" w:type="dxa"/>
            <w:tcBorders>
              <w:top w:val="single" w:color="auto" w:sz="8" w:space="0"/>
            </w:tcBorders>
            <w:shd w:val="clear" w:color="auto" w:fill="auto"/>
          </w:tcPr>
          <w:p w14:paraId="412A685A">
            <w:pPr>
              <w:pStyle w:val="179"/>
              <w:rPr>
                <w:rFonts w:hAnsi="宋体"/>
              </w:rPr>
            </w:pPr>
            <w:r>
              <w:rPr>
                <w:rFonts w:hAnsi="宋体"/>
              </w:rPr>
              <w:t>60</w:t>
            </w:r>
          </w:p>
        </w:tc>
        <w:tc>
          <w:tcPr>
            <w:tcW w:w="1358" w:type="dxa"/>
            <w:tcBorders>
              <w:top w:val="single" w:color="auto" w:sz="8" w:space="0"/>
            </w:tcBorders>
            <w:shd w:val="clear" w:color="auto" w:fill="auto"/>
          </w:tcPr>
          <w:p w14:paraId="12F2177F">
            <w:pPr>
              <w:pStyle w:val="179"/>
              <w:rPr>
                <w:rFonts w:hAnsi="宋体"/>
              </w:rPr>
            </w:pPr>
            <w:r>
              <w:rPr>
                <w:rFonts w:hAnsi="宋体"/>
              </w:rPr>
              <w:t>40</w:t>
            </w:r>
          </w:p>
        </w:tc>
        <w:tc>
          <w:tcPr>
            <w:tcW w:w="1359" w:type="dxa"/>
            <w:tcBorders>
              <w:top w:val="single" w:color="auto" w:sz="8" w:space="0"/>
            </w:tcBorders>
            <w:shd w:val="clear" w:color="auto" w:fill="auto"/>
          </w:tcPr>
          <w:p w14:paraId="6C7C0B98">
            <w:pPr>
              <w:pStyle w:val="179"/>
              <w:rPr>
                <w:rFonts w:hAnsi="宋体"/>
              </w:rPr>
            </w:pPr>
            <w:r>
              <w:rPr>
                <w:rFonts w:hAnsi="宋体"/>
              </w:rPr>
              <w:t>0</w:t>
            </w:r>
          </w:p>
        </w:tc>
      </w:tr>
    </w:tbl>
    <w:p w14:paraId="7EF4E944">
      <w:pPr>
        <w:pStyle w:val="105"/>
        <w:spacing w:before="312" w:after="312"/>
      </w:pPr>
      <w:bookmarkStart w:id="126" w:name="_Toc242796912"/>
      <w:bookmarkStart w:id="127" w:name="_Toc242804756"/>
      <w:r>
        <w:rPr>
          <w:rFonts w:hint="eastAsia"/>
        </w:rPr>
        <w:t>调查监测</w:t>
      </w:r>
      <w:bookmarkEnd w:id="126"/>
      <w:bookmarkEnd w:id="127"/>
    </w:p>
    <w:p w14:paraId="39D2E34D">
      <w:pPr>
        <w:pStyle w:val="106"/>
        <w:spacing w:before="156" w:after="156"/>
      </w:pPr>
      <w:bookmarkStart w:id="128" w:name="_Toc242804757"/>
      <w:r>
        <w:rPr>
          <w:rFonts w:hint="eastAsia"/>
        </w:rPr>
        <w:t>监测方法</w:t>
      </w:r>
      <w:bookmarkEnd w:id="128"/>
    </w:p>
    <w:p w14:paraId="14A5BF21">
      <w:pPr>
        <w:pStyle w:val="57"/>
        <w:ind w:firstLine="420"/>
      </w:pPr>
      <w:r>
        <w:rPr>
          <w:rFonts w:hint="eastAsia"/>
        </w:rPr>
        <w:t>河湖健康调查监测参照</w:t>
      </w:r>
      <w:r>
        <w:t>SL/T</w:t>
      </w:r>
      <w:r>
        <w:rPr>
          <w:rFonts w:hint="eastAsia"/>
        </w:rPr>
        <w:t xml:space="preserve"> </w:t>
      </w:r>
      <w:r>
        <w:t>793</w:t>
      </w:r>
      <w:r>
        <w:rPr>
          <w:rFonts w:hint="eastAsia"/>
        </w:rPr>
        <w:t>开展，并结合河湖自身特点开展。</w:t>
      </w:r>
    </w:p>
    <w:p w14:paraId="35A21E58">
      <w:pPr>
        <w:pStyle w:val="106"/>
        <w:spacing w:before="156" w:after="156"/>
      </w:pPr>
      <w:bookmarkStart w:id="129" w:name="_Toc242804758"/>
      <w:bookmarkStart w:id="130" w:name="_Toc242796913"/>
      <w:r>
        <w:rPr>
          <w:rFonts w:hint="eastAsia"/>
        </w:rPr>
        <w:t>河湖分段分区与调查监测点位/断面设置</w:t>
      </w:r>
      <w:bookmarkEnd w:id="129"/>
      <w:bookmarkEnd w:id="130"/>
    </w:p>
    <w:p w14:paraId="2772E924">
      <w:pPr>
        <w:pStyle w:val="166"/>
      </w:pPr>
      <w:r>
        <w:rPr>
          <w:rFonts w:hint="eastAsia"/>
        </w:rPr>
        <w:t>河流分段宜与岸线保护利用规划相协调，根据河流水文特征、河床及河滨带形态、水质状况、水生生物特征以及区域经济社会发展特征，同时兼顾行政管辖段，沿河流纵向将河流分为若干评价河段。评价对象长度大于等于</w:t>
      </w:r>
      <w:r>
        <w:t>1</w:t>
      </w:r>
      <w:r>
        <w:rPr>
          <w:rFonts w:hint="eastAsia"/>
        </w:rPr>
        <w:t>0km的,宜划分为多个评价河段</w:t>
      </w:r>
      <w:r>
        <w:t>。</w:t>
      </w:r>
    </w:p>
    <w:p w14:paraId="7E66D561">
      <w:pPr>
        <w:pStyle w:val="166"/>
      </w:pPr>
      <w:r>
        <w:rPr>
          <w:rFonts w:hint="eastAsia"/>
        </w:rPr>
        <w:t>根据评价指标特点在评价河段内设置调查监测河段和调查监测点位。调查监测河段宜为1km，可按40倍河宽确定，但最短不小于150m。每个调查监测河段内可根据指标特点设置1个或多个调查监测点位/断面。</w:t>
      </w:r>
    </w:p>
    <w:p w14:paraId="0F1B7FDB">
      <w:pPr>
        <w:pStyle w:val="166"/>
      </w:pPr>
      <w:r>
        <w:rPr>
          <w:rFonts w:hint="eastAsia"/>
        </w:rPr>
        <w:t>湖泊分区宜根据其水文、水动力学特征、水质、生物分区特征、行政管辖湖片进行划分。湖泊宜采用随机取样方法布设调查监测点位/断面；针对水面面积大于等于10km</w:t>
      </w:r>
      <w:r>
        <w:rPr>
          <w:rFonts w:hint="eastAsia"/>
          <w:vertAlign w:val="superscript"/>
        </w:rPr>
        <w:t>2</w:t>
      </w:r>
      <w:r>
        <w:rPr>
          <w:rFonts w:hint="eastAsia"/>
        </w:rPr>
        <w:t>的湖泊，在湖岸线周边随机选择第一个点位，然后10等分湖岸线，依次设置调查监测点位/断面；对于水面面积小于10km</w:t>
      </w:r>
      <w:r>
        <w:rPr>
          <w:rFonts w:hint="eastAsia"/>
          <w:vertAlign w:val="superscript"/>
        </w:rPr>
        <w:t>2</w:t>
      </w:r>
      <w:r>
        <w:rPr>
          <w:rFonts w:hint="eastAsia"/>
        </w:rPr>
        <w:t>的湖泊,可适当减少调查监测点位/断面。</w:t>
      </w:r>
    </w:p>
    <w:p w14:paraId="2D04B8F8">
      <w:pPr>
        <w:pStyle w:val="106"/>
        <w:spacing w:before="156" w:after="156"/>
      </w:pPr>
      <w:bookmarkStart w:id="131" w:name="_Toc242796914"/>
      <w:bookmarkStart w:id="132" w:name="_Toc242804759"/>
      <w:r>
        <w:rPr>
          <w:rFonts w:hint="eastAsia"/>
        </w:rPr>
        <w:t>调查监测方法与频次</w:t>
      </w:r>
      <w:bookmarkEnd w:id="131"/>
      <w:bookmarkEnd w:id="132"/>
    </w:p>
    <w:p w14:paraId="2938D5B7">
      <w:pPr>
        <w:pStyle w:val="166"/>
      </w:pPr>
      <w:r>
        <w:rPr>
          <w:rFonts w:hint="eastAsia"/>
        </w:rPr>
        <w:t>数据获取方法及频次见表</w:t>
      </w:r>
      <w:r>
        <w:t>31</w:t>
      </w:r>
      <w:r>
        <w:rPr>
          <w:rFonts w:hint="eastAsia"/>
        </w:rPr>
        <w:t>。</w:t>
      </w:r>
    </w:p>
    <w:p w14:paraId="046B9C3C">
      <w:pPr>
        <w:pStyle w:val="113"/>
        <w:spacing w:before="156" w:after="156"/>
      </w:pPr>
      <w:r>
        <w:rPr>
          <w:rFonts w:hint="eastAsia"/>
        </w:rPr>
        <w:t>调查监测方法与频次</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841"/>
        <w:gridCol w:w="3118"/>
        <w:gridCol w:w="3828"/>
        <w:gridCol w:w="1547"/>
      </w:tblGrid>
      <w:tr w14:paraId="706A4A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841" w:type="dxa"/>
            <w:tcBorders>
              <w:top w:val="single" w:color="auto" w:sz="8" w:space="0"/>
              <w:bottom w:val="single" w:color="auto" w:sz="8" w:space="0"/>
            </w:tcBorders>
            <w:shd w:val="clear" w:color="auto" w:fill="auto"/>
          </w:tcPr>
          <w:p w14:paraId="0899F9CE">
            <w:pPr>
              <w:pStyle w:val="179"/>
              <w:rPr>
                <w:rFonts w:hAnsi="宋体"/>
                <w:szCs w:val="18"/>
              </w:rPr>
            </w:pPr>
            <w:r>
              <w:rPr>
                <w:rFonts w:hint="eastAsia" w:hAnsi="宋体"/>
                <w:szCs w:val="18"/>
              </w:rPr>
              <w:t>序号</w:t>
            </w:r>
          </w:p>
        </w:tc>
        <w:tc>
          <w:tcPr>
            <w:tcW w:w="3118" w:type="dxa"/>
            <w:tcBorders>
              <w:top w:val="single" w:color="auto" w:sz="8" w:space="0"/>
              <w:bottom w:val="single" w:color="auto" w:sz="8" w:space="0"/>
            </w:tcBorders>
            <w:shd w:val="clear" w:color="auto" w:fill="auto"/>
            <w:vAlign w:val="center"/>
          </w:tcPr>
          <w:p w14:paraId="1610F94E">
            <w:pPr>
              <w:pStyle w:val="179"/>
              <w:rPr>
                <w:rFonts w:hAnsi="宋体"/>
                <w:szCs w:val="18"/>
              </w:rPr>
            </w:pPr>
            <w:r>
              <w:rPr>
                <w:rFonts w:hAnsi="宋体"/>
                <w:szCs w:val="18"/>
              </w:rPr>
              <w:t>指标层</w:t>
            </w:r>
          </w:p>
        </w:tc>
        <w:tc>
          <w:tcPr>
            <w:tcW w:w="3828" w:type="dxa"/>
            <w:tcBorders>
              <w:top w:val="single" w:color="auto" w:sz="8" w:space="0"/>
              <w:bottom w:val="single" w:color="auto" w:sz="8" w:space="0"/>
            </w:tcBorders>
            <w:shd w:val="clear" w:color="auto" w:fill="auto"/>
          </w:tcPr>
          <w:p w14:paraId="2438D1EC">
            <w:pPr>
              <w:pStyle w:val="179"/>
              <w:rPr>
                <w:rFonts w:hAnsi="宋体"/>
                <w:szCs w:val="18"/>
              </w:rPr>
            </w:pPr>
            <w:r>
              <w:rPr>
                <w:rFonts w:hint="eastAsia" w:hAnsi="宋体"/>
                <w:szCs w:val="18"/>
              </w:rPr>
              <w:t>数据获取方法</w:t>
            </w:r>
          </w:p>
        </w:tc>
        <w:tc>
          <w:tcPr>
            <w:tcW w:w="1547" w:type="dxa"/>
            <w:tcBorders>
              <w:top w:val="single" w:color="auto" w:sz="8" w:space="0"/>
              <w:bottom w:val="single" w:color="auto" w:sz="8" w:space="0"/>
            </w:tcBorders>
            <w:shd w:val="clear" w:color="auto" w:fill="auto"/>
          </w:tcPr>
          <w:p w14:paraId="32DA0122">
            <w:pPr>
              <w:pStyle w:val="179"/>
              <w:rPr>
                <w:rFonts w:hAnsi="宋体"/>
                <w:szCs w:val="18"/>
              </w:rPr>
            </w:pPr>
            <w:r>
              <w:rPr>
                <w:rFonts w:hint="eastAsia" w:hAnsi="宋体"/>
                <w:szCs w:val="18"/>
              </w:rPr>
              <w:t>频次</w:t>
            </w:r>
          </w:p>
        </w:tc>
      </w:tr>
      <w:tr w14:paraId="1BE001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tcBorders>
              <w:top w:val="single" w:color="auto" w:sz="8" w:space="0"/>
            </w:tcBorders>
            <w:shd w:val="clear" w:color="auto" w:fill="auto"/>
          </w:tcPr>
          <w:p w14:paraId="38AF2502">
            <w:pPr>
              <w:pStyle w:val="179"/>
              <w:rPr>
                <w:rFonts w:hAnsi="宋体"/>
                <w:szCs w:val="18"/>
              </w:rPr>
            </w:pPr>
            <w:r>
              <w:rPr>
                <w:rFonts w:hint="eastAsia" w:hAnsi="宋体"/>
                <w:szCs w:val="18"/>
              </w:rPr>
              <w:t>1</w:t>
            </w:r>
          </w:p>
        </w:tc>
        <w:tc>
          <w:tcPr>
            <w:tcW w:w="3118" w:type="dxa"/>
            <w:tcBorders>
              <w:top w:val="single" w:color="auto" w:sz="8" w:space="0"/>
            </w:tcBorders>
            <w:shd w:val="clear" w:color="auto" w:fill="auto"/>
            <w:vAlign w:val="center"/>
          </w:tcPr>
          <w:p w14:paraId="322B9A90">
            <w:pPr>
              <w:pStyle w:val="179"/>
              <w:rPr>
                <w:rFonts w:hAnsi="宋体"/>
                <w:szCs w:val="18"/>
              </w:rPr>
            </w:pPr>
            <w:r>
              <w:rPr>
                <w:rFonts w:hint="eastAsia" w:hAnsi="宋体"/>
                <w:szCs w:val="18"/>
              </w:rPr>
              <w:t>水域岸线完整性</w:t>
            </w:r>
          </w:p>
        </w:tc>
        <w:tc>
          <w:tcPr>
            <w:tcW w:w="3828" w:type="dxa"/>
            <w:tcBorders>
              <w:top w:val="single" w:color="auto" w:sz="8" w:space="0"/>
            </w:tcBorders>
            <w:shd w:val="clear" w:color="auto" w:fill="auto"/>
          </w:tcPr>
          <w:p w14:paraId="4DD5622D">
            <w:pPr>
              <w:pStyle w:val="179"/>
              <w:rPr>
                <w:rFonts w:hAnsi="宋体"/>
                <w:szCs w:val="18"/>
              </w:rPr>
            </w:pPr>
            <w:r>
              <w:rPr>
                <w:rFonts w:hint="eastAsia" w:hAnsi="宋体"/>
                <w:szCs w:val="18"/>
              </w:rPr>
              <w:t>政府统计数据、遥感解译、现场调查等</w:t>
            </w:r>
          </w:p>
        </w:tc>
        <w:tc>
          <w:tcPr>
            <w:tcW w:w="1547" w:type="dxa"/>
            <w:tcBorders>
              <w:top w:val="single" w:color="auto" w:sz="8" w:space="0"/>
            </w:tcBorders>
            <w:shd w:val="clear" w:color="auto" w:fill="auto"/>
          </w:tcPr>
          <w:p w14:paraId="0E24265A">
            <w:pPr>
              <w:pStyle w:val="179"/>
              <w:rPr>
                <w:rFonts w:hAnsi="宋体"/>
                <w:szCs w:val="18"/>
              </w:rPr>
            </w:pPr>
            <w:r>
              <w:rPr>
                <w:rFonts w:hint="eastAsia" w:hAnsi="宋体"/>
                <w:szCs w:val="18"/>
              </w:rPr>
              <w:t>1次/年</w:t>
            </w:r>
          </w:p>
        </w:tc>
      </w:tr>
      <w:tr w14:paraId="2ED40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7BA809D5">
            <w:pPr>
              <w:pStyle w:val="179"/>
              <w:rPr>
                <w:rFonts w:hAnsi="宋体"/>
                <w:szCs w:val="18"/>
              </w:rPr>
            </w:pPr>
            <w:r>
              <w:rPr>
                <w:rFonts w:hint="eastAsia" w:hAnsi="宋体"/>
                <w:szCs w:val="18"/>
              </w:rPr>
              <w:t>2</w:t>
            </w:r>
          </w:p>
        </w:tc>
        <w:tc>
          <w:tcPr>
            <w:tcW w:w="3118" w:type="dxa"/>
            <w:shd w:val="clear" w:color="auto" w:fill="auto"/>
            <w:vAlign w:val="center"/>
          </w:tcPr>
          <w:p w14:paraId="788E367F">
            <w:pPr>
              <w:pStyle w:val="179"/>
              <w:rPr>
                <w:rFonts w:hAnsi="宋体"/>
                <w:szCs w:val="18"/>
              </w:rPr>
            </w:pPr>
            <w:r>
              <w:rPr>
                <w:rFonts w:hint="eastAsia" w:hAnsi="宋体"/>
                <w:szCs w:val="18"/>
              </w:rPr>
              <w:t>湖泊水面面积保有率</w:t>
            </w:r>
          </w:p>
        </w:tc>
        <w:tc>
          <w:tcPr>
            <w:tcW w:w="3828" w:type="dxa"/>
            <w:shd w:val="clear" w:color="auto" w:fill="auto"/>
          </w:tcPr>
          <w:p w14:paraId="02CDABBD">
            <w:pPr>
              <w:pStyle w:val="179"/>
              <w:rPr>
                <w:rFonts w:hAnsi="宋体"/>
                <w:szCs w:val="18"/>
              </w:rPr>
            </w:pPr>
            <w:r>
              <w:rPr>
                <w:rFonts w:hint="eastAsia" w:hAnsi="宋体"/>
                <w:szCs w:val="18"/>
              </w:rPr>
              <w:t>政府统计数据、遥感解译、现场调查等</w:t>
            </w:r>
          </w:p>
        </w:tc>
        <w:tc>
          <w:tcPr>
            <w:tcW w:w="1547" w:type="dxa"/>
            <w:shd w:val="clear" w:color="auto" w:fill="auto"/>
          </w:tcPr>
          <w:p w14:paraId="2742200B">
            <w:pPr>
              <w:pStyle w:val="179"/>
              <w:rPr>
                <w:rFonts w:hAnsi="宋体"/>
                <w:szCs w:val="18"/>
              </w:rPr>
            </w:pPr>
            <w:r>
              <w:rPr>
                <w:rFonts w:hint="eastAsia" w:hAnsi="宋体"/>
                <w:szCs w:val="18"/>
              </w:rPr>
              <w:t>1次/年</w:t>
            </w:r>
          </w:p>
        </w:tc>
      </w:tr>
      <w:tr w14:paraId="30035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179782CC">
            <w:pPr>
              <w:pStyle w:val="179"/>
              <w:rPr>
                <w:rFonts w:hAnsi="宋体"/>
                <w:szCs w:val="18"/>
              </w:rPr>
            </w:pPr>
            <w:r>
              <w:rPr>
                <w:rFonts w:hint="eastAsia" w:hAnsi="宋体"/>
                <w:szCs w:val="18"/>
              </w:rPr>
              <w:t>3</w:t>
            </w:r>
          </w:p>
        </w:tc>
        <w:tc>
          <w:tcPr>
            <w:tcW w:w="3118" w:type="dxa"/>
            <w:shd w:val="clear" w:color="auto" w:fill="auto"/>
            <w:vAlign w:val="center"/>
          </w:tcPr>
          <w:p w14:paraId="2A8177CB">
            <w:pPr>
              <w:pStyle w:val="179"/>
              <w:rPr>
                <w:rFonts w:hAnsi="宋体"/>
                <w:szCs w:val="18"/>
              </w:rPr>
            </w:pPr>
            <w:r>
              <w:rPr>
                <w:rFonts w:hint="eastAsia" w:hAnsi="宋体"/>
                <w:szCs w:val="18"/>
              </w:rPr>
              <w:t>水流通畅性</w:t>
            </w:r>
          </w:p>
        </w:tc>
        <w:tc>
          <w:tcPr>
            <w:tcW w:w="3828" w:type="dxa"/>
            <w:shd w:val="clear" w:color="auto" w:fill="auto"/>
          </w:tcPr>
          <w:p w14:paraId="43DD7C9D">
            <w:pPr>
              <w:pStyle w:val="179"/>
              <w:rPr>
                <w:rFonts w:hAnsi="宋体"/>
                <w:szCs w:val="18"/>
              </w:rPr>
            </w:pPr>
            <w:r>
              <w:rPr>
                <w:rFonts w:hint="eastAsia" w:hAnsi="宋体"/>
                <w:szCs w:val="18"/>
              </w:rPr>
              <w:t>水闸调度数据、现场调查等</w:t>
            </w:r>
          </w:p>
        </w:tc>
        <w:tc>
          <w:tcPr>
            <w:tcW w:w="1547" w:type="dxa"/>
            <w:shd w:val="clear" w:color="auto" w:fill="auto"/>
          </w:tcPr>
          <w:p w14:paraId="23027305">
            <w:pPr>
              <w:pStyle w:val="179"/>
              <w:rPr>
                <w:rFonts w:hAnsi="宋体"/>
                <w:szCs w:val="18"/>
              </w:rPr>
            </w:pPr>
            <w:r>
              <w:rPr>
                <w:rFonts w:hint="eastAsia" w:hAnsi="宋体"/>
                <w:szCs w:val="18"/>
              </w:rPr>
              <w:t>1次/年</w:t>
            </w:r>
          </w:p>
        </w:tc>
      </w:tr>
      <w:tr w14:paraId="0C8B36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0ACB53C9">
            <w:pPr>
              <w:pStyle w:val="179"/>
              <w:rPr>
                <w:rFonts w:hAnsi="宋体"/>
                <w:szCs w:val="18"/>
              </w:rPr>
            </w:pPr>
            <w:r>
              <w:rPr>
                <w:rFonts w:hint="eastAsia" w:hAnsi="宋体"/>
                <w:szCs w:val="18"/>
              </w:rPr>
              <w:t>4</w:t>
            </w:r>
          </w:p>
        </w:tc>
        <w:tc>
          <w:tcPr>
            <w:tcW w:w="3118" w:type="dxa"/>
            <w:shd w:val="clear" w:color="auto" w:fill="auto"/>
            <w:vAlign w:val="center"/>
          </w:tcPr>
          <w:p w14:paraId="355A0C9A">
            <w:pPr>
              <w:pStyle w:val="179"/>
              <w:rPr>
                <w:rFonts w:hAnsi="宋体"/>
                <w:szCs w:val="18"/>
              </w:rPr>
            </w:pPr>
            <w:r>
              <w:rPr>
                <w:rFonts w:hint="eastAsia" w:hAnsi="宋体"/>
                <w:szCs w:val="18"/>
              </w:rPr>
              <w:t>河湖连通性</w:t>
            </w:r>
          </w:p>
        </w:tc>
        <w:tc>
          <w:tcPr>
            <w:tcW w:w="3828" w:type="dxa"/>
            <w:shd w:val="clear" w:color="auto" w:fill="auto"/>
          </w:tcPr>
          <w:p w14:paraId="5AA24DD4">
            <w:pPr>
              <w:pStyle w:val="179"/>
              <w:rPr>
                <w:rFonts w:hAnsi="宋体"/>
                <w:szCs w:val="18"/>
              </w:rPr>
            </w:pPr>
            <w:r>
              <w:rPr>
                <w:rFonts w:hint="eastAsia" w:hAnsi="宋体"/>
                <w:szCs w:val="18"/>
              </w:rPr>
              <w:t>水闸调度数据、现场调查等</w:t>
            </w:r>
          </w:p>
        </w:tc>
        <w:tc>
          <w:tcPr>
            <w:tcW w:w="1547" w:type="dxa"/>
            <w:shd w:val="clear" w:color="auto" w:fill="auto"/>
          </w:tcPr>
          <w:p w14:paraId="1F90AEB6">
            <w:pPr>
              <w:pStyle w:val="179"/>
              <w:rPr>
                <w:rFonts w:hAnsi="宋体"/>
                <w:szCs w:val="18"/>
              </w:rPr>
            </w:pPr>
            <w:r>
              <w:rPr>
                <w:rFonts w:hint="eastAsia" w:hAnsi="宋体"/>
                <w:szCs w:val="18"/>
              </w:rPr>
              <w:t>1次/年</w:t>
            </w:r>
          </w:p>
        </w:tc>
      </w:tr>
      <w:tr w14:paraId="48D3BB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53C19F79">
            <w:pPr>
              <w:pStyle w:val="179"/>
              <w:rPr>
                <w:rFonts w:hAnsi="宋体"/>
                <w:szCs w:val="18"/>
              </w:rPr>
            </w:pPr>
            <w:r>
              <w:rPr>
                <w:rFonts w:hint="eastAsia" w:hAnsi="宋体"/>
                <w:szCs w:val="18"/>
              </w:rPr>
              <w:t>5</w:t>
            </w:r>
          </w:p>
        </w:tc>
        <w:tc>
          <w:tcPr>
            <w:tcW w:w="3118" w:type="dxa"/>
            <w:shd w:val="clear" w:color="auto" w:fill="auto"/>
            <w:vAlign w:val="center"/>
          </w:tcPr>
          <w:p w14:paraId="460FD8B9">
            <w:pPr>
              <w:pStyle w:val="179"/>
              <w:rPr>
                <w:rFonts w:hAnsi="宋体"/>
                <w:szCs w:val="18"/>
              </w:rPr>
            </w:pPr>
            <w:r>
              <w:rPr>
                <w:rFonts w:hint="eastAsia" w:hAnsi="宋体"/>
                <w:szCs w:val="18"/>
              </w:rPr>
              <w:t>河道行洪能力保证程度</w:t>
            </w:r>
          </w:p>
        </w:tc>
        <w:tc>
          <w:tcPr>
            <w:tcW w:w="3828" w:type="dxa"/>
            <w:shd w:val="clear" w:color="auto" w:fill="auto"/>
          </w:tcPr>
          <w:p w14:paraId="68F9FD08">
            <w:pPr>
              <w:pStyle w:val="179"/>
              <w:rPr>
                <w:rFonts w:hAnsi="宋体"/>
                <w:szCs w:val="18"/>
              </w:rPr>
            </w:pPr>
            <w:r>
              <w:rPr>
                <w:rFonts w:hint="eastAsia" w:hAnsi="宋体"/>
                <w:szCs w:val="18"/>
              </w:rPr>
              <w:t>政府统计数据、现场调查等</w:t>
            </w:r>
          </w:p>
        </w:tc>
        <w:tc>
          <w:tcPr>
            <w:tcW w:w="1547" w:type="dxa"/>
            <w:shd w:val="clear" w:color="auto" w:fill="auto"/>
          </w:tcPr>
          <w:p w14:paraId="596D1537">
            <w:pPr>
              <w:pStyle w:val="179"/>
              <w:rPr>
                <w:rFonts w:hAnsi="宋体"/>
                <w:szCs w:val="18"/>
              </w:rPr>
            </w:pPr>
            <w:r>
              <w:rPr>
                <w:rFonts w:hint="eastAsia" w:hAnsi="宋体"/>
                <w:szCs w:val="18"/>
              </w:rPr>
              <w:t>1次/年</w:t>
            </w:r>
          </w:p>
        </w:tc>
      </w:tr>
      <w:tr w14:paraId="3D687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7DD63CEA">
            <w:pPr>
              <w:pStyle w:val="179"/>
              <w:rPr>
                <w:rFonts w:hAnsi="宋体"/>
                <w:szCs w:val="18"/>
              </w:rPr>
            </w:pPr>
            <w:r>
              <w:rPr>
                <w:rFonts w:hint="eastAsia" w:hAnsi="宋体"/>
                <w:szCs w:val="18"/>
              </w:rPr>
              <w:t>6</w:t>
            </w:r>
          </w:p>
        </w:tc>
        <w:tc>
          <w:tcPr>
            <w:tcW w:w="3118" w:type="dxa"/>
            <w:shd w:val="clear" w:color="auto" w:fill="auto"/>
            <w:vAlign w:val="center"/>
          </w:tcPr>
          <w:p w14:paraId="1EEBD57F">
            <w:pPr>
              <w:pStyle w:val="179"/>
              <w:rPr>
                <w:rFonts w:hAnsi="宋体"/>
                <w:szCs w:val="18"/>
              </w:rPr>
            </w:pPr>
            <w:r>
              <w:rPr>
                <w:rFonts w:hint="eastAsia" w:hAnsi="宋体"/>
                <w:szCs w:val="18"/>
              </w:rPr>
              <w:t>岸线自然状况</w:t>
            </w:r>
          </w:p>
        </w:tc>
        <w:tc>
          <w:tcPr>
            <w:tcW w:w="3828" w:type="dxa"/>
            <w:shd w:val="clear" w:color="auto" w:fill="auto"/>
          </w:tcPr>
          <w:p w14:paraId="586A1F9C">
            <w:pPr>
              <w:pStyle w:val="179"/>
              <w:rPr>
                <w:rFonts w:hAnsi="宋体"/>
                <w:szCs w:val="18"/>
              </w:rPr>
            </w:pPr>
            <w:r>
              <w:rPr>
                <w:rFonts w:hint="eastAsia" w:hAnsi="宋体"/>
                <w:szCs w:val="18"/>
              </w:rPr>
              <w:t>遥感解译、现场调查等</w:t>
            </w:r>
          </w:p>
        </w:tc>
        <w:tc>
          <w:tcPr>
            <w:tcW w:w="1547" w:type="dxa"/>
            <w:shd w:val="clear" w:color="auto" w:fill="auto"/>
          </w:tcPr>
          <w:p w14:paraId="7A4B7F88">
            <w:pPr>
              <w:pStyle w:val="179"/>
              <w:rPr>
                <w:rFonts w:hAnsi="宋体"/>
                <w:szCs w:val="18"/>
              </w:rPr>
            </w:pPr>
            <w:r>
              <w:rPr>
                <w:rFonts w:hint="eastAsia" w:hAnsi="宋体"/>
                <w:szCs w:val="18"/>
              </w:rPr>
              <w:t>1次/年</w:t>
            </w:r>
          </w:p>
        </w:tc>
      </w:tr>
      <w:tr w14:paraId="0E0CD5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6BEDFADA">
            <w:pPr>
              <w:pStyle w:val="179"/>
              <w:rPr>
                <w:rFonts w:hAnsi="宋体"/>
                <w:szCs w:val="18"/>
              </w:rPr>
            </w:pPr>
            <w:r>
              <w:rPr>
                <w:rFonts w:hint="eastAsia" w:hAnsi="宋体"/>
                <w:szCs w:val="18"/>
              </w:rPr>
              <w:t>7</w:t>
            </w:r>
          </w:p>
        </w:tc>
        <w:tc>
          <w:tcPr>
            <w:tcW w:w="3118" w:type="dxa"/>
            <w:shd w:val="clear" w:color="auto" w:fill="auto"/>
            <w:vAlign w:val="center"/>
          </w:tcPr>
          <w:p w14:paraId="23BD5C82">
            <w:pPr>
              <w:pStyle w:val="179"/>
              <w:rPr>
                <w:rFonts w:hAnsi="宋体"/>
                <w:szCs w:val="18"/>
              </w:rPr>
            </w:pPr>
            <w:r>
              <w:rPr>
                <w:rFonts w:hint="eastAsia" w:hAnsi="宋体"/>
                <w:szCs w:val="18"/>
              </w:rPr>
              <w:t>水质优劣程度</w:t>
            </w:r>
          </w:p>
        </w:tc>
        <w:tc>
          <w:tcPr>
            <w:tcW w:w="3828" w:type="dxa"/>
            <w:shd w:val="clear" w:color="auto" w:fill="auto"/>
          </w:tcPr>
          <w:p w14:paraId="32929C80">
            <w:pPr>
              <w:pStyle w:val="179"/>
              <w:rPr>
                <w:rFonts w:hAnsi="宋体"/>
                <w:szCs w:val="18"/>
              </w:rPr>
            </w:pPr>
            <w:r>
              <w:rPr>
                <w:rFonts w:hint="eastAsia" w:hAnsi="宋体"/>
                <w:szCs w:val="18"/>
              </w:rPr>
              <w:t>政府常规监测数据、现场监测等</w:t>
            </w:r>
          </w:p>
        </w:tc>
        <w:tc>
          <w:tcPr>
            <w:tcW w:w="1547" w:type="dxa"/>
            <w:shd w:val="clear" w:color="auto" w:fill="auto"/>
          </w:tcPr>
          <w:p w14:paraId="3D8AB9F6">
            <w:pPr>
              <w:pStyle w:val="179"/>
              <w:rPr>
                <w:rFonts w:hAnsi="宋体"/>
                <w:szCs w:val="18"/>
              </w:rPr>
            </w:pPr>
            <w:r>
              <w:rPr>
                <w:rFonts w:hint="eastAsia" w:hAnsi="宋体"/>
                <w:szCs w:val="18"/>
              </w:rPr>
              <w:t>1次/月</w:t>
            </w:r>
          </w:p>
        </w:tc>
      </w:tr>
      <w:tr w14:paraId="752CA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1D6A65FC">
            <w:pPr>
              <w:pStyle w:val="179"/>
              <w:rPr>
                <w:rFonts w:hAnsi="宋体"/>
                <w:szCs w:val="18"/>
              </w:rPr>
            </w:pPr>
            <w:r>
              <w:rPr>
                <w:rFonts w:hint="eastAsia" w:hAnsi="宋体"/>
                <w:szCs w:val="18"/>
              </w:rPr>
              <w:t>8</w:t>
            </w:r>
          </w:p>
        </w:tc>
        <w:tc>
          <w:tcPr>
            <w:tcW w:w="3118" w:type="dxa"/>
            <w:shd w:val="clear" w:color="auto" w:fill="auto"/>
            <w:vAlign w:val="center"/>
          </w:tcPr>
          <w:p w14:paraId="15D73882">
            <w:pPr>
              <w:pStyle w:val="179"/>
              <w:rPr>
                <w:rFonts w:hAnsi="宋体"/>
                <w:szCs w:val="18"/>
              </w:rPr>
            </w:pPr>
            <w:r>
              <w:rPr>
                <w:rFonts w:hint="eastAsia" w:hAnsi="宋体"/>
                <w:szCs w:val="18"/>
              </w:rPr>
              <w:t>水体自净能力</w:t>
            </w:r>
          </w:p>
        </w:tc>
        <w:tc>
          <w:tcPr>
            <w:tcW w:w="3828" w:type="dxa"/>
            <w:shd w:val="clear" w:color="auto" w:fill="auto"/>
          </w:tcPr>
          <w:p w14:paraId="7C9FA365">
            <w:pPr>
              <w:pStyle w:val="179"/>
              <w:rPr>
                <w:rFonts w:hAnsi="宋体"/>
                <w:szCs w:val="18"/>
              </w:rPr>
            </w:pPr>
            <w:r>
              <w:rPr>
                <w:rFonts w:hint="eastAsia" w:hAnsi="宋体"/>
                <w:szCs w:val="18"/>
              </w:rPr>
              <w:t>政府常规监测数据、现场监测等</w:t>
            </w:r>
          </w:p>
        </w:tc>
        <w:tc>
          <w:tcPr>
            <w:tcW w:w="1547" w:type="dxa"/>
            <w:shd w:val="clear" w:color="auto" w:fill="auto"/>
          </w:tcPr>
          <w:p w14:paraId="134C6789">
            <w:pPr>
              <w:pStyle w:val="179"/>
              <w:rPr>
                <w:rFonts w:hAnsi="宋体"/>
                <w:szCs w:val="18"/>
              </w:rPr>
            </w:pPr>
            <w:r>
              <w:rPr>
                <w:rFonts w:hint="eastAsia" w:hAnsi="宋体"/>
                <w:szCs w:val="18"/>
              </w:rPr>
              <w:t>1次/月</w:t>
            </w:r>
          </w:p>
        </w:tc>
      </w:tr>
      <w:tr w14:paraId="10777E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4C125AA5">
            <w:pPr>
              <w:pStyle w:val="179"/>
              <w:rPr>
                <w:rFonts w:hAnsi="宋体"/>
                <w:szCs w:val="18"/>
              </w:rPr>
            </w:pPr>
            <w:r>
              <w:rPr>
                <w:rFonts w:hint="eastAsia" w:hAnsi="宋体"/>
                <w:szCs w:val="18"/>
              </w:rPr>
              <w:t>9</w:t>
            </w:r>
          </w:p>
        </w:tc>
        <w:tc>
          <w:tcPr>
            <w:tcW w:w="3118" w:type="dxa"/>
            <w:shd w:val="clear" w:color="auto" w:fill="auto"/>
            <w:vAlign w:val="center"/>
          </w:tcPr>
          <w:p w14:paraId="772C53DD">
            <w:pPr>
              <w:pStyle w:val="179"/>
              <w:rPr>
                <w:rFonts w:hAnsi="宋体"/>
                <w:szCs w:val="18"/>
              </w:rPr>
            </w:pPr>
            <w:r>
              <w:rPr>
                <w:rFonts w:hint="eastAsia" w:hAnsi="宋体"/>
                <w:szCs w:val="18"/>
              </w:rPr>
              <w:t>营养状态</w:t>
            </w:r>
          </w:p>
        </w:tc>
        <w:tc>
          <w:tcPr>
            <w:tcW w:w="3828" w:type="dxa"/>
            <w:shd w:val="clear" w:color="auto" w:fill="auto"/>
          </w:tcPr>
          <w:p w14:paraId="7A9A4303">
            <w:pPr>
              <w:pStyle w:val="179"/>
              <w:rPr>
                <w:rFonts w:hAnsi="宋体"/>
                <w:szCs w:val="18"/>
              </w:rPr>
            </w:pPr>
            <w:r>
              <w:rPr>
                <w:rFonts w:hint="eastAsia" w:hAnsi="宋体"/>
                <w:szCs w:val="18"/>
              </w:rPr>
              <w:t>政府常规监测数据、现场监测等</w:t>
            </w:r>
          </w:p>
        </w:tc>
        <w:tc>
          <w:tcPr>
            <w:tcW w:w="1547" w:type="dxa"/>
            <w:shd w:val="clear" w:color="auto" w:fill="auto"/>
          </w:tcPr>
          <w:p w14:paraId="0B09C281">
            <w:pPr>
              <w:pStyle w:val="179"/>
              <w:rPr>
                <w:rFonts w:hAnsi="宋体"/>
                <w:szCs w:val="18"/>
              </w:rPr>
            </w:pPr>
            <w:r>
              <w:rPr>
                <w:rFonts w:hint="eastAsia" w:hAnsi="宋体"/>
                <w:szCs w:val="18"/>
              </w:rPr>
              <w:t>1次/月（或季）</w:t>
            </w:r>
          </w:p>
        </w:tc>
      </w:tr>
      <w:tr w14:paraId="5913E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533A9C00">
            <w:pPr>
              <w:pStyle w:val="179"/>
              <w:rPr>
                <w:rFonts w:hAnsi="宋体"/>
                <w:szCs w:val="18"/>
              </w:rPr>
            </w:pPr>
            <w:r>
              <w:rPr>
                <w:rFonts w:hint="eastAsia" w:hAnsi="宋体"/>
                <w:szCs w:val="18"/>
              </w:rPr>
              <w:t>1</w:t>
            </w:r>
            <w:r>
              <w:rPr>
                <w:rFonts w:hAnsi="宋体"/>
                <w:szCs w:val="18"/>
              </w:rPr>
              <w:t>0</w:t>
            </w:r>
          </w:p>
        </w:tc>
        <w:tc>
          <w:tcPr>
            <w:tcW w:w="3118" w:type="dxa"/>
            <w:shd w:val="clear" w:color="auto" w:fill="auto"/>
            <w:vAlign w:val="center"/>
          </w:tcPr>
          <w:p w14:paraId="0A7F9BDF">
            <w:pPr>
              <w:pStyle w:val="179"/>
              <w:rPr>
                <w:rFonts w:hAnsi="宋体"/>
                <w:szCs w:val="18"/>
              </w:rPr>
            </w:pPr>
            <w:r>
              <w:rPr>
                <w:rFonts w:hint="eastAsia" w:hAnsi="宋体"/>
                <w:szCs w:val="18"/>
              </w:rPr>
              <w:t>生态流量（水位）满足程度</w:t>
            </w:r>
          </w:p>
        </w:tc>
        <w:tc>
          <w:tcPr>
            <w:tcW w:w="3828" w:type="dxa"/>
            <w:shd w:val="clear" w:color="auto" w:fill="auto"/>
          </w:tcPr>
          <w:p w14:paraId="5C8B74C1">
            <w:pPr>
              <w:pStyle w:val="179"/>
              <w:rPr>
                <w:rFonts w:hAnsi="宋体"/>
                <w:szCs w:val="18"/>
              </w:rPr>
            </w:pPr>
            <w:r>
              <w:rPr>
                <w:rFonts w:hint="eastAsia" w:hAnsi="宋体"/>
                <w:szCs w:val="18"/>
              </w:rPr>
              <w:t>政府常规监测数据等</w:t>
            </w:r>
          </w:p>
        </w:tc>
        <w:tc>
          <w:tcPr>
            <w:tcW w:w="1547" w:type="dxa"/>
            <w:shd w:val="clear" w:color="auto" w:fill="auto"/>
          </w:tcPr>
          <w:p w14:paraId="6D0AF989">
            <w:pPr>
              <w:pStyle w:val="179"/>
              <w:rPr>
                <w:rFonts w:hAnsi="宋体"/>
                <w:szCs w:val="18"/>
              </w:rPr>
            </w:pPr>
            <w:r>
              <w:rPr>
                <w:rFonts w:hint="eastAsia" w:hAnsi="宋体"/>
                <w:szCs w:val="18"/>
              </w:rPr>
              <w:t>1次/年</w:t>
            </w:r>
          </w:p>
        </w:tc>
      </w:tr>
      <w:tr w14:paraId="166BA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6C616ADB">
            <w:pPr>
              <w:pStyle w:val="179"/>
              <w:rPr>
                <w:rFonts w:hAnsi="宋体"/>
                <w:szCs w:val="18"/>
              </w:rPr>
            </w:pPr>
            <w:r>
              <w:rPr>
                <w:rFonts w:hint="eastAsia" w:hAnsi="宋体"/>
                <w:szCs w:val="18"/>
              </w:rPr>
              <w:t>1</w:t>
            </w:r>
            <w:r>
              <w:rPr>
                <w:rFonts w:hAnsi="宋体"/>
                <w:szCs w:val="18"/>
              </w:rPr>
              <w:t>1</w:t>
            </w:r>
          </w:p>
        </w:tc>
        <w:tc>
          <w:tcPr>
            <w:tcW w:w="3118" w:type="dxa"/>
            <w:shd w:val="clear" w:color="auto" w:fill="auto"/>
            <w:vAlign w:val="center"/>
          </w:tcPr>
          <w:p w14:paraId="704D5748">
            <w:pPr>
              <w:pStyle w:val="179"/>
              <w:rPr>
                <w:rFonts w:hAnsi="宋体"/>
                <w:szCs w:val="18"/>
              </w:rPr>
            </w:pPr>
            <w:r>
              <w:rPr>
                <w:rFonts w:hint="eastAsia" w:hAnsi="宋体"/>
                <w:szCs w:val="18"/>
              </w:rPr>
              <w:t>地表水资源开发利用率</w:t>
            </w:r>
          </w:p>
        </w:tc>
        <w:tc>
          <w:tcPr>
            <w:tcW w:w="3828" w:type="dxa"/>
            <w:shd w:val="clear" w:color="auto" w:fill="auto"/>
          </w:tcPr>
          <w:p w14:paraId="621A4B95">
            <w:pPr>
              <w:pStyle w:val="179"/>
              <w:rPr>
                <w:rFonts w:hAnsi="宋体"/>
                <w:szCs w:val="18"/>
              </w:rPr>
            </w:pPr>
            <w:r>
              <w:rPr>
                <w:rFonts w:hint="eastAsia" w:hAnsi="宋体"/>
                <w:szCs w:val="18"/>
              </w:rPr>
              <w:t>政府统计数据</w:t>
            </w:r>
          </w:p>
        </w:tc>
        <w:tc>
          <w:tcPr>
            <w:tcW w:w="1547" w:type="dxa"/>
            <w:shd w:val="clear" w:color="auto" w:fill="auto"/>
          </w:tcPr>
          <w:p w14:paraId="25D278A9">
            <w:pPr>
              <w:pStyle w:val="179"/>
              <w:rPr>
                <w:rFonts w:hAnsi="宋体"/>
                <w:szCs w:val="18"/>
              </w:rPr>
            </w:pPr>
            <w:r>
              <w:rPr>
                <w:rFonts w:hint="eastAsia" w:hAnsi="宋体"/>
                <w:szCs w:val="18"/>
              </w:rPr>
              <w:t>1次/年</w:t>
            </w:r>
          </w:p>
        </w:tc>
      </w:tr>
      <w:tr w14:paraId="13692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3A6FBA89">
            <w:pPr>
              <w:pStyle w:val="179"/>
              <w:rPr>
                <w:rFonts w:hAnsi="宋体"/>
                <w:szCs w:val="18"/>
              </w:rPr>
            </w:pPr>
            <w:r>
              <w:rPr>
                <w:rFonts w:hint="eastAsia" w:hAnsi="宋体"/>
                <w:szCs w:val="18"/>
              </w:rPr>
              <w:t>1</w:t>
            </w:r>
            <w:r>
              <w:rPr>
                <w:rFonts w:hAnsi="宋体"/>
                <w:szCs w:val="18"/>
              </w:rPr>
              <w:t>2</w:t>
            </w:r>
          </w:p>
        </w:tc>
        <w:tc>
          <w:tcPr>
            <w:tcW w:w="3118" w:type="dxa"/>
            <w:shd w:val="clear" w:color="auto" w:fill="auto"/>
            <w:vAlign w:val="center"/>
          </w:tcPr>
          <w:p w14:paraId="6B53FC13">
            <w:pPr>
              <w:pStyle w:val="179"/>
              <w:rPr>
                <w:rFonts w:hAnsi="宋体"/>
                <w:szCs w:val="18"/>
              </w:rPr>
            </w:pPr>
            <w:r>
              <w:rPr>
                <w:rFonts w:hint="eastAsia" w:hAnsi="宋体"/>
                <w:szCs w:val="18"/>
              </w:rPr>
              <w:t>底泥污染状况</w:t>
            </w:r>
          </w:p>
        </w:tc>
        <w:tc>
          <w:tcPr>
            <w:tcW w:w="3828" w:type="dxa"/>
            <w:shd w:val="clear" w:color="auto" w:fill="auto"/>
          </w:tcPr>
          <w:p w14:paraId="0FFA4ABC">
            <w:pPr>
              <w:pStyle w:val="179"/>
              <w:rPr>
                <w:rFonts w:hAnsi="宋体"/>
                <w:szCs w:val="18"/>
              </w:rPr>
            </w:pPr>
            <w:r>
              <w:rPr>
                <w:rFonts w:hint="eastAsia" w:hAnsi="宋体"/>
                <w:szCs w:val="18"/>
              </w:rPr>
              <w:t>政府常规监测数据、现场监测等</w:t>
            </w:r>
          </w:p>
        </w:tc>
        <w:tc>
          <w:tcPr>
            <w:tcW w:w="1547" w:type="dxa"/>
            <w:shd w:val="clear" w:color="auto" w:fill="auto"/>
          </w:tcPr>
          <w:p w14:paraId="1011BC15">
            <w:pPr>
              <w:pStyle w:val="179"/>
              <w:rPr>
                <w:rFonts w:hAnsi="宋体"/>
                <w:szCs w:val="18"/>
              </w:rPr>
            </w:pPr>
            <w:r>
              <w:rPr>
                <w:rFonts w:hint="eastAsia" w:hAnsi="宋体"/>
                <w:szCs w:val="18"/>
              </w:rPr>
              <w:t>1次/年～</w:t>
            </w:r>
            <w:r>
              <w:rPr>
                <w:rFonts w:hAnsi="宋体"/>
                <w:szCs w:val="18"/>
              </w:rPr>
              <w:t>2</w:t>
            </w:r>
            <w:r>
              <w:rPr>
                <w:rFonts w:hint="eastAsia" w:hAnsi="宋体"/>
                <w:szCs w:val="18"/>
              </w:rPr>
              <w:t>次/年</w:t>
            </w:r>
          </w:p>
        </w:tc>
      </w:tr>
      <w:tr w14:paraId="14B4C8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43A76FA5">
            <w:pPr>
              <w:pStyle w:val="179"/>
              <w:rPr>
                <w:rFonts w:hAnsi="宋体"/>
                <w:szCs w:val="18"/>
              </w:rPr>
            </w:pPr>
            <w:r>
              <w:rPr>
                <w:rFonts w:hint="eastAsia" w:hAnsi="宋体"/>
                <w:szCs w:val="18"/>
              </w:rPr>
              <w:t>1</w:t>
            </w:r>
            <w:r>
              <w:rPr>
                <w:rFonts w:hAnsi="宋体"/>
                <w:szCs w:val="18"/>
              </w:rPr>
              <w:t>3</w:t>
            </w:r>
          </w:p>
        </w:tc>
        <w:tc>
          <w:tcPr>
            <w:tcW w:w="3118" w:type="dxa"/>
            <w:shd w:val="clear" w:color="auto" w:fill="auto"/>
            <w:vAlign w:val="center"/>
          </w:tcPr>
          <w:p w14:paraId="0972E510">
            <w:pPr>
              <w:pStyle w:val="179"/>
              <w:rPr>
                <w:rFonts w:hAnsi="宋体"/>
                <w:szCs w:val="18"/>
              </w:rPr>
            </w:pPr>
            <w:r>
              <w:rPr>
                <w:rFonts w:hint="eastAsia" w:hAnsi="宋体"/>
                <w:szCs w:val="18"/>
              </w:rPr>
              <w:t>水体清澈程度</w:t>
            </w:r>
          </w:p>
        </w:tc>
        <w:tc>
          <w:tcPr>
            <w:tcW w:w="3828" w:type="dxa"/>
            <w:shd w:val="clear" w:color="auto" w:fill="auto"/>
          </w:tcPr>
          <w:p w14:paraId="17CA3B4E">
            <w:pPr>
              <w:pStyle w:val="179"/>
              <w:rPr>
                <w:rFonts w:hAnsi="宋体"/>
                <w:szCs w:val="18"/>
              </w:rPr>
            </w:pPr>
            <w:r>
              <w:rPr>
                <w:rFonts w:hint="eastAsia" w:hAnsi="宋体"/>
                <w:szCs w:val="18"/>
              </w:rPr>
              <w:t>政府常规监测数据、现场监测等</w:t>
            </w:r>
          </w:p>
        </w:tc>
        <w:tc>
          <w:tcPr>
            <w:tcW w:w="1547" w:type="dxa"/>
            <w:shd w:val="clear" w:color="auto" w:fill="auto"/>
          </w:tcPr>
          <w:p w14:paraId="4451E46B">
            <w:pPr>
              <w:pStyle w:val="179"/>
              <w:rPr>
                <w:rFonts w:hAnsi="宋体"/>
                <w:szCs w:val="18"/>
              </w:rPr>
            </w:pPr>
            <w:r>
              <w:rPr>
                <w:rFonts w:hint="eastAsia" w:hAnsi="宋体"/>
                <w:szCs w:val="18"/>
              </w:rPr>
              <w:t>1次/月</w:t>
            </w:r>
          </w:p>
        </w:tc>
      </w:tr>
      <w:tr w14:paraId="037C6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7689D67D">
            <w:pPr>
              <w:pStyle w:val="179"/>
              <w:rPr>
                <w:rFonts w:hAnsi="宋体"/>
                <w:szCs w:val="18"/>
              </w:rPr>
            </w:pPr>
            <w:r>
              <w:rPr>
                <w:rFonts w:hint="eastAsia" w:hAnsi="宋体"/>
                <w:szCs w:val="18"/>
              </w:rPr>
              <w:t>1</w:t>
            </w:r>
            <w:r>
              <w:rPr>
                <w:rFonts w:hAnsi="宋体"/>
                <w:szCs w:val="18"/>
              </w:rPr>
              <w:t>4</w:t>
            </w:r>
          </w:p>
        </w:tc>
        <w:tc>
          <w:tcPr>
            <w:tcW w:w="3118" w:type="dxa"/>
            <w:shd w:val="clear" w:color="auto" w:fill="auto"/>
            <w:vAlign w:val="center"/>
          </w:tcPr>
          <w:p w14:paraId="20F67951">
            <w:pPr>
              <w:pStyle w:val="179"/>
              <w:rPr>
                <w:rFonts w:hAnsi="宋体"/>
                <w:szCs w:val="18"/>
              </w:rPr>
            </w:pPr>
            <w:r>
              <w:rPr>
                <w:rFonts w:hint="eastAsia" w:hAnsi="宋体"/>
                <w:szCs w:val="18"/>
              </w:rPr>
              <w:t>鱼类状况</w:t>
            </w:r>
          </w:p>
        </w:tc>
        <w:tc>
          <w:tcPr>
            <w:tcW w:w="3828" w:type="dxa"/>
            <w:shd w:val="clear" w:color="auto" w:fill="auto"/>
          </w:tcPr>
          <w:p w14:paraId="2A98CE4D">
            <w:pPr>
              <w:pStyle w:val="179"/>
              <w:rPr>
                <w:rFonts w:hAnsi="宋体"/>
                <w:szCs w:val="18"/>
              </w:rPr>
            </w:pPr>
            <w:r>
              <w:rPr>
                <w:rFonts w:hint="eastAsia" w:hAnsi="宋体"/>
                <w:szCs w:val="18"/>
              </w:rPr>
              <w:t>政府常规调查数据、现场调查、室内鉴定等</w:t>
            </w:r>
          </w:p>
        </w:tc>
        <w:tc>
          <w:tcPr>
            <w:tcW w:w="1547" w:type="dxa"/>
            <w:shd w:val="clear" w:color="auto" w:fill="auto"/>
          </w:tcPr>
          <w:p w14:paraId="432F2A74">
            <w:pPr>
              <w:pStyle w:val="179"/>
              <w:rPr>
                <w:rFonts w:hAnsi="宋体"/>
                <w:szCs w:val="18"/>
              </w:rPr>
            </w:pPr>
            <w:bookmarkStart w:id="133" w:name="OLE_LINK9"/>
            <w:r>
              <w:rPr>
                <w:rFonts w:hint="eastAsia" w:hAnsi="宋体"/>
                <w:szCs w:val="18"/>
              </w:rPr>
              <w:t>1次/年～</w:t>
            </w:r>
            <w:r>
              <w:rPr>
                <w:rFonts w:hAnsi="宋体"/>
                <w:szCs w:val="18"/>
              </w:rPr>
              <w:t>2</w:t>
            </w:r>
            <w:r>
              <w:rPr>
                <w:rFonts w:hint="eastAsia" w:hAnsi="宋体"/>
                <w:szCs w:val="18"/>
              </w:rPr>
              <w:t>次/年</w:t>
            </w:r>
            <w:bookmarkEnd w:id="133"/>
          </w:p>
        </w:tc>
      </w:tr>
      <w:tr w14:paraId="53DAC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5764B599">
            <w:pPr>
              <w:pStyle w:val="179"/>
              <w:rPr>
                <w:rFonts w:hAnsi="宋体"/>
                <w:szCs w:val="18"/>
              </w:rPr>
            </w:pPr>
            <w:r>
              <w:rPr>
                <w:rFonts w:hint="eastAsia" w:hAnsi="宋体"/>
                <w:szCs w:val="18"/>
              </w:rPr>
              <w:t>1</w:t>
            </w:r>
            <w:r>
              <w:rPr>
                <w:rFonts w:hAnsi="宋体"/>
                <w:szCs w:val="18"/>
              </w:rPr>
              <w:t>5</w:t>
            </w:r>
          </w:p>
        </w:tc>
        <w:tc>
          <w:tcPr>
            <w:tcW w:w="3118" w:type="dxa"/>
            <w:shd w:val="clear" w:color="auto" w:fill="auto"/>
            <w:vAlign w:val="center"/>
          </w:tcPr>
          <w:p w14:paraId="4D97A318">
            <w:pPr>
              <w:pStyle w:val="179"/>
              <w:rPr>
                <w:rFonts w:hAnsi="宋体"/>
                <w:szCs w:val="18"/>
              </w:rPr>
            </w:pPr>
            <w:r>
              <w:rPr>
                <w:rFonts w:hint="eastAsia" w:hAnsi="宋体"/>
                <w:szCs w:val="18"/>
              </w:rPr>
              <w:t>大型底栖无脊椎动物状况</w:t>
            </w:r>
          </w:p>
        </w:tc>
        <w:tc>
          <w:tcPr>
            <w:tcW w:w="3828" w:type="dxa"/>
            <w:shd w:val="clear" w:color="auto" w:fill="auto"/>
          </w:tcPr>
          <w:p w14:paraId="4D58BADE">
            <w:pPr>
              <w:pStyle w:val="179"/>
              <w:rPr>
                <w:rFonts w:hAnsi="宋体"/>
                <w:szCs w:val="18"/>
              </w:rPr>
            </w:pPr>
            <w:r>
              <w:rPr>
                <w:rFonts w:hint="eastAsia" w:hAnsi="宋体"/>
                <w:szCs w:val="18"/>
              </w:rPr>
              <w:t>现场调查、室内鉴定等</w:t>
            </w:r>
          </w:p>
        </w:tc>
        <w:tc>
          <w:tcPr>
            <w:tcW w:w="1547" w:type="dxa"/>
            <w:shd w:val="clear" w:color="auto" w:fill="auto"/>
          </w:tcPr>
          <w:p w14:paraId="6005A6BF">
            <w:pPr>
              <w:pStyle w:val="179"/>
              <w:rPr>
                <w:rFonts w:hAnsi="宋体"/>
                <w:szCs w:val="18"/>
              </w:rPr>
            </w:pPr>
            <w:r>
              <w:rPr>
                <w:rFonts w:hAnsi="宋体"/>
                <w:szCs w:val="18"/>
              </w:rPr>
              <w:t>2</w:t>
            </w:r>
            <w:r>
              <w:rPr>
                <w:rFonts w:hint="eastAsia" w:hAnsi="宋体"/>
                <w:szCs w:val="18"/>
              </w:rPr>
              <w:t>次/年</w:t>
            </w:r>
          </w:p>
        </w:tc>
      </w:tr>
      <w:tr w14:paraId="782E4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0C19A23C">
            <w:pPr>
              <w:pStyle w:val="179"/>
              <w:rPr>
                <w:rFonts w:hAnsi="宋体"/>
                <w:szCs w:val="18"/>
              </w:rPr>
            </w:pPr>
            <w:r>
              <w:rPr>
                <w:rFonts w:hint="eastAsia" w:hAnsi="宋体"/>
                <w:szCs w:val="18"/>
              </w:rPr>
              <w:t>1</w:t>
            </w:r>
            <w:r>
              <w:rPr>
                <w:rFonts w:hAnsi="宋体"/>
                <w:szCs w:val="18"/>
              </w:rPr>
              <w:t>6</w:t>
            </w:r>
          </w:p>
        </w:tc>
        <w:tc>
          <w:tcPr>
            <w:tcW w:w="3118" w:type="dxa"/>
            <w:shd w:val="clear" w:color="auto" w:fill="auto"/>
            <w:vAlign w:val="center"/>
          </w:tcPr>
          <w:p w14:paraId="4E719BAE">
            <w:pPr>
              <w:pStyle w:val="179"/>
              <w:rPr>
                <w:rFonts w:hAnsi="宋体"/>
                <w:szCs w:val="18"/>
              </w:rPr>
            </w:pPr>
            <w:r>
              <w:rPr>
                <w:rFonts w:hint="eastAsia" w:hAnsi="宋体"/>
                <w:szCs w:val="18"/>
              </w:rPr>
              <w:t>外来物种入侵状况</w:t>
            </w:r>
          </w:p>
        </w:tc>
        <w:tc>
          <w:tcPr>
            <w:tcW w:w="3828" w:type="dxa"/>
            <w:shd w:val="clear" w:color="auto" w:fill="auto"/>
          </w:tcPr>
          <w:p w14:paraId="776E51C7">
            <w:pPr>
              <w:pStyle w:val="179"/>
              <w:rPr>
                <w:rFonts w:hAnsi="宋体"/>
                <w:szCs w:val="18"/>
              </w:rPr>
            </w:pPr>
            <w:r>
              <w:rPr>
                <w:rFonts w:hint="eastAsia" w:hAnsi="宋体"/>
                <w:szCs w:val="18"/>
              </w:rPr>
              <w:t>现场调查、室内鉴定等</w:t>
            </w:r>
          </w:p>
        </w:tc>
        <w:tc>
          <w:tcPr>
            <w:tcW w:w="1547" w:type="dxa"/>
            <w:shd w:val="clear" w:color="auto" w:fill="auto"/>
          </w:tcPr>
          <w:p w14:paraId="5E442AE3">
            <w:pPr>
              <w:pStyle w:val="179"/>
              <w:rPr>
                <w:rFonts w:hAnsi="宋体"/>
                <w:szCs w:val="18"/>
              </w:rPr>
            </w:pPr>
            <w:r>
              <w:rPr>
                <w:rFonts w:hint="eastAsia" w:hAnsi="宋体"/>
                <w:szCs w:val="18"/>
              </w:rPr>
              <w:t>1次/年</w:t>
            </w:r>
          </w:p>
        </w:tc>
      </w:tr>
      <w:tr w14:paraId="545DA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21686AA9">
            <w:pPr>
              <w:pStyle w:val="179"/>
              <w:rPr>
                <w:rFonts w:hAnsi="宋体"/>
                <w:szCs w:val="18"/>
              </w:rPr>
            </w:pPr>
            <w:r>
              <w:rPr>
                <w:rFonts w:hint="eastAsia" w:hAnsi="宋体"/>
                <w:szCs w:val="18"/>
              </w:rPr>
              <w:t>1</w:t>
            </w:r>
            <w:r>
              <w:rPr>
                <w:rFonts w:hAnsi="宋体"/>
                <w:szCs w:val="18"/>
              </w:rPr>
              <w:t>7</w:t>
            </w:r>
          </w:p>
        </w:tc>
        <w:tc>
          <w:tcPr>
            <w:tcW w:w="3118" w:type="dxa"/>
            <w:shd w:val="clear" w:color="auto" w:fill="auto"/>
            <w:vAlign w:val="center"/>
          </w:tcPr>
          <w:p w14:paraId="3DD08978">
            <w:pPr>
              <w:pStyle w:val="179"/>
              <w:rPr>
                <w:rFonts w:hAnsi="宋体"/>
                <w:szCs w:val="18"/>
              </w:rPr>
            </w:pPr>
            <w:r>
              <w:rPr>
                <w:rFonts w:hint="eastAsia" w:hAnsi="宋体"/>
                <w:szCs w:val="18"/>
              </w:rPr>
              <w:t>大型水生植物状况</w:t>
            </w:r>
          </w:p>
        </w:tc>
        <w:tc>
          <w:tcPr>
            <w:tcW w:w="3828" w:type="dxa"/>
            <w:shd w:val="clear" w:color="auto" w:fill="auto"/>
          </w:tcPr>
          <w:p w14:paraId="0436A3A7">
            <w:pPr>
              <w:pStyle w:val="179"/>
              <w:rPr>
                <w:rFonts w:hAnsi="宋体"/>
                <w:szCs w:val="18"/>
              </w:rPr>
            </w:pPr>
            <w:r>
              <w:rPr>
                <w:rFonts w:hint="eastAsia" w:hAnsi="宋体"/>
                <w:szCs w:val="18"/>
              </w:rPr>
              <w:t>现场调查、室内鉴定等</w:t>
            </w:r>
          </w:p>
        </w:tc>
        <w:tc>
          <w:tcPr>
            <w:tcW w:w="1547" w:type="dxa"/>
            <w:shd w:val="clear" w:color="auto" w:fill="auto"/>
          </w:tcPr>
          <w:p w14:paraId="3F30F617">
            <w:pPr>
              <w:pStyle w:val="179"/>
              <w:rPr>
                <w:rFonts w:hAnsi="宋体"/>
                <w:szCs w:val="18"/>
              </w:rPr>
            </w:pPr>
            <w:r>
              <w:rPr>
                <w:rFonts w:hint="eastAsia" w:hAnsi="宋体"/>
                <w:szCs w:val="18"/>
              </w:rPr>
              <w:t>1次/年～</w:t>
            </w:r>
            <w:r>
              <w:rPr>
                <w:rFonts w:hAnsi="宋体"/>
                <w:szCs w:val="18"/>
              </w:rPr>
              <w:t>2</w:t>
            </w:r>
            <w:r>
              <w:rPr>
                <w:rFonts w:hint="eastAsia" w:hAnsi="宋体"/>
                <w:szCs w:val="18"/>
              </w:rPr>
              <w:t>次/年</w:t>
            </w:r>
          </w:p>
        </w:tc>
      </w:tr>
      <w:tr w14:paraId="1B1B2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270C80B6">
            <w:pPr>
              <w:pStyle w:val="179"/>
              <w:rPr>
                <w:rFonts w:hAnsi="宋体"/>
                <w:szCs w:val="18"/>
              </w:rPr>
            </w:pPr>
            <w:r>
              <w:rPr>
                <w:rFonts w:hint="eastAsia" w:hAnsi="宋体"/>
                <w:szCs w:val="18"/>
              </w:rPr>
              <w:t>1</w:t>
            </w:r>
            <w:r>
              <w:rPr>
                <w:rFonts w:hAnsi="宋体"/>
                <w:szCs w:val="18"/>
              </w:rPr>
              <w:t>8</w:t>
            </w:r>
          </w:p>
        </w:tc>
        <w:tc>
          <w:tcPr>
            <w:tcW w:w="3118" w:type="dxa"/>
            <w:shd w:val="clear" w:color="auto" w:fill="auto"/>
            <w:vAlign w:val="center"/>
          </w:tcPr>
          <w:p w14:paraId="25B286B5">
            <w:pPr>
              <w:pStyle w:val="179"/>
              <w:rPr>
                <w:rFonts w:hAnsi="宋体"/>
                <w:szCs w:val="18"/>
              </w:rPr>
            </w:pPr>
            <w:r>
              <w:rPr>
                <w:rFonts w:hint="eastAsia" w:hAnsi="宋体"/>
                <w:szCs w:val="18"/>
              </w:rPr>
              <w:t>着生藻类群落状况</w:t>
            </w:r>
          </w:p>
        </w:tc>
        <w:tc>
          <w:tcPr>
            <w:tcW w:w="3828" w:type="dxa"/>
            <w:shd w:val="clear" w:color="auto" w:fill="auto"/>
          </w:tcPr>
          <w:p w14:paraId="4CE69742">
            <w:pPr>
              <w:pStyle w:val="179"/>
              <w:rPr>
                <w:rFonts w:hAnsi="宋体"/>
                <w:szCs w:val="18"/>
              </w:rPr>
            </w:pPr>
            <w:r>
              <w:rPr>
                <w:rFonts w:hint="eastAsia" w:hAnsi="宋体"/>
                <w:szCs w:val="18"/>
              </w:rPr>
              <w:t>现场调查、室内鉴定等</w:t>
            </w:r>
          </w:p>
        </w:tc>
        <w:tc>
          <w:tcPr>
            <w:tcW w:w="1547" w:type="dxa"/>
            <w:shd w:val="clear" w:color="auto" w:fill="auto"/>
          </w:tcPr>
          <w:p w14:paraId="4545A015">
            <w:pPr>
              <w:pStyle w:val="179"/>
              <w:rPr>
                <w:rFonts w:hAnsi="宋体"/>
                <w:szCs w:val="18"/>
              </w:rPr>
            </w:pPr>
            <w:r>
              <w:rPr>
                <w:rFonts w:hAnsi="宋体"/>
                <w:szCs w:val="18"/>
              </w:rPr>
              <w:t>2</w:t>
            </w:r>
            <w:r>
              <w:rPr>
                <w:rFonts w:hint="eastAsia" w:hAnsi="宋体"/>
                <w:szCs w:val="18"/>
              </w:rPr>
              <w:t>次/年</w:t>
            </w:r>
          </w:p>
        </w:tc>
      </w:tr>
      <w:tr w14:paraId="7D80FD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7CE8F55D">
            <w:pPr>
              <w:pStyle w:val="179"/>
              <w:rPr>
                <w:rFonts w:hAnsi="宋体"/>
                <w:szCs w:val="18"/>
              </w:rPr>
            </w:pPr>
            <w:r>
              <w:rPr>
                <w:rFonts w:hint="eastAsia" w:hAnsi="宋体"/>
                <w:szCs w:val="18"/>
              </w:rPr>
              <w:t>1</w:t>
            </w:r>
            <w:r>
              <w:rPr>
                <w:rFonts w:hAnsi="宋体"/>
                <w:szCs w:val="18"/>
              </w:rPr>
              <w:t>9</w:t>
            </w:r>
          </w:p>
        </w:tc>
        <w:tc>
          <w:tcPr>
            <w:tcW w:w="3118" w:type="dxa"/>
            <w:shd w:val="clear" w:color="auto" w:fill="auto"/>
            <w:vAlign w:val="center"/>
          </w:tcPr>
          <w:p w14:paraId="1019E35B">
            <w:pPr>
              <w:pStyle w:val="179"/>
              <w:rPr>
                <w:rFonts w:hAnsi="宋体"/>
                <w:szCs w:val="18"/>
              </w:rPr>
            </w:pPr>
            <w:r>
              <w:rPr>
                <w:rFonts w:hint="eastAsia" w:hAnsi="宋体"/>
                <w:szCs w:val="18"/>
              </w:rPr>
              <w:t>浮游植物密度</w:t>
            </w:r>
          </w:p>
        </w:tc>
        <w:tc>
          <w:tcPr>
            <w:tcW w:w="3828" w:type="dxa"/>
            <w:shd w:val="clear" w:color="auto" w:fill="auto"/>
          </w:tcPr>
          <w:p w14:paraId="4C33C332">
            <w:pPr>
              <w:pStyle w:val="179"/>
              <w:rPr>
                <w:rFonts w:hAnsi="宋体"/>
                <w:szCs w:val="18"/>
              </w:rPr>
            </w:pPr>
            <w:r>
              <w:rPr>
                <w:rFonts w:hint="eastAsia" w:hAnsi="宋体"/>
                <w:szCs w:val="18"/>
              </w:rPr>
              <w:t>现场调查、室内鉴定等</w:t>
            </w:r>
          </w:p>
        </w:tc>
        <w:tc>
          <w:tcPr>
            <w:tcW w:w="1547" w:type="dxa"/>
            <w:shd w:val="clear" w:color="auto" w:fill="auto"/>
          </w:tcPr>
          <w:p w14:paraId="78D42449">
            <w:pPr>
              <w:pStyle w:val="179"/>
              <w:rPr>
                <w:rFonts w:hAnsi="宋体"/>
                <w:szCs w:val="18"/>
              </w:rPr>
            </w:pPr>
            <w:r>
              <w:rPr>
                <w:rFonts w:hAnsi="宋体"/>
                <w:szCs w:val="18"/>
              </w:rPr>
              <w:t>2</w:t>
            </w:r>
            <w:r>
              <w:rPr>
                <w:rFonts w:hint="eastAsia" w:hAnsi="宋体"/>
                <w:szCs w:val="18"/>
              </w:rPr>
              <w:t>次/年</w:t>
            </w:r>
          </w:p>
        </w:tc>
      </w:tr>
      <w:tr w14:paraId="5F974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588B0B5E">
            <w:pPr>
              <w:pStyle w:val="179"/>
              <w:rPr>
                <w:rFonts w:hAnsi="宋体"/>
                <w:szCs w:val="18"/>
              </w:rPr>
            </w:pPr>
            <w:r>
              <w:rPr>
                <w:rFonts w:hint="eastAsia" w:hAnsi="宋体"/>
                <w:szCs w:val="18"/>
              </w:rPr>
              <w:t>2</w:t>
            </w:r>
            <w:r>
              <w:rPr>
                <w:rFonts w:hAnsi="宋体"/>
                <w:szCs w:val="18"/>
              </w:rPr>
              <w:t>0</w:t>
            </w:r>
          </w:p>
        </w:tc>
        <w:tc>
          <w:tcPr>
            <w:tcW w:w="3118" w:type="dxa"/>
            <w:shd w:val="clear" w:color="auto" w:fill="auto"/>
            <w:vAlign w:val="center"/>
          </w:tcPr>
          <w:p w14:paraId="69400191">
            <w:pPr>
              <w:pStyle w:val="179"/>
              <w:rPr>
                <w:rFonts w:hAnsi="宋体"/>
                <w:szCs w:val="18"/>
              </w:rPr>
            </w:pPr>
            <w:r>
              <w:rPr>
                <w:rFonts w:hint="eastAsia" w:hAnsi="宋体"/>
                <w:szCs w:val="18"/>
              </w:rPr>
              <w:t>水生维管植物覆盖度</w:t>
            </w:r>
          </w:p>
        </w:tc>
        <w:tc>
          <w:tcPr>
            <w:tcW w:w="3828" w:type="dxa"/>
            <w:shd w:val="clear" w:color="auto" w:fill="auto"/>
          </w:tcPr>
          <w:p w14:paraId="57891182">
            <w:pPr>
              <w:pStyle w:val="179"/>
              <w:rPr>
                <w:rFonts w:hAnsi="宋体"/>
                <w:szCs w:val="18"/>
              </w:rPr>
            </w:pPr>
            <w:r>
              <w:rPr>
                <w:rFonts w:hint="eastAsia" w:hAnsi="宋体"/>
                <w:szCs w:val="18"/>
              </w:rPr>
              <w:t>现场调查、室内鉴定等</w:t>
            </w:r>
          </w:p>
        </w:tc>
        <w:tc>
          <w:tcPr>
            <w:tcW w:w="1547" w:type="dxa"/>
            <w:shd w:val="clear" w:color="auto" w:fill="auto"/>
          </w:tcPr>
          <w:p w14:paraId="40718F67">
            <w:pPr>
              <w:pStyle w:val="179"/>
              <w:rPr>
                <w:rFonts w:hAnsi="宋体"/>
                <w:szCs w:val="18"/>
              </w:rPr>
            </w:pPr>
            <w:r>
              <w:rPr>
                <w:rFonts w:hint="eastAsia" w:hAnsi="宋体"/>
                <w:szCs w:val="18"/>
              </w:rPr>
              <w:t>1次/年～</w:t>
            </w:r>
            <w:r>
              <w:rPr>
                <w:rFonts w:hAnsi="宋体"/>
                <w:szCs w:val="18"/>
              </w:rPr>
              <w:t>2</w:t>
            </w:r>
            <w:r>
              <w:rPr>
                <w:rFonts w:hint="eastAsia" w:hAnsi="宋体"/>
                <w:szCs w:val="18"/>
              </w:rPr>
              <w:t>次/年</w:t>
            </w:r>
          </w:p>
        </w:tc>
      </w:tr>
      <w:tr w14:paraId="63D92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489ED9C2">
            <w:pPr>
              <w:pStyle w:val="179"/>
              <w:rPr>
                <w:rFonts w:hAnsi="宋体"/>
                <w:szCs w:val="18"/>
              </w:rPr>
            </w:pPr>
            <w:r>
              <w:rPr>
                <w:rFonts w:hint="eastAsia" w:hAnsi="宋体"/>
                <w:szCs w:val="18"/>
              </w:rPr>
              <w:t>2</w:t>
            </w:r>
            <w:r>
              <w:rPr>
                <w:rFonts w:hAnsi="宋体"/>
                <w:szCs w:val="18"/>
              </w:rPr>
              <w:t>1</w:t>
            </w:r>
          </w:p>
        </w:tc>
        <w:tc>
          <w:tcPr>
            <w:tcW w:w="3118" w:type="dxa"/>
            <w:shd w:val="clear" w:color="auto" w:fill="auto"/>
            <w:vAlign w:val="center"/>
          </w:tcPr>
          <w:p w14:paraId="1114D207">
            <w:pPr>
              <w:pStyle w:val="179"/>
              <w:rPr>
                <w:rFonts w:hAnsi="宋体"/>
                <w:szCs w:val="18"/>
              </w:rPr>
            </w:pPr>
            <w:r>
              <w:rPr>
                <w:rFonts w:hint="eastAsia" w:hAnsi="宋体"/>
                <w:szCs w:val="18"/>
              </w:rPr>
              <w:t>水鸟多样性指数</w:t>
            </w:r>
          </w:p>
        </w:tc>
        <w:tc>
          <w:tcPr>
            <w:tcW w:w="3828" w:type="dxa"/>
            <w:shd w:val="clear" w:color="auto" w:fill="auto"/>
          </w:tcPr>
          <w:p w14:paraId="66CA1542">
            <w:pPr>
              <w:pStyle w:val="179"/>
              <w:rPr>
                <w:rFonts w:hAnsi="宋体"/>
                <w:szCs w:val="18"/>
              </w:rPr>
            </w:pPr>
            <w:r>
              <w:rPr>
                <w:rFonts w:hint="eastAsia" w:hAnsi="宋体"/>
                <w:szCs w:val="18"/>
              </w:rPr>
              <w:t>政府常规调查数据、公民科学数据、现场调查等</w:t>
            </w:r>
          </w:p>
        </w:tc>
        <w:tc>
          <w:tcPr>
            <w:tcW w:w="1547" w:type="dxa"/>
            <w:shd w:val="clear" w:color="auto" w:fill="auto"/>
          </w:tcPr>
          <w:p w14:paraId="719E6016">
            <w:pPr>
              <w:pStyle w:val="179"/>
              <w:rPr>
                <w:rFonts w:hAnsi="宋体"/>
                <w:szCs w:val="18"/>
              </w:rPr>
            </w:pPr>
            <w:r>
              <w:rPr>
                <w:rFonts w:hAnsi="宋体"/>
                <w:szCs w:val="18"/>
              </w:rPr>
              <w:t>4</w:t>
            </w:r>
            <w:r>
              <w:rPr>
                <w:rFonts w:hint="eastAsia" w:hAnsi="宋体"/>
                <w:szCs w:val="18"/>
              </w:rPr>
              <w:t>次/年</w:t>
            </w:r>
          </w:p>
        </w:tc>
      </w:tr>
      <w:tr w14:paraId="72ED94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1CC95431">
            <w:pPr>
              <w:pStyle w:val="179"/>
              <w:rPr>
                <w:rFonts w:hAnsi="宋体"/>
                <w:szCs w:val="18"/>
              </w:rPr>
            </w:pPr>
            <w:r>
              <w:rPr>
                <w:rFonts w:hint="eastAsia" w:hAnsi="宋体"/>
                <w:szCs w:val="18"/>
              </w:rPr>
              <w:t>2</w:t>
            </w:r>
            <w:r>
              <w:rPr>
                <w:rFonts w:hAnsi="宋体"/>
                <w:szCs w:val="18"/>
              </w:rPr>
              <w:t>2</w:t>
            </w:r>
          </w:p>
        </w:tc>
        <w:tc>
          <w:tcPr>
            <w:tcW w:w="3118" w:type="dxa"/>
            <w:shd w:val="clear" w:color="auto" w:fill="auto"/>
            <w:vAlign w:val="center"/>
          </w:tcPr>
          <w:p w14:paraId="72AF90FF">
            <w:pPr>
              <w:pStyle w:val="179"/>
              <w:rPr>
                <w:rFonts w:hAnsi="宋体"/>
                <w:szCs w:val="18"/>
              </w:rPr>
            </w:pPr>
            <w:r>
              <w:rPr>
                <w:rFonts w:hint="eastAsia" w:hAnsi="宋体"/>
                <w:szCs w:val="18"/>
              </w:rPr>
              <w:t>浮游动物状况</w:t>
            </w:r>
          </w:p>
        </w:tc>
        <w:tc>
          <w:tcPr>
            <w:tcW w:w="3828" w:type="dxa"/>
            <w:shd w:val="clear" w:color="auto" w:fill="auto"/>
          </w:tcPr>
          <w:p w14:paraId="545A857D">
            <w:pPr>
              <w:pStyle w:val="179"/>
              <w:rPr>
                <w:rFonts w:hAnsi="宋体"/>
                <w:szCs w:val="18"/>
              </w:rPr>
            </w:pPr>
            <w:r>
              <w:rPr>
                <w:rFonts w:hint="eastAsia" w:hAnsi="宋体"/>
                <w:szCs w:val="18"/>
              </w:rPr>
              <w:t>现场调查、室内鉴定等</w:t>
            </w:r>
          </w:p>
        </w:tc>
        <w:tc>
          <w:tcPr>
            <w:tcW w:w="1547" w:type="dxa"/>
            <w:shd w:val="clear" w:color="auto" w:fill="auto"/>
          </w:tcPr>
          <w:p w14:paraId="2FBFFA2E">
            <w:pPr>
              <w:pStyle w:val="179"/>
              <w:rPr>
                <w:rFonts w:hAnsi="宋体"/>
                <w:szCs w:val="18"/>
              </w:rPr>
            </w:pPr>
            <w:r>
              <w:rPr>
                <w:rFonts w:hAnsi="宋体"/>
                <w:szCs w:val="18"/>
              </w:rPr>
              <w:t>2</w:t>
            </w:r>
            <w:r>
              <w:rPr>
                <w:rFonts w:hint="eastAsia" w:hAnsi="宋体"/>
                <w:szCs w:val="18"/>
              </w:rPr>
              <w:t>次/年</w:t>
            </w:r>
          </w:p>
        </w:tc>
      </w:tr>
      <w:tr w14:paraId="46C07D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1F679C0B">
            <w:pPr>
              <w:pStyle w:val="179"/>
              <w:rPr>
                <w:rFonts w:hAnsi="宋体"/>
                <w:szCs w:val="18"/>
              </w:rPr>
            </w:pPr>
            <w:r>
              <w:rPr>
                <w:rFonts w:hint="eastAsia" w:hAnsi="宋体"/>
                <w:szCs w:val="18"/>
              </w:rPr>
              <w:t>2</w:t>
            </w:r>
            <w:r>
              <w:rPr>
                <w:rFonts w:hAnsi="宋体"/>
                <w:szCs w:val="18"/>
              </w:rPr>
              <w:t>3</w:t>
            </w:r>
          </w:p>
        </w:tc>
        <w:tc>
          <w:tcPr>
            <w:tcW w:w="3118" w:type="dxa"/>
            <w:shd w:val="clear" w:color="auto" w:fill="auto"/>
            <w:vAlign w:val="center"/>
          </w:tcPr>
          <w:p w14:paraId="64DA10DC">
            <w:pPr>
              <w:pStyle w:val="179"/>
              <w:rPr>
                <w:rFonts w:hAnsi="宋体"/>
                <w:szCs w:val="18"/>
              </w:rPr>
            </w:pPr>
            <w:r>
              <w:rPr>
                <w:rFonts w:hint="eastAsia" w:hAnsi="宋体"/>
                <w:szCs w:val="18"/>
              </w:rPr>
              <w:t>公众满意度</w:t>
            </w:r>
          </w:p>
        </w:tc>
        <w:tc>
          <w:tcPr>
            <w:tcW w:w="3828" w:type="dxa"/>
            <w:shd w:val="clear" w:color="auto" w:fill="auto"/>
          </w:tcPr>
          <w:p w14:paraId="1CC5B0F9">
            <w:pPr>
              <w:pStyle w:val="179"/>
              <w:rPr>
                <w:rFonts w:hAnsi="宋体"/>
                <w:szCs w:val="18"/>
              </w:rPr>
            </w:pPr>
            <w:r>
              <w:rPr>
                <w:rFonts w:hint="eastAsia" w:hAnsi="宋体"/>
                <w:szCs w:val="18"/>
              </w:rPr>
              <w:t>现场调查等</w:t>
            </w:r>
          </w:p>
        </w:tc>
        <w:tc>
          <w:tcPr>
            <w:tcW w:w="1547" w:type="dxa"/>
            <w:shd w:val="clear" w:color="auto" w:fill="auto"/>
          </w:tcPr>
          <w:p w14:paraId="67230D42">
            <w:pPr>
              <w:pStyle w:val="179"/>
              <w:rPr>
                <w:rFonts w:hAnsi="宋体"/>
                <w:szCs w:val="18"/>
              </w:rPr>
            </w:pPr>
            <w:r>
              <w:rPr>
                <w:rFonts w:hint="eastAsia" w:hAnsi="宋体"/>
                <w:szCs w:val="18"/>
              </w:rPr>
              <w:t>1次/年</w:t>
            </w:r>
          </w:p>
        </w:tc>
      </w:tr>
      <w:tr w14:paraId="54FFBE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61A65592">
            <w:pPr>
              <w:pStyle w:val="179"/>
              <w:rPr>
                <w:rFonts w:hAnsi="宋体"/>
                <w:szCs w:val="18"/>
              </w:rPr>
            </w:pPr>
            <w:r>
              <w:rPr>
                <w:rFonts w:hint="eastAsia" w:hAnsi="宋体"/>
                <w:szCs w:val="18"/>
              </w:rPr>
              <w:t>2</w:t>
            </w:r>
            <w:r>
              <w:rPr>
                <w:rFonts w:hAnsi="宋体"/>
                <w:szCs w:val="18"/>
              </w:rPr>
              <w:t>4</w:t>
            </w:r>
          </w:p>
        </w:tc>
        <w:tc>
          <w:tcPr>
            <w:tcW w:w="3118" w:type="dxa"/>
            <w:shd w:val="clear" w:color="auto" w:fill="auto"/>
            <w:vAlign w:val="center"/>
          </w:tcPr>
          <w:p w14:paraId="452D9BCE">
            <w:pPr>
              <w:pStyle w:val="179"/>
              <w:rPr>
                <w:rFonts w:hAnsi="宋体"/>
                <w:szCs w:val="18"/>
              </w:rPr>
            </w:pPr>
            <w:r>
              <w:rPr>
                <w:rFonts w:hint="eastAsia" w:hAnsi="宋体"/>
                <w:szCs w:val="18"/>
              </w:rPr>
              <w:t>防洪（汛）达标率</w:t>
            </w:r>
          </w:p>
        </w:tc>
        <w:tc>
          <w:tcPr>
            <w:tcW w:w="3828" w:type="dxa"/>
            <w:shd w:val="clear" w:color="auto" w:fill="auto"/>
          </w:tcPr>
          <w:p w14:paraId="01BEF88B">
            <w:pPr>
              <w:pStyle w:val="179"/>
              <w:rPr>
                <w:rFonts w:hAnsi="宋体"/>
                <w:szCs w:val="18"/>
              </w:rPr>
            </w:pPr>
            <w:r>
              <w:rPr>
                <w:rFonts w:hint="eastAsia" w:hAnsi="宋体"/>
                <w:szCs w:val="18"/>
              </w:rPr>
              <w:t>政府统计数据、遥感解译、现场调查等</w:t>
            </w:r>
          </w:p>
        </w:tc>
        <w:tc>
          <w:tcPr>
            <w:tcW w:w="1547" w:type="dxa"/>
            <w:shd w:val="clear" w:color="auto" w:fill="auto"/>
          </w:tcPr>
          <w:p w14:paraId="1651A3A5">
            <w:pPr>
              <w:pStyle w:val="179"/>
              <w:rPr>
                <w:rFonts w:hAnsi="宋体"/>
                <w:szCs w:val="18"/>
              </w:rPr>
            </w:pPr>
            <w:r>
              <w:rPr>
                <w:rFonts w:hint="eastAsia" w:hAnsi="宋体"/>
                <w:szCs w:val="18"/>
              </w:rPr>
              <w:t>1次/年</w:t>
            </w:r>
          </w:p>
        </w:tc>
      </w:tr>
      <w:tr w14:paraId="35FE05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72475805">
            <w:pPr>
              <w:pStyle w:val="179"/>
              <w:rPr>
                <w:rFonts w:hAnsi="宋体"/>
                <w:szCs w:val="18"/>
              </w:rPr>
            </w:pPr>
            <w:r>
              <w:rPr>
                <w:rFonts w:hint="eastAsia" w:hAnsi="宋体"/>
                <w:szCs w:val="18"/>
              </w:rPr>
              <w:t>2</w:t>
            </w:r>
            <w:r>
              <w:rPr>
                <w:rFonts w:hAnsi="宋体"/>
                <w:szCs w:val="18"/>
              </w:rPr>
              <w:t>5</w:t>
            </w:r>
          </w:p>
        </w:tc>
        <w:tc>
          <w:tcPr>
            <w:tcW w:w="3118" w:type="dxa"/>
            <w:shd w:val="clear" w:color="auto" w:fill="auto"/>
            <w:vAlign w:val="center"/>
          </w:tcPr>
          <w:p w14:paraId="3608B5B2">
            <w:pPr>
              <w:pStyle w:val="179"/>
              <w:rPr>
                <w:rFonts w:hAnsi="宋体"/>
                <w:szCs w:val="18"/>
              </w:rPr>
            </w:pPr>
            <w:r>
              <w:rPr>
                <w:rFonts w:hint="eastAsia" w:hAnsi="宋体"/>
                <w:szCs w:val="18"/>
              </w:rPr>
              <w:t>岸线贯通程度</w:t>
            </w:r>
          </w:p>
        </w:tc>
        <w:tc>
          <w:tcPr>
            <w:tcW w:w="3828" w:type="dxa"/>
            <w:shd w:val="clear" w:color="auto" w:fill="auto"/>
          </w:tcPr>
          <w:p w14:paraId="072F4D80">
            <w:pPr>
              <w:pStyle w:val="179"/>
              <w:rPr>
                <w:rFonts w:hAnsi="宋体"/>
                <w:szCs w:val="18"/>
              </w:rPr>
            </w:pPr>
            <w:r>
              <w:rPr>
                <w:rFonts w:hint="eastAsia" w:hAnsi="宋体"/>
                <w:szCs w:val="18"/>
              </w:rPr>
              <w:t>遥感解译、现场调查等</w:t>
            </w:r>
          </w:p>
        </w:tc>
        <w:tc>
          <w:tcPr>
            <w:tcW w:w="1547" w:type="dxa"/>
            <w:shd w:val="clear" w:color="auto" w:fill="auto"/>
          </w:tcPr>
          <w:p w14:paraId="3CBCE731">
            <w:pPr>
              <w:pStyle w:val="179"/>
              <w:rPr>
                <w:rFonts w:hAnsi="宋体"/>
                <w:szCs w:val="18"/>
              </w:rPr>
            </w:pPr>
            <w:r>
              <w:rPr>
                <w:rFonts w:hint="eastAsia" w:hAnsi="宋体"/>
                <w:szCs w:val="18"/>
              </w:rPr>
              <w:t>1次/年</w:t>
            </w:r>
          </w:p>
        </w:tc>
      </w:tr>
      <w:tr w14:paraId="548E4D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6D227957">
            <w:pPr>
              <w:pStyle w:val="179"/>
              <w:rPr>
                <w:rFonts w:hAnsi="宋体"/>
                <w:szCs w:val="18"/>
              </w:rPr>
            </w:pPr>
            <w:r>
              <w:rPr>
                <w:rFonts w:hint="eastAsia" w:hAnsi="宋体"/>
                <w:szCs w:val="18"/>
              </w:rPr>
              <w:t>2</w:t>
            </w:r>
            <w:r>
              <w:rPr>
                <w:rFonts w:hAnsi="宋体"/>
                <w:szCs w:val="18"/>
              </w:rPr>
              <w:t>6</w:t>
            </w:r>
          </w:p>
        </w:tc>
        <w:tc>
          <w:tcPr>
            <w:tcW w:w="3118" w:type="dxa"/>
            <w:shd w:val="clear" w:color="auto" w:fill="auto"/>
            <w:vAlign w:val="center"/>
          </w:tcPr>
          <w:p w14:paraId="5E95E388">
            <w:pPr>
              <w:pStyle w:val="179"/>
              <w:rPr>
                <w:rFonts w:hAnsi="宋体"/>
                <w:szCs w:val="18"/>
              </w:rPr>
            </w:pPr>
            <w:r>
              <w:rPr>
                <w:rFonts w:hint="eastAsia" w:hAnsi="宋体"/>
                <w:szCs w:val="18"/>
              </w:rPr>
              <w:t>供水保证程度</w:t>
            </w:r>
          </w:p>
        </w:tc>
        <w:tc>
          <w:tcPr>
            <w:tcW w:w="3828" w:type="dxa"/>
            <w:shd w:val="clear" w:color="auto" w:fill="auto"/>
          </w:tcPr>
          <w:p w14:paraId="3746CC05">
            <w:pPr>
              <w:pStyle w:val="179"/>
              <w:rPr>
                <w:rFonts w:hAnsi="宋体"/>
                <w:szCs w:val="18"/>
              </w:rPr>
            </w:pPr>
            <w:r>
              <w:rPr>
                <w:rFonts w:hint="eastAsia" w:hAnsi="宋体"/>
                <w:szCs w:val="18"/>
              </w:rPr>
              <w:t>政府常规监测数据等</w:t>
            </w:r>
          </w:p>
        </w:tc>
        <w:tc>
          <w:tcPr>
            <w:tcW w:w="1547" w:type="dxa"/>
            <w:shd w:val="clear" w:color="auto" w:fill="auto"/>
          </w:tcPr>
          <w:p w14:paraId="320DC012">
            <w:pPr>
              <w:pStyle w:val="179"/>
              <w:rPr>
                <w:rFonts w:hAnsi="宋体"/>
                <w:szCs w:val="18"/>
              </w:rPr>
            </w:pPr>
            <w:r>
              <w:rPr>
                <w:rFonts w:hint="eastAsia" w:hAnsi="宋体"/>
                <w:szCs w:val="18"/>
              </w:rPr>
              <w:t>1次/年</w:t>
            </w:r>
          </w:p>
        </w:tc>
      </w:tr>
      <w:tr w14:paraId="35950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7248B494">
            <w:pPr>
              <w:pStyle w:val="179"/>
              <w:rPr>
                <w:rFonts w:hAnsi="宋体"/>
                <w:szCs w:val="18"/>
              </w:rPr>
            </w:pPr>
            <w:r>
              <w:rPr>
                <w:rFonts w:hint="eastAsia" w:hAnsi="宋体"/>
                <w:szCs w:val="18"/>
              </w:rPr>
              <w:t>2</w:t>
            </w:r>
            <w:r>
              <w:rPr>
                <w:rFonts w:hAnsi="宋体"/>
                <w:szCs w:val="18"/>
              </w:rPr>
              <w:t>7</w:t>
            </w:r>
          </w:p>
        </w:tc>
        <w:tc>
          <w:tcPr>
            <w:tcW w:w="3118" w:type="dxa"/>
            <w:shd w:val="clear" w:color="auto" w:fill="auto"/>
            <w:vAlign w:val="center"/>
          </w:tcPr>
          <w:p w14:paraId="6A449410">
            <w:pPr>
              <w:pStyle w:val="179"/>
              <w:rPr>
                <w:rFonts w:hAnsi="宋体"/>
                <w:szCs w:val="18"/>
              </w:rPr>
            </w:pPr>
            <w:r>
              <w:rPr>
                <w:rFonts w:hint="eastAsia" w:hAnsi="宋体"/>
                <w:szCs w:val="18"/>
              </w:rPr>
              <w:t>排涝工程达标率</w:t>
            </w:r>
          </w:p>
        </w:tc>
        <w:tc>
          <w:tcPr>
            <w:tcW w:w="3828" w:type="dxa"/>
            <w:shd w:val="clear" w:color="auto" w:fill="auto"/>
          </w:tcPr>
          <w:p w14:paraId="63F12538">
            <w:pPr>
              <w:pStyle w:val="179"/>
              <w:rPr>
                <w:rFonts w:hAnsi="宋体"/>
                <w:szCs w:val="18"/>
              </w:rPr>
            </w:pPr>
            <w:r>
              <w:rPr>
                <w:rFonts w:hint="eastAsia" w:hAnsi="宋体"/>
                <w:szCs w:val="18"/>
              </w:rPr>
              <w:t>政府统计数据等</w:t>
            </w:r>
          </w:p>
        </w:tc>
        <w:tc>
          <w:tcPr>
            <w:tcW w:w="1547" w:type="dxa"/>
            <w:shd w:val="clear" w:color="auto" w:fill="auto"/>
          </w:tcPr>
          <w:p w14:paraId="352DB567">
            <w:pPr>
              <w:pStyle w:val="179"/>
              <w:rPr>
                <w:rFonts w:hAnsi="宋体"/>
                <w:szCs w:val="18"/>
              </w:rPr>
            </w:pPr>
            <w:r>
              <w:rPr>
                <w:rFonts w:hint="eastAsia" w:hAnsi="宋体"/>
                <w:szCs w:val="18"/>
              </w:rPr>
              <w:t>1次/年</w:t>
            </w:r>
          </w:p>
        </w:tc>
      </w:tr>
      <w:tr w14:paraId="5AC4A0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tcPr>
          <w:p w14:paraId="30EE20B4">
            <w:pPr>
              <w:pStyle w:val="179"/>
              <w:rPr>
                <w:rFonts w:hAnsi="宋体"/>
                <w:szCs w:val="18"/>
              </w:rPr>
            </w:pPr>
            <w:r>
              <w:rPr>
                <w:rFonts w:hint="eastAsia" w:hAnsi="宋体"/>
                <w:szCs w:val="18"/>
              </w:rPr>
              <w:t>2</w:t>
            </w:r>
            <w:r>
              <w:rPr>
                <w:rFonts w:hAnsi="宋体"/>
                <w:szCs w:val="18"/>
              </w:rPr>
              <w:t>8</w:t>
            </w:r>
          </w:p>
        </w:tc>
        <w:tc>
          <w:tcPr>
            <w:tcW w:w="3118" w:type="dxa"/>
            <w:shd w:val="clear" w:color="auto" w:fill="auto"/>
            <w:vAlign w:val="center"/>
          </w:tcPr>
          <w:p w14:paraId="3A696059">
            <w:pPr>
              <w:pStyle w:val="179"/>
              <w:rPr>
                <w:rFonts w:hAnsi="宋体"/>
                <w:szCs w:val="18"/>
              </w:rPr>
            </w:pPr>
            <w:r>
              <w:rPr>
                <w:rFonts w:hint="eastAsia" w:hAnsi="宋体"/>
                <w:szCs w:val="18"/>
              </w:rPr>
              <w:t>通航保证率</w:t>
            </w:r>
          </w:p>
        </w:tc>
        <w:tc>
          <w:tcPr>
            <w:tcW w:w="3828" w:type="dxa"/>
            <w:shd w:val="clear" w:color="auto" w:fill="auto"/>
          </w:tcPr>
          <w:p w14:paraId="77A210B1">
            <w:pPr>
              <w:pStyle w:val="179"/>
              <w:rPr>
                <w:rFonts w:hAnsi="宋体"/>
                <w:szCs w:val="18"/>
              </w:rPr>
            </w:pPr>
            <w:r>
              <w:rPr>
                <w:rFonts w:hint="eastAsia" w:hAnsi="宋体"/>
                <w:szCs w:val="18"/>
              </w:rPr>
              <w:t>政府统计数据等</w:t>
            </w:r>
          </w:p>
        </w:tc>
        <w:tc>
          <w:tcPr>
            <w:tcW w:w="1547" w:type="dxa"/>
            <w:shd w:val="clear" w:color="auto" w:fill="auto"/>
          </w:tcPr>
          <w:p w14:paraId="1F6758C1">
            <w:pPr>
              <w:pStyle w:val="179"/>
              <w:rPr>
                <w:rFonts w:hAnsi="宋体"/>
                <w:szCs w:val="18"/>
              </w:rPr>
            </w:pPr>
            <w:r>
              <w:rPr>
                <w:rFonts w:hint="eastAsia" w:hAnsi="宋体"/>
                <w:szCs w:val="18"/>
              </w:rPr>
              <w:t>1次/年</w:t>
            </w:r>
          </w:p>
        </w:tc>
      </w:tr>
    </w:tbl>
    <w:p w14:paraId="748BBB76">
      <w:pPr>
        <w:pStyle w:val="57"/>
        <w:ind w:firstLine="420"/>
      </w:pPr>
    </w:p>
    <w:p w14:paraId="7FDFC295">
      <w:pPr>
        <w:pStyle w:val="166"/>
      </w:pPr>
      <w:r>
        <w:rPr>
          <w:rFonts w:hint="eastAsia"/>
        </w:rPr>
        <w:t>岸线自然状况、鱼类状况、外来物种入侵状况、大型水生植物状况、着生藻类群落状况、浮游植物密度、水生维管植物覆盖度、水鸟多样性指数等调查宜根据生物生长规律，至少有1次在生长旺盛期、繁殖期或活动高峰期开展。</w:t>
      </w:r>
    </w:p>
    <w:p w14:paraId="4638D79F">
      <w:pPr>
        <w:pStyle w:val="166"/>
      </w:pPr>
      <w:r>
        <w:rPr>
          <w:rFonts w:hint="eastAsia"/>
        </w:rPr>
        <w:t>公众满意度调查对象宜为熟悉和使用评价河湖的人员，人数不宜少于</w:t>
      </w:r>
      <w:r>
        <w:t>100</w:t>
      </w:r>
      <w:r>
        <w:rPr>
          <w:rFonts w:hint="eastAsia"/>
        </w:rPr>
        <w:t>人。</w:t>
      </w:r>
    </w:p>
    <w:p w14:paraId="6D4C78EC">
      <w:pPr>
        <w:pStyle w:val="105"/>
        <w:spacing w:before="312" w:after="312"/>
      </w:pPr>
      <w:bookmarkStart w:id="134" w:name="_Toc242804760"/>
      <w:bookmarkStart w:id="135" w:name="_Toc242796915"/>
      <w:r>
        <w:rPr>
          <w:rFonts w:hint="eastAsia"/>
        </w:rPr>
        <w:t>河湖健康指数</w:t>
      </w:r>
      <w:bookmarkEnd w:id="134"/>
      <w:bookmarkEnd w:id="135"/>
    </w:p>
    <w:p w14:paraId="59827EAF">
      <w:pPr>
        <w:pStyle w:val="106"/>
        <w:spacing w:before="156" w:after="156"/>
      </w:pPr>
      <w:bookmarkStart w:id="136" w:name="_Toc242804761"/>
      <w:r>
        <w:rPr>
          <w:rFonts w:hint="eastAsia"/>
        </w:rPr>
        <w:t>河湖健康指数计算</w:t>
      </w:r>
      <w:bookmarkEnd w:id="136"/>
    </w:p>
    <w:p w14:paraId="29C7EE4C">
      <w:pPr>
        <w:pStyle w:val="166"/>
      </w:pPr>
      <w:r>
        <w:rPr>
          <w:rFonts w:hint="eastAsia"/>
        </w:rPr>
        <w:t>河湖健康指数（RHI）为目标层得分。目标层得分为准则层得分加权求和，准则层得分为各指标层得分取平均值。</w:t>
      </w:r>
    </w:p>
    <w:p w14:paraId="760D971F">
      <w:pPr>
        <w:pStyle w:val="166"/>
      </w:pPr>
      <w:r>
        <w:rPr>
          <w:rFonts w:hint="eastAsia"/>
        </w:rPr>
        <w:t>河湖健康指数（RHI）如分河段、湖区评价，河湖健康指数（RHI）分别采用河段长度、湖区水面面积所占比例为权重加权求和。</w:t>
      </w:r>
    </w:p>
    <w:p w14:paraId="026B8557">
      <w:pPr>
        <w:pStyle w:val="106"/>
        <w:spacing w:before="156" w:after="156"/>
      </w:pPr>
      <w:bookmarkStart w:id="137" w:name="_Toc242804762"/>
      <w:r>
        <w:rPr>
          <w:rFonts w:hint="eastAsia"/>
        </w:rPr>
        <w:t>评价分级</w:t>
      </w:r>
      <w:bookmarkEnd w:id="137"/>
    </w:p>
    <w:p w14:paraId="45BE2834">
      <w:pPr>
        <w:pStyle w:val="166"/>
        <w:rPr>
          <w:b/>
          <w:bCs/>
        </w:rPr>
      </w:pPr>
      <w:r>
        <w:rPr>
          <w:rFonts w:hint="eastAsia"/>
        </w:rPr>
        <w:t>河湖健康分为五级：优秀、良好、中等、较差、极差</w:t>
      </w:r>
      <w:r>
        <w:t>。</w:t>
      </w:r>
    </w:p>
    <w:p w14:paraId="2B192A2F">
      <w:pPr>
        <w:pStyle w:val="166"/>
        <w:rPr>
          <w:b/>
          <w:bCs/>
        </w:rPr>
      </w:pPr>
      <w:r>
        <w:rPr>
          <w:rFonts w:hint="eastAsia"/>
        </w:rPr>
        <w:t>河湖健康分级根据评价河湖健康指数确定，河湖健康分级、赋分范围和颜色见表</w:t>
      </w:r>
      <w:r>
        <w:t>29。</w:t>
      </w:r>
    </w:p>
    <w:p w14:paraId="7F741800">
      <w:pPr>
        <w:pStyle w:val="166"/>
        <w:rPr>
          <w:b/>
          <w:bCs/>
        </w:rPr>
      </w:pPr>
      <w:r>
        <w:rPr>
          <w:rFonts w:hint="eastAsia"/>
        </w:rPr>
        <w:t>河湖健康评价级别为中等及以上的，若水域岸线完整性、生态流量（水位）满足程度、水质优劣程度中任一指标赋分低于</w:t>
      </w:r>
      <w:r>
        <w:t>40</w:t>
      </w:r>
      <w:r>
        <w:rPr>
          <w:rFonts w:hint="eastAsia"/>
        </w:rPr>
        <w:t>分，则最终评价级别降至“较差”</w:t>
      </w:r>
      <w:r>
        <w:t>。</w:t>
      </w:r>
      <w:r>
        <w:rPr>
          <w:rFonts w:hint="eastAsia"/>
        </w:rPr>
        <w:t>分级标准见表</w:t>
      </w:r>
      <w:r>
        <w:t>31</w:t>
      </w:r>
      <w:r>
        <w:rPr>
          <w:rFonts w:hint="eastAsia"/>
        </w:rPr>
        <w:t>。</w:t>
      </w:r>
    </w:p>
    <w:p w14:paraId="23C9AA6B">
      <w:pPr>
        <w:pStyle w:val="113"/>
        <w:spacing w:before="156" w:after="156"/>
      </w:pPr>
      <w:r>
        <w:t>河湖健康评价分级</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84"/>
        <w:gridCol w:w="3969"/>
        <w:gridCol w:w="2681"/>
      </w:tblGrid>
      <w:tr w14:paraId="5FE21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684" w:type="dxa"/>
            <w:tcBorders>
              <w:top w:val="single" w:color="auto" w:sz="8" w:space="0"/>
              <w:bottom w:val="single" w:color="auto" w:sz="8" w:space="0"/>
            </w:tcBorders>
            <w:shd w:val="clear" w:color="auto" w:fill="auto"/>
          </w:tcPr>
          <w:p w14:paraId="2B846723">
            <w:pPr>
              <w:pStyle w:val="179"/>
              <w:rPr>
                <w:rFonts w:hAnsi="宋体"/>
              </w:rPr>
            </w:pPr>
            <w:r>
              <w:rPr>
                <w:rFonts w:hAnsi="宋体"/>
              </w:rPr>
              <w:t>分级</w:t>
            </w:r>
          </w:p>
        </w:tc>
        <w:tc>
          <w:tcPr>
            <w:tcW w:w="3969" w:type="dxa"/>
            <w:tcBorders>
              <w:top w:val="single" w:color="auto" w:sz="8" w:space="0"/>
              <w:bottom w:val="single" w:color="auto" w:sz="8" w:space="0"/>
            </w:tcBorders>
            <w:shd w:val="clear" w:color="auto" w:fill="auto"/>
          </w:tcPr>
          <w:p w14:paraId="1175777E">
            <w:pPr>
              <w:pStyle w:val="179"/>
              <w:rPr>
                <w:rFonts w:hAnsi="宋体"/>
              </w:rPr>
            </w:pPr>
            <w:r>
              <w:rPr>
                <w:rFonts w:hAnsi="宋体"/>
              </w:rPr>
              <w:t>健康指数范围</w:t>
            </w:r>
          </w:p>
        </w:tc>
        <w:tc>
          <w:tcPr>
            <w:tcW w:w="2681" w:type="dxa"/>
            <w:tcBorders>
              <w:top w:val="single" w:color="auto" w:sz="8" w:space="0"/>
              <w:bottom w:val="single" w:color="auto" w:sz="8" w:space="0"/>
            </w:tcBorders>
            <w:shd w:val="clear" w:color="auto" w:fill="auto"/>
          </w:tcPr>
          <w:p w14:paraId="6275E514">
            <w:pPr>
              <w:pStyle w:val="179"/>
              <w:rPr>
                <w:rFonts w:hAnsi="宋体"/>
              </w:rPr>
            </w:pPr>
            <w:r>
              <w:rPr>
                <w:rFonts w:hAnsi="宋体"/>
              </w:rPr>
              <w:t>颜色</w:t>
            </w:r>
          </w:p>
        </w:tc>
      </w:tr>
      <w:tr w14:paraId="73EF27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tcBorders>
              <w:top w:val="single" w:color="auto" w:sz="8" w:space="0"/>
            </w:tcBorders>
            <w:shd w:val="clear" w:color="auto" w:fill="auto"/>
          </w:tcPr>
          <w:p w14:paraId="7F4B4CBA">
            <w:pPr>
              <w:pStyle w:val="179"/>
              <w:rPr>
                <w:rFonts w:hAnsi="宋体"/>
              </w:rPr>
            </w:pPr>
            <w:r>
              <w:rPr>
                <w:rFonts w:hAnsi="宋体"/>
              </w:rPr>
              <w:t>优秀</w:t>
            </w:r>
          </w:p>
        </w:tc>
        <w:tc>
          <w:tcPr>
            <w:tcW w:w="3969" w:type="dxa"/>
            <w:tcBorders>
              <w:top w:val="single" w:color="auto" w:sz="8" w:space="0"/>
            </w:tcBorders>
            <w:shd w:val="clear" w:color="auto" w:fill="auto"/>
          </w:tcPr>
          <w:p w14:paraId="06CB6539">
            <w:pPr>
              <w:pStyle w:val="179"/>
              <w:rPr>
                <w:rFonts w:hAnsi="宋体"/>
              </w:rPr>
            </w:pPr>
            <w:r>
              <w:rPr>
                <w:rFonts w:hAnsi="宋体"/>
              </w:rPr>
              <w:t>[95</w:t>
            </w:r>
            <w:r>
              <w:rPr>
                <w:rFonts w:hint="eastAsia" w:hAnsi="宋体"/>
              </w:rPr>
              <w:t>，</w:t>
            </w:r>
            <w:r>
              <w:rPr>
                <w:rFonts w:hAnsi="宋体"/>
              </w:rPr>
              <w:t>100]</w:t>
            </w:r>
          </w:p>
        </w:tc>
        <w:tc>
          <w:tcPr>
            <w:tcW w:w="2681" w:type="dxa"/>
            <w:tcBorders>
              <w:top w:val="single" w:color="auto" w:sz="8" w:space="0"/>
            </w:tcBorders>
            <w:shd w:val="clear" w:color="auto" w:fill="auto"/>
          </w:tcPr>
          <w:p w14:paraId="43F6F3AE">
            <w:pPr>
              <w:pStyle w:val="179"/>
              <w:rPr>
                <w:rFonts w:hAnsi="宋体"/>
              </w:rPr>
            </w:pPr>
            <w:r>
              <w:rPr>
                <w:rFonts w:hAnsi="宋体"/>
              </w:rPr>
              <w:t>蓝</w:t>
            </w:r>
          </w:p>
        </w:tc>
      </w:tr>
      <w:tr w14:paraId="07CDF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shd w:val="clear" w:color="auto" w:fill="auto"/>
          </w:tcPr>
          <w:p w14:paraId="38DDDD37">
            <w:pPr>
              <w:pStyle w:val="179"/>
              <w:rPr>
                <w:rFonts w:hAnsi="宋体"/>
              </w:rPr>
            </w:pPr>
            <w:r>
              <w:rPr>
                <w:rFonts w:hAnsi="宋体"/>
              </w:rPr>
              <w:t>良好</w:t>
            </w:r>
          </w:p>
        </w:tc>
        <w:tc>
          <w:tcPr>
            <w:tcW w:w="3969" w:type="dxa"/>
            <w:shd w:val="clear" w:color="auto" w:fill="auto"/>
          </w:tcPr>
          <w:p w14:paraId="327C6BC3">
            <w:pPr>
              <w:pStyle w:val="179"/>
              <w:rPr>
                <w:rFonts w:hAnsi="宋体"/>
              </w:rPr>
            </w:pPr>
            <w:r>
              <w:rPr>
                <w:rFonts w:hAnsi="宋体"/>
              </w:rPr>
              <w:t>[85</w:t>
            </w:r>
            <w:r>
              <w:rPr>
                <w:rFonts w:hint="eastAsia" w:hAnsi="宋体"/>
              </w:rPr>
              <w:t>，</w:t>
            </w:r>
            <w:r>
              <w:rPr>
                <w:rFonts w:hAnsi="宋体"/>
              </w:rPr>
              <w:t>95)</w:t>
            </w:r>
          </w:p>
        </w:tc>
        <w:tc>
          <w:tcPr>
            <w:tcW w:w="2681" w:type="dxa"/>
            <w:shd w:val="clear" w:color="auto" w:fill="auto"/>
          </w:tcPr>
          <w:p w14:paraId="6A3ED714">
            <w:pPr>
              <w:pStyle w:val="179"/>
              <w:rPr>
                <w:rFonts w:hAnsi="宋体"/>
              </w:rPr>
            </w:pPr>
            <w:r>
              <w:rPr>
                <w:rFonts w:hAnsi="宋体"/>
              </w:rPr>
              <w:t>绿</w:t>
            </w:r>
          </w:p>
        </w:tc>
      </w:tr>
      <w:tr w14:paraId="7F92B3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shd w:val="clear" w:color="auto" w:fill="auto"/>
          </w:tcPr>
          <w:p w14:paraId="04DAED4F">
            <w:pPr>
              <w:pStyle w:val="179"/>
              <w:rPr>
                <w:rFonts w:hAnsi="宋体"/>
              </w:rPr>
            </w:pPr>
            <w:r>
              <w:rPr>
                <w:rFonts w:hAnsi="宋体"/>
              </w:rPr>
              <w:t>中等</w:t>
            </w:r>
          </w:p>
        </w:tc>
        <w:tc>
          <w:tcPr>
            <w:tcW w:w="3969" w:type="dxa"/>
            <w:shd w:val="clear" w:color="auto" w:fill="auto"/>
          </w:tcPr>
          <w:p w14:paraId="5DCEAC04">
            <w:pPr>
              <w:pStyle w:val="179"/>
              <w:rPr>
                <w:rFonts w:hAnsi="宋体"/>
              </w:rPr>
            </w:pPr>
            <w:r>
              <w:rPr>
                <w:rFonts w:hAnsi="宋体"/>
              </w:rPr>
              <w:t>[70</w:t>
            </w:r>
            <w:r>
              <w:rPr>
                <w:rFonts w:hint="eastAsia" w:hAnsi="宋体"/>
              </w:rPr>
              <w:t>，</w:t>
            </w:r>
            <w:r>
              <w:rPr>
                <w:rFonts w:hAnsi="宋体"/>
              </w:rPr>
              <w:t>85)</w:t>
            </w:r>
          </w:p>
        </w:tc>
        <w:tc>
          <w:tcPr>
            <w:tcW w:w="2681" w:type="dxa"/>
            <w:shd w:val="clear" w:color="auto" w:fill="auto"/>
          </w:tcPr>
          <w:p w14:paraId="5CA9F7C2">
            <w:pPr>
              <w:pStyle w:val="179"/>
              <w:rPr>
                <w:rFonts w:hAnsi="宋体"/>
              </w:rPr>
            </w:pPr>
            <w:r>
              <w:rPr>
                <w:rFonts w:hAnsi="宋体"/>
              </w:rPr>
              <w:t>黄</w:t>
            </w:r>
          </w:p>
        </w:tc>
      </w:tr>
      <w:tr w14:paraId="7413E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shd w:val="clear" w:color="auto" w:fill="auto"/>
          </w:tcPr>
          <w:p w14:paraId="39F58B68">
            <w:pPr>
              <w:pStyle w:val="179"/>
              <w:rPr>
                <w:rFonts w:hAnsi="宋体"/>
              </w:rPr>
            </w:pPr>
            <w:r>
              <w:rPr>
                <w:rFonts w:hAnsi="宋体"/>
              </w:rPr>
              <w:t>较差</w:t>
            </w:r>
          </w:p>
        </w:tc>
        <w:tc>
          <w:tcPr>
            <w:tcW w:w="3969" w:type="dxa"/>
            <w:shd w:val="clear" w:color="auto" w:fill="auto"/>
          </w:tcPr>
          <w:p w14:paraId="1BF1E721">
            <w:pPr>
              <w:pStyle w:val="179"/>
              <w:rPr>
                <w:rFonts w:hAnsi="宋体"/>
              </w:rPr>
            </w:pPr>
            <w:r>
              <w:rPr>
                <w:rFonts w:hAnsi="宋体"/>
              </w:rPr>
              <w:t>[60</w:t>
            </w:r>
            <w:r>
              <w:rPr>
                <w:rFonts w:hint="eastAsia" w:hAnsi="宋体"/>
              </w:rPr>
              <w:t>，</w:t>
            </w:r>
            <w:r>
              <w:rPr>
                <w:rFonts w:hAnsi="宋体"/>
              </w:rPr>
              <w:t>70)</w:t>
            </w:r>
          </w:p>
        </w:tc>
        <w:tc>
          <w:tcPr>
            <w:tcW w:w="2681" w:type="dxa"/>
            <w:shd w:val="clear" w:color="auto" w:fill="auto"/>
          </w:tcPr>
          <w:p w14:paraId="2A3CA85E">
            <w:pPr>
              <w:pStyle w:val="179"/>
              <w:rPr>
                <w:rFonts w:hAnsi="宋体"/>
              </w:rPr>
            </w:pPr>
            <w:r>
              <w:rPr>
                <w:rFonts w:hAnsi="宋体"/>
              </w:rPr>
              <w:t>橙</w:t>
            </w:r>
          </w:p>
        </w:tc>
      </w:tr>
      <w:tr w14:paraId="10D47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684" w:type="dxa"/>
            <w:shd w:val="clear" w:color="auto" w:fill="auto"/>
          </w:tcPr>
          <w:p w14:paraId="3B90C86E">
            <w:pPr>
              <w:pStyle w:val="179"/>
              <w:rPr>
                <w:rFonts w:hAnsi="宋体"/>
              </w:rPr>
            </w:pPr>
            <w:r>
              <w:rPr>
                <w:rFonts w:hAnsi="宋体"/>
              </w:rPr>
              <w:t>极差</w:t>
            </w:r>
          </w:p>
        </w:tc>
        <w:tc>
          <w:tcPr>
            <w:tcW w:w="3969" w:type="dxa"/>
            <w:shd w:val="clear" w:color="auto" w:fill="auto"/>
          </w:tcPr>
          <w:p w14:paraId="3C65F69B">
            <w:pPr>
              <w:pStyle w:val="179"/>
              <w:rPr>
                <w:rFonts w:hAnsi="宋体"/>
              </w:rPr>
            </w:pPr>
            <w:r>
              <w:rPr>
                <w:rFonts w:hAnsi="宋体"/>
              </w:rPr>
              <w:t>[0</w:t>
            </w:r>
            <w:r>
              <w:rPr>
                <w:rFonts w:hint="eastAsia" w:hAnsi="宋体"/>
              </w:rPr>
              <w:t>，</w:t>
            </w:r>
            <w:r>
              <w:rPr>
                <w:rFonts w:hAnsi="宋体"/>
              </w:rPr>
              <w:t>60)</w:t>
            </w:r>
          </w:p>
        </w:tc>
        <w:tc>
          <w:tcPr>
            <w:tcW w:w="2681" w:type="dxa"/>
            <w:shd w:val="clear" w:color="auto" w:fill="auto"/>
          </w:tcPr>
          <w:p w14:paraId="2EB27F90">
            <w:pPr>
              <w:pStyle w:val="179"/>
              <w:rPr>
                <w:rFonts w:hAnsi="宋体"/>
              </w:rPr>
            </w:pPr>
            <w:r>
              <w:rPr>
                <w:rFonts w:hAnsi="宋体"/>
              </w:rPr>
              <w:t>红</w:t>
            </w:r>
          </w:p>
        </w:tc>
      </w:tr>
    </w:tbl>
    <w:p w14:paraId="34ADC594">
      <w:pPr>
        <w:pStyle w:val="105"/>
        <w:spacing w:before="312" w:after="312"/>
      </w:pPr>
      <w:bookmarkStart w:id="138" w:name="_Toc242796916"/>
      <w:bookmarkStart w:id="139" w:name="_Toc242804763"/>
      <w:r>
        <w:rPr>
          <w:rFonts w:hint="eastAsia"/>
        </w:rPr>
        <w:t>报告编制</w:t>
      </w:r>
      <w:bookmarkEnd w:id="138"/>
      <w:bookmarkEnd w:id="139"/>
    </w:p>
    <w:p w14:paraId="09818906">
      <w:pPr>
        <w:pStyle w:val="163"/>
      </w:pPr>
      <w:r>
        <w:rPr>
          <w:rFonts w:hint="eastAsia"/>
        </w:rPr>
        <w:t>河湖健康报告以</w:t>
      </w:r>
      <w:r>
        <w:t>SL/T</w:t>
      </w:r>
      <w:r>
        <w:rPr>
          <w:rFonts w:hint="eastAsia"/>
        </w:rPr>
        <w:t xml:space="preserve"> </w:t>
      </w:r>
      <w:r>
        <w:t>793</w:t>
      </w:r>
      <w:r>
        <w:rPr>
          <w:rFonts w:hint="eastAsia"/>
        </w:rPr>
        <w:t>为依据，并结合河湖自身特点进行编制。</w:t>
      </w:r>
    </w:p>
    <w:p w14:paraId="49725EE1">
      <w:pPr>
        <w:pStyle w:val="163"/>
      </w:pPr>
      <w:r>
        <w:rPr>
          <w:rFonts w:hint="eastAsia"/>
        </w:rPr>
        <w:t>河湖健康报告宜包含河湖基本情况、河湖健康评价方法、河湖健康调查监测方法、河湖健康评价结果、河湖健康问题诊断与对策建议等内容，并提交河湖健康调查监测数据。</w:t>
      </w:r>
    </w:p>
    <w:p w14:paraId="355D85AC">
      <w:pPr>
        <w:pStyle w:val="57"/>
        <w:ind w:firstLine="420"/>
      </w:pPr>
    </w:p>
    <w:p w14:paraId="35C4B34B">
      <w:pPr>
        <w:pStyle w:val="57"/>
        <w:ind w:firstLine="420"/>
        <w:sectPr>
          <w:pgSz w:w="11906" w:h="16838"/>
          <w:pgMar w:top="1928" w:right="1134" w:bottom="1134" w:left="1134" w:header="1418" w:footer="1134" w:gutter="284"/>
          <w:pgNumType w:start="1"/>
          <w:cols w:space="425" w:num="1"/>
          <w:formProt w:val="0"/>
          <w:docGrid w:type="lines" w:linePitch="312" w:charSpace="0"/>
        </w:sectPr>
      </w:pPr>
    </w:p>
    <w:bookmarkEnd w:id="13"/>
    <w:p w14:paraId="26A6EBC6">
      <w:pPr>
        <w:pStyle w:val="199"/>
      </w:pPr>
      <w:bookmarkStart w:id="140" w:name="BookMark5"/>
    </w:p>
    <w:p w14:paraId="61A9C3F1">
      <w:pPr>
        <w:pStyle w:val="200"/>
      </w:pPr>
    </w:p>
    <w:p w14:paraId="4B951DAE">
      <w:pPr>
        <w:pStyle w:val="77"/>
        <w:spacing w:after="156"/>
      </w:pPr>
      <w:bookmarkStart w:id="141" w:name="_Toc242796917"/>
      <w:bookmarkStart w:id="142" w:name="_Toc242804764"/>
      <w:r>
        <w:rPr>
          <w:rFonts w:hint="eastAsia"/>
        </w:rPr>
        <w:t>附  录  A</w:t>
      </w:r>
      <w:r>
        <w:br w:type="textWrapping"/>
      </w:r>
      <w:r>
        <w:rPr>
          <w:rFonts w:hint="eastAsia"/>
        </w:rPr>
        <w:t>（资料性）</w:t>
      </w:r>
      <w:r>
        <w:br w:type="textWrapping"/>
      </w:r>
      <w:r>
        <w:rPr>
          <w:rFonts w:hint="eastAsia"/>
        </w:rPr>
        <w:t>河湖健康评价公众调查表样</w:t>
      </w:r>
      <w:bookmarkEnd w:id="141"/>
      <w:bookmarkEnd w:id="142"/>
    </w:p>
    <w:p w14:paraId="255D19B9">
      <w:pPr>
        <w:pStyle w:val="57"/>
        <w:ind w:firstLine="420"/>
      </w:pPr>
      <w:r>
        <w:rPr>
          <w:rFonts w:hint="eastAsia"/>
        </w:rPr>
        <w:t>河湖健康评价公众调查表样，见表A.1。</w:t>
      </w:r>
    </w:p>
    <w:p w14:paraId="544A3C68">
      <w:pPr>
        <w:pStyle w:val="78"/>
        <w:spacing w:before="156" w:after="156"/>
      </w:pPr>
      <w:r>
        <w:rPr>
          <w:rFonts w:hint="eastAsia"/>
        </w:rPr>
        <w:t>公众调查表样</w:t>
      </w:r>
    </w:p>
    <w:tbl>
      <w:tblPr>
        <w:tblStyle w:val="233"/>
        <w:tblW w:w="9222"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28"/>
        <w:gridCol w:w="1081"/>
        <w:gridCol w:w="721"/>
        <w:gridCol w:w="180"/>
        <w:gridCol w:w="901"/>
        <w:gridCol w:w="901"/>
        <w:gridCol w:w="541"/>
        <w:gridCol w:w="360"/>
        <w:gridCol w:w="541"/>
        <w:gridCol w:w="360"/>
        <w:gridCol w:w="901"/>
        <w:gridCol w:w="540"/>
        <w:gridCol w:w="1467"/>
      </w:tblGrid>
      <w:tr w14:paraId="4AF1F52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3" w:hRule="atLeast"/>
          <w:jc w:val="center"/>
        </w:trPr>
        <w:tc>
          <w:tcPr>
            <w:tcW w:w="728" w:type="dxa"/>
            <w:tcBorders>
              <w:top w:val="single" w:color="231F20" w:sz="6" w:space="0"/>
              <w:left w:val="single" w:color="231F20" w:sz="6" w:space="0"/>
            </w:tcBorders>
            <w:vAlign w:val="center"/>
          </w:tcPr>
          <w:p w14:paraId="5A847DDD">
            <w:pPr>
              <w:widowControl/>
              <w:kinsoku w:val="0"/>
              <w:autoSpaceDE w:val="0"/>
              <w:autoSpaceDN w:val="0"/>
              <w:snapToGrid w:val="0"/>
              <w:spacing w:line="240" w:lineRule="auto"/>
              <w:ind w:left="185"/>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姓名</w:t>
            </w:r>
          </w:p>
        </w:tc>
        <w:tc>
          <w:tcPr>
            <w:tcW w:w="1081" w:type="dxa"/>
            <w:tcBorders>
              <w:top w:val="single" w:color="231F20" w:sz="6" w:space="0"/>
            </w:tcBorders>
            <w:vAlign w:val="center"/>
          </w:tcPr>
          <w:p w14:paraId="27DD701D">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u w:val="single"/>
                <w:lang w:eastAsia="zh-CN"/>
              </w:rPr>
            </w:pPr>
            <w:r>
              <w:rPr>
                <w:rFonts w:hint="eastAsia" w:ascii="宋体" w:hAnsi="宋体" w:eastAsia="宋体" w:cs="Arial"/>
                <w:snapToGrid w:val="0"/>
                <w:color w:val="000000"/>
                <w:kern w:val="0"/>
                <w:sz w:val="18"/>
                <w:szCs w:val="18"/>
                <w:u w:val="single"/>
                <w:lang w:eastAsia="zh-CN"/>
              </w:rPr>
              <w:t xml:space="preserve">          </w:t>
            </w:r>
          </w:p>
          <w:p w14:paraId="7522C06E">
            <w:pPr>
              <w:widowControl/>
              <w:kinsoku w:val="0"/>
              <w:autoSpaceDE w:val="0"/>
              <w:autoSpaceDN w:val="0"/>
              <w:snapToGrid w:val="0"/>
              <w:spacing w:line="240" w:lineRule="auto"/>
              <w:ind w:left="28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(选填)</w:t>
            </w:r>
          </w:p>
        </w:tc>
        <w:tc>
          <w:tcPr>
            <w:tcW w:w="721" w:type="dxa"/>
            <w:tcBorders>
              <w:top w:val="single" w:color="231F20" w:sz="6" w:space="0"/>
            </w:tcBorders>
            <w:vAlign w:val="center"/>
          </w:tcPr>
          <w:p w14:paraId="513D2921">
            <w:pPr>
              <w:widowControl/>
              <w:kinsoku w:val="0"/>
              <w:autoSpaceDE w:val="0"/>
              <w:autoSpaceDN w:val="0"/>
              <w:snapToGrid w:val="0"/>
              <w:spacing w:line="240" w:lineRule="auto"/>
              <w:ind w:left="18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性别</w:t>
            </w:r>
          </w:p>
        </w:tc>
        <w:tc>
          <w:tcPr>
            <w:tcW w:w="2523" w:type="dxa"/>
            <w:gridSpan w:val="4"/>
            <w:tcBorders>
              <w:top w:val="single" w:color="231F20" w:sz="6" w:space="0"/>
            </w:tcBorders>
            <w:vAlign w:val="center"/>
          </w:tcPr>
          <w:p w14:paraId="325FC9DB">
            <w:pPr>
              <w:widowControl/>
              <w:kinsoku w:val="0"/>
              <w:autoSpaceDE w:val="0"/>
              <w:autoSpaceDN w:val="0"/>
              <w:snapToGrid w:val="0"/>
              <w:spacing w:line="240" w:lineRule="auto"/>
              <w:ind w:left="81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男 □    女 □</w:t>
            </w:r>
          </w:p>
        </w:tc>
        <w:tc>
          <w:tcPr>
            <w:tcW w:w="901" w:type="dxa"/>
            <w:gridSpan w:val="2"/>
            <w:tcBorders>
              <w:top w:val="single" w:color="231F20" w:sz="6" w:space="0"/>
            </w:tcBorders>
            <w:vAlign w:val="center"/>
          </w:tcPr>
          <w:p w14:paraId="1FCF9B7F">
            <w:pPr>
              <w:widowControl/>
              <w:kinsoku w:val="0"/>
              <w:autoSpaceDE w:val="0"/>
              <w:autoSpaceDN w:val="0"/>
              <w:snapToGrid w:val="0"/>
              <w:spacing w:line="240" w:lineRule="auto"/>
              <w:ind w:left="28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年龄</w:t>
            </w:r>
          </w:p>
        </w:tc>
        <w:tc>
          <w:tcPr>
            <w:tcW w:w="3268" w:type="dxa"/>
            <w:gridSpan w:val="4"/>
            <w:tcBorders>
              <w:top w:val="single" w:color="231F20" w:sz="6" w:space="0"/>
              <w:right w:val="single" w:color="231F20" w:sz="6" w:space="0"/>
            </w:tcBorders>
            <w:vAlign w:val="center"/>
          </w:tcPr>
          <w:p w14:paraId="7A8D0ECE">
            <w:pPr>
              <w:widowControl/>
              <w:kinsoku w:val="0"/>
              <w:autoSpaceDE w:val="0"/>
              <w:autoSpaceDN w:val="0"/>
              <w:snapToGrid w:val="0"/>
              <w:spacing w:line="240" w:lineRule="auto"/>
              <w:jc w:val="left"/>
              <w:textAlignment w:val="baseline"/>
              <w:rPr>
                <w:rFonts w:ascii="宋体" w:hAnsi="宋体" w:eastAsia="宋体" w:cs="宋体"/>
                <w:snapToGrid w:val="0"/>
                <w:color w:val="000000"/>
                <w:kern w:val="0"/>
                <w:sz w:val="18"/>
                <w:szCs w:val="18"/>
                <w:lang w:eastAsia="en-US"/>
              </w:rPr>
            </w:pPr>
            <w:r>
              <w:rPr>
                <w:rFonts w:hint="eastAsia" w:ascii="宋体" w:hAnsi="宋体" w:eastAsia="宋体" w:cs="宋体"/>
                <w:snapToGrid w:val="0"/>
                <w:color w:val="000000"/>
                <w:kern w:val="0"/>
                <w:position w:val="-1"/>
                <w:sz w:val="18"/>
                <w:szCs w:val="18"/>
                <w:lang w:eastAsia="zh-CN"/>
              </w:rPr>
              <w:t>14岁—</w:t>
            </w:r>
            <w:r>
              <w:rPr>
                <w:rFonts w:ascii="宋体" w:hAnsi="宋体" w:eastAsia="宋体" w:cs="宋体"/>
                <w:snapToGrid w:val="0"/>
                <w:color w:val="000000"/>
                <w:kern w:val="0"/>
                <w:position w:val="-1"/>
                <w:sz w:val="18"/>
                <w:szCs w:val="18"/>
                <w:lang w:eastAsia="en-US"/>
              </w:rPr>
              <w:t>29</w:t>
            </w:r>
            <w:r>
              <w:rPr>
                <w:rFonts w:hint="eastAsia" w:ascii="宋体" w:hAnsi="宋体" w:eastAsia="宋体" w:cs="宋体"/>
                <w:snapToGrid w:val="0"/>
                <w:color w:val="000000"/>
                <w:kern w:val="0"/>
                <w:position w:val="-1"/>
                <w:sz w:val="18"/>
                <w:szCs w:val="18"/>
                <w:lang w:eastAsia="zh-CN"/>
              </w:rPr>
              <w:t>岁</w: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kern w:val="0"/>
                <w:position w:val="-1"/>
                <w:sz w:val="18"/>
                <w:szCs w:val="18"/>
                <w:lang w:eastAsia="en-US"/>
              </w:rPr>
              <w:t>30</w:t>
            </w:r>
            <w:r>
              <w:rPr>
                <w:rFonts w:hint="eastAsia" w:ascii="宋体" w:hAnsi="宋体" w:eastAsia="宋体" w:cs="宋体"/>
                <w:snapToGrid w:val="0"/>
                <w:color w:val="000000"/>
                <w:kern w:val="0"/>
                <w:position w:val="-1"/>
                <w:sz w:val="18"/>
                <w:szCs w:val="18"/>
                <w:lang w:eastAsia="zh-CN"/>
              </w:rPr>
              <w:t>岁—</w:t>
            </w:r>
            <w:r>
              <w:rPr>
                <w:rFonts w:ascii="宋体" w:hAnsi="宋体" w:eastAsia="宋体" w:cs="宋体"/>
                <w:snapToGrid w:val="0"/>
                <w:color w:val="000000"/>
                <w:kern w:val="0"/>
                <w:position w:val="-1"/>
                <w:sz w:val="18"/>
                <w:szCs w:val="18"/>
                <w:lang w:eastAsia="en-US"/>
              </w:rPr>
              <w:t>59</w:t>
            </w:r>
            <w:r>
              <w:rPr>
                <w:rFonts w:hint="eastAsia" w:ascii="宋体" w:hAnsi="宋体" w:eastAsia="宋体" w:cs="宋体"/>
                <w:snapToGrid w:val="0"/>
                <w:color w:val="000000"/>
                <w:kern w:val="0"/>
                <w:position w:val="-1"/>
                <w:sz w:val="18"/>
                <w:szCs w:val="18"/>
                <w:lang w:eastAsia="zh-CN"/>
              </w:rPr>
              <w:t>岁</w:t>
            </w:r>
            <w:r>
              <w:rPr>
                <w:rFonts w:hint="eastAsia" w:ascii="宋体" w:hAnsi="宋体" w:eastAsia="宋体" w:cs="宋体"/>
                <w:snapToGrid w:val="0"/>
                <w:color w:val="000000"/>
                <w:kern w:val="0"/>
                <w:sz w:val="18"/>
                <w:szCs w:val="18"/>
                <w:lang w:eastAsia="en-US"/>
              </w:rPr>
              <w:t>□</w:t>
            </w:r>
          </w:p>
          <w:p w14:paraId="107DF378">
            <w:pPr>
              <w:widowControl/>
              <w:kinsoku w:val="0"/>
              <w:autoSpaceDE w:val="0"/>
              <w:autoSpaceDN w:val="0"/>
              <w:snapToGrid w:val="0"/>
              <w:spacing w:line="240" w:lineRule="auto"/>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position w:val="-1"/>
                <w:sz w:val="18"/>
                <w:szCs w:val="18"/>
                <w:lang w:eastAsia="en-US"/>
              </w:rPr>
              <w:t>60</w:t>
            </w:r>
            <w:r>
              <w:rPr>
                <w:rFonts w:ascii="宋体" w:hAnsi="宋体" w:eastAsia="宋体" w:cs="宋体"/>
                <w:snapToGrid w:val="0"/>
                <w:color w:val="000000"/>
                <w:kern w:val="0"/>
                <w:sz w:val="18"/>
                <w:szCs w:val="18"/>
                <w:lang w:eastAsia="en-US"/>
              </w:rPr>
              <w:t>岁及以上 □</w:t>
            </w:r>
          </w:p>
        </w:tc>
      </w:tr>
      <w:tr w14:paraId="559558F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33" w:hRule="atLeast"/>
          <w:jc w:val="center"/>
        </w:trPr>
        <w:tc>
          <w:tcPr>
            <w:tcW w:w="728" w:type="dxa"/>
            <w:tcBorders>
              <w:left w:val="single" w:color="231F20" w:sz="6" w:space="0"/>
            </w:tcBorders>
            <w:vAlign w:val="center"/>
          </w:tcPr>
          <w:p w14:paraId="3F5763C3">
            <w:pPr>
              <w:widowControl/>
              <w:kinsoku w:val="0"/>
              <w:autoSpaceDE w:val="0"/>
              <w:autoSpaceDN w:val="0"/>
              <w:snapToGrid w:val="0"/>
              <w:spacing w:line="240" w:lineRule="auto"/>
              <w:ind w:left="18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职业</w:t>
            </w:r>
          </w:p>
        </w:tc>
        <w:tc>
          <w:tcPr>
            <w:tcW w:w="5226" w:type="dxa"/>
            <w:gridSpan w:val="8"/>
            <w:vAlign w:val="center"/>
          </w:tcPr>
          <w:p w14:paraId="169B1452">
            <w:pPr>
              <w:widowControl/>
              <w:kinsoku w:val="0"/>
              <w:autoSpaceDE w:val="0"/>
              <w:autoSpaceDN w:val="0"/>
              <w:snapToGrid w:val="0"/>
              <w:spacing w:line="240" w:lineRule="auto"/>
              <w:jc w:val="left"/>
              <w:textAlignment w:val="baseline"/>
              <w:rPr>
                <w:rFonts w:ascii="宋体" w:hAnsi="宋体" w:eastAsia="宋体" w:cs="宋体"/>
                <w:snapToGrid w:val="0"/>
                <w:color w:val="000000"/>
                <w:kern w:val="0"/>
                <w:sz w:val="18"/>
                <w:szCs w:val="18"/>
                <w:lang w:eastAsia="zh-CN"/>
              </w:rPr>
            </w:pPr>
            <w:r>
              <w:rPr>
                <w:rFonts w:ascii="宋体" w:hAnsi="宋体" w:eastAsia="宋体" w:cs="宋体"/>
                <w:snapToGrid w:val="0"/>
                <w:color w:val="000000"/>
                <w:kern w:val="0"/>
                <w:sz w:val="18"/>
                <w:szCs w:val="18"/>
                <w:lang w:eastAsia="zh-CN"/>
              </w:rPr>
              <w:t xml:space="preserve">居民 □    游客 </w:t>
            </w:r>
            <w:bookmarkStart w:id="143" w:name="OLE_LINK6"/>
            <w:r>
              <w:rPr>
                <w:rFonts w:ascii="宋体" w:hAnsi="宋体" w:eastAsia="宋体" w:cs="宋体"/>
                <w:snapToGrid w:val="0"/>
                <w:color w:val="000000"/>
                <w:kern w:val="0"/>
                <w:sz w:val="18"/>
                <w:szCs w:val="18"/>
                <w:lang w:eastAsia="zh-CN"/>
              </w:rPr>
              <w:t>□</w:t>
            </w:r>
            <w:bookmarkEnd w:id="143"/>
            <w:r>
              <w:rPr>
                <w:rFonts w:ascii="宋体" w:hAnsi="宋体" w:eastAsia="宋体" w:cs="宋体"/>
                <w:snapToGrid w:val="0"/>
                <w:color w:val="000000"/>
                <w:kern w:val="0"/>
                <w:sz w:val="18"/>
                <w:szCs w:val="18"/>
                <w:lang w:eastAsia="zh-CN"/>
              </w:rPr>
              <w:t xml:space="preserve">    河湖相关从业人员 □</w:t>
            </w:r>
          </w:p>
        </w:tc>
        <w:tc>
          <w:tcPr>
            <w:tcW w:w="3268" w:type="dxa"/>
            <w:gridSpan w:val="4"/>
            <w:tcBorders>
              <w:right w:val="single" w:color="231F20" w:sz="6" w:space="0"/>
            </w:tcBorders>
            <w:vAlign w:val="center"/>
          </w:tcPr>
          <w:p w14:paraId="56675784">
            <w:pPr>
              <w:widowControl/>
              <w:kinsoku w:val="0"/>
              <w:autoSpaceDE w:val="0"/>
              <w:autoSpaceDN w:val="0"/>
              <w:snapToGrid w:val="0"/>
              <w:spacing w:line="240" w:lineRule="auto"/>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联系电话(选填)</w:t>
            </w:r>
            <w:r>
              <w:rPr>
                <w:rFonts w:hint="eastAsia" w:ascii="宋体" w:hAnsi="宋体" w:eastAsia="宋体" w:cs="宋体"/>
                <w:snapToGrid w:val="0"/>
                <w:color w:val="000000"/>
                <w:kern w:val="0"/>
                <w:sz w:val="18"/>
                <w:szCs w:val="18"/>
                <w:u w:val="single"/>
                <w:lang w:eastAsia="en-US"/>
              </w:rPr>
              <w:t xml:space="preserve"> </w:t>
            </w:r>
            <w:r>
              <w:rPr>
                <w:rFonts w:ascii="宋体" w:hAnsi="宋体" w:eastAsia="宋体" w:cs="宋体"/>
                <w:snapToGrid w:val="0"/>
                <w:color w:val="000000"/>
                <w:kern w:val="0"/>
                <w:sz w:val="18"/>
                <w:szCs w:val="18"/>
                <w:u w:val="single"/>
                <w:lang w:eastAsia="en-US"/>
              </w:rPr>
              <w:t xml:space="preserve">             </w:t>
            </w:r>
          </w:p>
        </w:tc>
      </w:tr>
      <w:tr w14:paraId="10FCCFC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3611" w:type="dxa"/>
            <w:gridSpan w:val="5"/>
            <w:tcBorders>
              <w:left w:val="single" w:color="231F20" w:sz="6" w:space="0"/>
            </w:tcBorders>
            <w:vAlign w:val="center"/>
          </w:tcPr>
          <w:p w14:paraId="5D82D8CA">
            <w:pPr>
              <w:widowControl/>
              <w:kinsoku w:val="0"/>
              <w:autoSpaceDE w:val="0"/>
              <w:autoSpaceDN w:val="0"/>
              <w:snapToGrid w:val="0"/>
              <w:spacing w:line="240" w:lineRule="auto"/>
              <w:ind w:left="1355"/>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水安全状况</w:t>
            </w:r>
          </w:p>
        </w:tc>
        <w:tc>
          <w:tcPr>
            <w:tcW w:w="5611" w:type="dxa"/>
            <w:gridSpan w:val="8"/>
            <w:tcBorders>
              <w:right w:val="single" w:color="231F20" w:sz="6" w:space="0"/>
            </w:tcBorders>
            <w:vAlign w:val="center"/>
          </w:tcPr>
          <w:p w14:paraId="7FC3AE25">
            <w:pPr>
              <w:widowControl/>
              <w:kinsoku w:val="0"/>
              <w:autoSpaceDE w:val="0"/>
              <w:autoSpaceDN w:val="0"/>
              <w:snapToGrid w:val="0"/>
              <w:spacing w:line="240" w:lineRule="auto"/>
              <w:ind w:left="245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岸线状况</w:t>
            </w:r>
          </w:p>
        </w:tc>
      </w:tr>
      <w:tr w14:paraId="1476CA2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1" w:hRule="atLeast"/>
          <w:jc w:val="center"/>
        </w:trPr>
        <w:tc>
          <w:tcPr>
            <w:tcW w:w="3611" w:type="dxa"/>
            <w:gridSpan w:val="5"/>
            <w:tcBorders>
              <w:left w:val="single" w:color="231F20" w:sz="6" w:space="0"/>
            </w:tcBorders>
            <w:vAlign w:val="center"/>
          </w:tcPr>
          <w:p w14:paraId="4DBCF02C">
            <w:pPr>
              <w:widowControl/>
              <w:kinsoku w:val="0"/>
              <w:autoSpaceDE w:val="0"/>
              <w:autoSpaceDN w:val="0"/>
              <w:snapToGrid w:val="0"/>
              <w:spacing w:line="240" w:lineRule="auto"/>
              <w:ind w:left="126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洪水漫溢现象</w:t>
            </w:r>
          </w:p>
        </w:tc>
        <w:tc>
          <w:tcPr>
            <w:tcW w:w="1802" w:type="dxa"/>
            <w:gridSpan w:val="3"/>
            <w:vAlign w:val="center"/>
          </w:tcPr>
          <w:p w14:paraId="645695C2">
            <w:pPr>
              <w:widowControl/>
              <w:kinsoku w:val="0"/>
              <w:autoSpaceDE w:val="0"/>
              <w:autoSpaceDN w:val="0"/>
              <w:snapToGrid w:val="0"/>
              <w:spacing w:line="240" w:lineRule="auto"/>
              <w:ind w:left="54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破损情况</w:t>
            </w:r>
          </w:p>
        </w:tc>
        <w:tc>
          <w:tcPr>
            <w:tcW w:w="3809" w:type="dxa"/>
            <w:gridSpan w:val="5"/>
            <w:tcBorders>
              <w:right w:val="single" w:color="231F20" w:sz="6" w:space="0"/>
            </w:tcBorders>
            <w:vAlign w:val="center"/>
          </w:tcPr>
          <w:p w14:paraId="68BC2225">
            <w:pPr>
              <w:widowControl/>
              <w:kinsoku w:val="0"/>
              <w:autoSpaceDE w:val="0"/>
              <w:autoSpaceDN w:val="0"/>
              <w:snapToGrid w:val="0"/>
              <w:spacing w:line="240" w:lineRule="auto"/>
              <w:ind w:left="743"/>
              <w:jc w:val="left"/>
              <w:textAlignment w:val="baseline"/>
              <w:rPr>
                <w:rFonts w:ascii="宋体" w:hAnsi="宋体" w:eastAsia="宋体" w:cs="宋体"/>
                <w:snapToGrid w:val="0"/>
                <w:color w:val="000000"/>
                <w:kern w:val="0"/>
                <w:sz w:val="18"/>
                <w:szCs w:val="18"/>
                <w:lang w:eastAsia="zh-CN"/>
              </w:rPr>
            </w:pPr>
            <w:r>
              <w:rPr>
                <w:rFonts w:ascii="宋体" w:hAnsi="宋体" w:eastAsia="宋体" w:cs="宋体"/>
                <w:snapToGrid w:val="0"/>
                <w:color w:val="000000"/>
                <w:kern w:val="0"/>
                <w:sz w:val="18"/>
                <w:szCs w:val="18"/>
                <w:lang w:eastAsia="zh-CN"/>
              </w:rPr>
              <w:t>乱采、乱占、乱堆、乱建情况</w:t>
            </w:r>
          </w:p>
        </w:tc>
      </w:tr>
      <w:tr w14:paraId="5C96082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1809" w:type="dxa"/>
            <w:gridSpan w:val="2"/>
            <w:tcBorders>
              <w:left w:val="single" w:color="231F20" w:sz="6" w:space="0"/>
            </w:tcBorders>
            <w:vAlign w:val="center"/>
          </w:tcPr>
          <w:p w14:paraId="2C35CC14">
            <w:pPr>
              <w:widowControl/>
              <w:kinsoku w:val="0"/>
              <w:autoSpaceDE w:val="0"/>
              <w:autoSpaceDN w:val="0"/>
              <w:snapToGrid w:val="0"/>
              <w:spacing w:line="240" w:lineRule="auto"/>
              <w:ind w:left="72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经常</w:t>
            </w:r>
          </w:p>
        </w:tc>
        <w:tc>
          <w:tcPr>
            <w:tcW w:w="1802" w:type="dxa"/>
            <w:gridSpan w:val="3"/>
            <w:vAlign w:val="center"/>
          </w:tcPr>
          <w:p w14:paraId="26E2DE8E">
            <w:pPr>
              <w:widowControl/>
              <w:kinsoku w:val="0"/>
              <w:autoSpaceDE w:val="0"/>
              <w:autoSpaceDN w:val="0"/>
              <w:snapToGrid w:val="0"/>
              <w:spacing w:line="240" w:lineRule="auto"/>
              <w:ind w:left="82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zh-CN"/>
              </w:rPr>
              <w:t>□</w:t>
            </w:r>
          </w:p>
        </w:tc>
        <w:tc>
          <w:tcPr>
            <w:tcW w:w="901" w:type="dxa"/>
            <w:vAlign w:val="center"/>
          </w:tcPr>
          <w:p w14:paraId="6880A568">
            <w:pPr>
              <w:widowControl/>
              <w:kinsoku w:val="0"/>
              <w:autoSpaceDE w:val="0"/>
              <w:autoSpaceDN w:val="0"/>
              <w:snapToGrid w:val="0"/>
              <w:spacing w:line="240" w:lineRule="auto"/>
              <w:ind w:left="275"/>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严重</w:t>
            </w:r>
          </w:p>
        </w:tc>
        <w:tc>
          <w:tcPr>
            <w:tcW w:w="901" w:type="dxa"/>
            <w:gridSpan w:val="2"/>
            <w:vAlign w:val="center"/>
          </w:tcPr>
          <w:p w14:paraId="2A566CFC">
            <w:pPr>
              <w:widowControl/>
              <w:kinsoku w:val="0"/>
              <w:autoSpaceDE w:val="0"/>
              <w:autoSpaceDN w:val="0"/>
              <w:snapToGrid w:val="0"/>
              <w:spacing w:line="240" w:lineRule="auto"/>
              <w:ind w:left="37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3"/>
            <w:vAlign w:val="center"/>
          </w:tcPr>
          <w:p w14:paraId="509FD018">
            <w:pPr>
              <w:widowControl/>
              <w:kinsoku w:val="0"/>
              <w:autoSpaceDE w:val="0"/>
              <w:autoSpaceDN w:val="0"/>
              <w:snapToGrid w:val="0"/>
              <w:spacing w:line="240" w:lineRule="auto"/>
              <w:ind w:left="73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严重</w:t>
            </w:r>
          </w:p>
        </w:tc>
        <w:tc>
          <w:tcPr>
            <w:tcW w:w="2007" w:type="dxa"/>
            <w:gridSpan w:val="2"/>
            <w:tcBorders>
              <w:right w:val="single" w:color="231F20" w:sz="6" w:space="0"/>
            </w:tcBorders>
            <w:vAlign w:val="center"/>
          </w:tcPr>
          <w:p w14:paraId="1DFF0CAD">
            <w:pPr>
              <w:widowControl/>
              <w:kinsoku w:val="0"/>
              <w:autoSpaceDE w:val="0"/>
              <w:autoSpaceDN w:val="0"/>
              <w:snapToGrid w:val="0"/>
              <w:spacing w:line="240" w:lineRule="auto"/>
              <w:ind w:left="93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77CC657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1" w:hRule="atLeast"/>
          <w:jc w:val="center"/>
        </w:trPr>
        <w:tc>
          <w:tcPr>
            <w:tcW w:w="1809" w:type="dxa"/>
            <w:gridSpan w:val="2"/>
            <w:tcBorders>
              <w:left w:val="single" w:color="231F20" w:sz="6" w:space="0"/>
            </w:tcBorders>
            <w:vAlign w:val="center"/>
          </w:tcPr>
          <w:p w14:paraId="02C3F965">
            <w:pPr>
              <w:widowControl/>
              <w:kinsoku w:val="0"/>
              <w:autoSpaceDE w:val="0"/>
              <w:autoSpaceDN w:val="0"/>
              <w:snapToGrid w:val="0"/>
              <w:spacing w:line="240" w:lineRule="auto"/>
              <w:ind w:left="72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偶尔</w:t>
            </w:r>
          </w:p>
        </w:tc>
        <w:tc>
          <w:tcPr>
            <w:tcW w:w="1802" w:type="dxa"/>
            <w:gridSpan w:val="3"/>
            <w:vAlign w:val="center"/>
          </w:tcPr>
          <w:p w14:paraId="33434BC5">
            <w:pPr>
              <w:widowControl/>
              <w:kinsoku w:val="0"/>
              <w:autoSpaceDE w:val="0"/>
              <w:autoSpaceDN w:val="0"/>
              <w:snapToGrid w:val="0"/>
              <w:spacing w:line="240" w:lineRule="auto"/>
              <w:ind w:left="82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901" w:type="dxa"/>
            <w:vAlign w:val="center"/>
          </w:tcPr>
          <w:p w14:paraId="37BE8143">
            <w:pPr>
              <w:widowControl/>
              <w:kinsoku w:val="0"/>
              <w:autoSpaceDE w:val="0"/>
              <w:autoSpaceDN w:val="0"/>
              <w:snapToGrid w:val="0"/>
              <w:spacing w:line="240" w:lineRule="auto"/>
              <w:ind w:left="2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一般</w:t>
            </w:r>
          </w:p>
        </w:tc>
        <w:tc>
          <w:tcPr>
            <w:tcW w:w="901" w:type="dxa"/>
            <w:gridSpan w:val="2"/>
            <w:vAlign w:val="center"/>
          </w:tcPr>
          <w:p w14:paraId="2271B6C4">
            <w:pPr>
              <w:widowControl/>
              <w:kinsoku w:val="0"/>
              <w:autoSpaceDE w:val="0"/>
              <w:autoSpaceDN w:val="0"/>
              <w:snapToGrid w:val="0"/>
              <w:spacing w:line="240" w:lineRule="auto"/>
              <w:ind w:left="37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3"/>
            <w:vAlign w:val="center"/>
          </w:tcPr>
          <w:p w14:paraId="7F7D455B">
            <w:pPr>
              <w:widowControl/>
              <w:kinsoku w:val="0"/>
              <w:autoSpaceDE w:val="0"/>
              <w:autoSpaceDN w:val="0"/>
              <w:snapToGrid w:val="0"/>
              <w:spacing w:line="240" w:lineRule="auto"/>
              <w:ind w:left="73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一般</w:t>
            </w:r>
          </w:p>
        </w:tc>
        <w:tc>
          <w:tcPr>
            <w:tcW w:w="2007" w:type="dxa"/>
            <w:gridSpan w:val="2"/>
            <w:tcBorders>
              <w:right w:val="single" w:color="231F20" w:sz="6" w:space="0"/>
            </w:tcBorders>
            <w:vAlign w:val="center"/>
          </w:tcPr>
          <w:p w14:paraId="03DAB131">
            <w:pPr>
              <w:widowControl/>
              <w:kinsoku w:val="0"/>
              <w:autoSpaceDE w:val="0"/>
              <w:autoSpaceDN w:val="0"/>
              <w:snapToGrid w:val="0"/>
              <w:spacing w:line="240" w:lineRule="auto"/>
              <w:ind w:left="93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71A593E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1809" w:type="dxa"/>
            <w:gridSpan w:val="2"/>
            <w:tcBorders>
              <w:left w:val="single" w:color="231F20" w:sz="6" w:space="0"/>
            </w:tcBorders>
            <w:vAlign w:val="center"/>
          </w:tcPr>
          <w:p w14:paraId="775D56B3">
            <w:pPr>
              <w:widowControl/>
              <w:kinsoku w:val="0"/>
              <w:autoSpaceDE w:val="0"/>
              <w:autoSpaceDN w:val="0"/>
              <w:snapToGrid w:val="0"/>
              <w:spacing w:line="240" w:lineRule="auto"/>
              <w:ind w:left="32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不存在/不了解</w:t>
            </w:r>
          </w:p>
        </w:tc>
        <w:tc>
          <w:tcPr>
            <w:tcW w:w="1802" w:type="dxa"/>
            <w:gridSpan w:val="3"/>
            <w:vAlign w:val="center"/>
          </w:tcPr>
          <w:p w14:paraId="52D41487">
            <w:pPr>
              <w:widowControl/>
              <w:kinsoku w:val="0"/>
              <w:autoSpaceDE w:val="0"/>
              <w:autoSpaceDN w:val="0"/>
              <w:snapToGrid w:val="0"/>
              <w:spacing w:line="240" w:lineRule="auto"/>
              <w:ind w:left="82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901" w:type="dxa"/>
            <w:vAlign w:val="center"/>
          </w:tcPr>
          <w:p w14:paraId="2D24507E">
            <w:pPr>
              <w:widowControl/>
              <w:kinsoku w:val="0"/>
              <w:autoSpaceDE w:val="0"/>
              <w:autoSpaceDN w:val="0"/>
              <w:snapToGrid w:val="0"/>
              <w:spacing w:line="240" w:lineRule="auto"/>
              <w:ind w:left="36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无</w:t>
            </w:r>
          </w:p>
        </w:tc>
        <w:tc>
          <w:tcPr>
            <w:tcW w:w="901" w:type="dxa"/>
            <w:gridSpan w:val="2"/>
            <w:vAlign w:val="center"/>
          </w:tcPr>
          <w:p w14:paraId="6530B642">
            <w:pPr>
              <w:widowControl/>
              <w:kinsoku w:val="0"/>
              <w:autoSpaceDE w:val="0"/>
              <w:autoSpaceDN w:val="0"/>
              <w:snapToGrid w:val="0"/>
              <w:spacing w:line="240" w:lineRule="auto"/>
              <w:ind w:left="37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3"/>
            <w:vAlign w:val="center"/>
          </w:tcPr>
          <w:p w14:paraId="18CCDC91">
            <w:pPr>
              <w:widowControl/>
              <w:kinsoku w:val="0"/>
              <w:autoSpaceDE w:val="0"/>
              <w:autoSpaceDN w:val="0"/>
              <w:snapToGrid w:val="0"/>
              <w:spacing w:line="240" w:lineRule="auto"/>
              <w:ind w:left="32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不存在/不了解</w:t>
            </w:r>
          </w:p>
        </w:tc>
        <w:tc>
          <w:tcPr>
            <w:tcW w:w="2007" w:type="dxa"/>
            <w:gridSpan w:val="2"/>
            <w:tcBorders>
              <w:right w:val="single" w:color="231F20" w:sz="6" w:space="0"/>
            </w:tcBorders>
            <w:vAlign w:val="center"/>
          </w:tcPr>
          <w:p w14:paraId="0636714F">
            <w:pPr>
              <w:widowControl/>
              <w:kinsoku w:val="0"/>
              <w:autoSpaceDE w:val="0"/>
              <w:autoSpaceDN w:val="0"/>
              <w:snapToGrid w:val="0"/>
              <w:spacing w:line="240" w:lineRule="auto"/>
              <w:ind w:left="93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08ED452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9222" w:type="dxa"/>
            <w:gridSpan w:val="13"/>
            <w:tcBorders>
              <w:left w:val="single" w:color="231F20" w:sz="6" w:space="0"/>
              <w:right w:val="single" w:color="231F20" w:sz="6" w:space="0"/>
            </w:tcBorders>
            <w:vAlign w:val="center"/>
          </w:tcPr>
          <w:p w14:paraId="7826F0B5">
            <w:pPr>
              <w:widowControl/>
              <w:kinsoku w:val="0"/>
              <w:autoSpaceDE w:val="0"/>
              <w:autoSpaceDN w:val="0"/>
              <w:snapToGrid w:val="0"/>
              <w:spacing w:line="240" w:lineRule="auto"/>
              <w:ind w:left="425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水量状况</w:t>
            </w:r>
          </w:p>
        </w:tc>
      </w:tr>
      <w:tr w14:paraId="5F8F801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1" w:hRule="atLeast"/>
          <w:jc w:val="center"/>
        </w:trPr>
        <w:tc>
          <w:tcPr>
            <w:tcW w:w="4512" w:type="dxa"/>
            <w:gridSpan w:val="6"/>
            <w:tcBorders>
              <w:left w:val="single" w:color="231F20" w:sz="6" w:space="0"/>
            </w:tcBorders>
            <w:vAlign w:val="center"/>
          </w:tcPr>
          <w:p w14:paraId="11834E60">
            <w:pPr>
              <w:widowControl/>
              <w:kinsoku w:val="0"/>
              <w:autoSpaceDE w:val="0"/>
              <w:autoSpaceDN w:val="0"/>
              <w:snapToGrid w:val="0"/>
              <w:spacing w:line="240" w:lineRule="auto"/>
              <w:ind w:left="208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丰沛</w:t>
            </w:r>
          </w:p>
        </w:tc>
        <w:tc>
          <w:tcPr>
            <w:tcW w:w="4710" w:type="dxa"/>
            <w:gridSpan w:val="7"/>
            <w:tcBorders>
              <w:right w:val="single" w:color="231F20" w:sz="6" w:space="0"/>
            </w:tcBorders>
            <w:vAlign w:val="center"/>
          </w:tcPr>
          <w:p w14:paraId="756284D9">
            <w:pPr>
              <w:widowControl/>
              <w:kinsoku w:val="0"/>
              <w:autoSpaceDE w:val="0"/>
              <w:autoSpaceDN w:val="0"/>
              <w:snapToGrid w:val="0"/>
              <w:spacing w:line="240" w:lineRule="auto"/>
              <w:ind w:left="228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1D407DBB">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4512" w:type="dxa"/>
            <w:gridSpan w:val="6"/>
            <w:tcBorders>
              <w:left w:val="single" w:color="231F20" w:sz="6" w:space="0"/>
            </w:tcBorders>
            <w:vAlign w:val="center"/>
          </w:tcPr>
          <w:p w14:paraId="1F3153DD">
            <w:pPr>
              <w:widowControl/>
              <w:kinsoku w:val="0"/>
              <w:autoSpaceDE w:val="0"/>
              <w:autoSpaceDN w:val="0"/>
              <w:snapToGrid w:val="0"/>
              <w:spacing w:line="240" w:lineRule="auto"/>
              <w:ind w:left="20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适中</w:t>
            </w:r>
          </w:p>
        </w:tc>
        <w:tc>
          <w:tcPr>
            <w:tcW w:w="4710" w:type="dxa"/>
            <w:gridSpan w:val="7"/>
            <w:tcBorders>
              <w:right w:val="single" w:color="231F20" w:sz="6" w:space="0"/>
            </w:tcBorders>
            <w:vAlign w:val="center"/>
          </w:tcPr>
          <w:p w14:paraId="426AFB89">
            <w:pPr>
              <w:widowControl/>
              <w:kinsoku w:val="0"/>
              <w:autoSpaceDE w:val="0"/>
              <w:autoSpaceDN w:val="0"/>
              <w:snapToGrid w:val="0"/>
              <w:spacing w:line="240" w:lineRule="auto"/>
              <w:ind w:left="228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1ADEFB8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1" w:hRule="atLeast"/>
          <w:jc w:val="center"/>
        </w:trPr>
        <w:tc>
          <w:tcPr>
            <w:tcW w:w="4512" w:type="dxa"/>
            <w:gridSpan w:val="6"/>
            <w:tcBorders>
              <w:left w:val="single" w:color="231F20" w:sz="6" w:space="0"/>
            </w:tcBorders>
            <w:vAlign w:val="center"/>
          </w:tcPr>
          <w:p w14:paraId="4E2422EF">
            <w:pPr>
              <w:widowControl/>
              <w:kinsoku w:val="0"/>
              <w:autoSpaceDE w:val="0"/>
              <w:autoSpaceDN w:val="0"/>
              <w:snapToGrid w:val="0"/>
              <w:spacing w:line="240" w:lineRule="auto"/>
              <w:ind w:left="207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较少</w:t>
            </w:r>
          </w:p>
        </w:tc>
        <w:tc>
          <w:tcPr>
            <w:tcW w:w="4710" w:type="dxa"/>
            <w:gridSpan w:val="7"/>
            <w:tcBorders>
              <w:right w:val="single" w:color="231F20" w:sz="6" w:space="0"/>
            </w:tcBorders>
            <w:vAlign w:val="center"/>
          </w:tcPr>
          <w:p w14:paraId="5B5D06E9">
            <w:pPr>
              <w:widowControl/>
              <w:kinsoku w:val="0"/>
              <w:autoSpaceDE w:val="0"/>
              <w:autoSpaceDN w:val="0"/>
              <w:snapToGrid w:val="0"/>
              <w:spacing w:line="240" w:lineRule="auto"/>
              <w:ind w:left="228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453EC0B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4512" w:type="dxa"/>
            <w:gridSpan w:val="6"/>
            <w:tcBorders>
              <w:left w:val="single" w:color="231F20" w:sz="6" w:space="0"/>
            </w:tcBorders>
            <w:vAlign w:val="center"/>
          </w:tcPr>
          <w:p w14:paraId="77652111">
            <w:pPr>
              <w:widowControl/>
              <w:kinsoku w:val="0"/>
              <w:autoSpaceDE w:val="0"/>
              <w:autoSpaceDN w:val="0"/>
              <w:snapToGrid w:val="0"/>
              <w:spacing w:line="240" w:lineRule="auto"/>
              <w:ind w:left="180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水环境状况</w:t>
            </w:r>
          </w:p>
        </w:tc>
        <w:tc>
          <w:tcPr>
            <w:tcW w:w="4710" w:type="dxa"/>
            <w:gridSpan w:val="7"/>
            <w:tcBorders>
              <w:right w:val="single" w:color="231F20" w:sz="6" w:space="0"/>
            </w:tcBorders>
            <w:vAlign w:val="center"/>
          </w:tcPr>
          <w:p w14:paraId="7DB28900">
            <w:pPr>
              <w:widowControl/>
              <w:kinsoku w:val="0"/>
              <w:autoSpaceDE w:val="0"/>
              <w:autoSpaceDN w:val="0"/>
              <w:snapToGrid w:val="0"/>
              <w:spacing w:line="240" w:lineRule="auto"/>
              <w:ind w:left="1911"/>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水生态状况</w:t>
            </w:r>
          </w:p>
        </w:tc>
      </w:tr>
      <w:tr w14:paraId="18D2FE1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restart"/>
            <w:tcBorders>
              <w:left w:val="single" w:color="231F20" w:sz="6" w:space="0"/>
              <w:bottom w:val="nil"/>
            </w:tcBorders>
            <w:vAlign w:val="center"/>
          </w:tcPr>
          <w:p w14:paraId="5902D522">
            <w:pPr>
              <w:widowControl/>
              <w:kinsoku w:val="0"/>
              <w:autoSpaceDE w:val="0"/>
              <w:autoSpaceDN w:val="0"/>
              <w:snapToGrid w:val="0"/>
              <w:spacing w:line="240" w:lineRule="auto"/>
              <w:ind w:left="54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水体感官</w:t>
            </w:r>
          </w:p>
        </w:tc>
        <w:tc>
          <w:tcPr>
            <w:tcW w:w="1802" w:type="dxa"/>
            <w:gridSpan w:val="3"/>
            <w:vAlign w:val="center"/>
          </w:tcPr>
          <w:p w14:paraId="5CB75357">
            <w:pPr>
              <w:widowControl/>
              <w:kinsoku w:val="0"/>
              <w:autoSpaceDE w:val="0"/>
              <w:autoSpaceDN w:val="0"/>
              <w:snapToGrid w:val="0"/>
              <w:spacing w:line="240" w:lineRule="auto"/>
              <w:ind w:left="54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透明度高</w:t>
            </w:r>
          </w:p>
        </w:tc>
        <w:tc>
          <w:tcPr>
            <w:tcW w:w="901" w:type="dxa"/>
            <w:vAlign w:val="center"/>
          </w:tcPr>
          <w:p w14:paraId="00051038">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restart"/>
            <w:tcBorders>
              <w:bottom w:val="nil"/>
            </w:tcBorders>
            <w:vAlign w:val="center"/>
          </w:tcPr>
          <w:p w14:paraId="5D4BDF20">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p w14:paraId="42BBC3F7">
            <w:pPr>
              <w:widowControl/>
              <w:kinsoku w:val="0"/>
              <w:autoSpaceDE w:val="0"/>
              <w:autoSpaceDN w:val="0"/>
              <w:snapToGrid w:val="0"/>
              <w:spacing w:line="240" w:lineRule="auto"/>
              <w:ind w:left="73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鱼类</w:t>
            </w:r>
          </w:p>
        </w:tc>
        <w:tc>
          <w:tcPr>
            <w:tcW w:w="1441" w:type="dxa"/>
            <w:gridSpan w:val="2"/>
            <w:vAlign w:val="center"/>
          </w:tcPr>
          <w:p w14:paraId="3859AD4D">
            <w:pPr>
              <w:widowControl/>
              <w:kinsoku w:val="0"/>
              <w:autoSpaceDE w:val="0"/>
              <w:autoSpaceDN w:val="0"/>
              <w:snapToGrid w:val="0"/>
              <w:spacing w:line="240" w:lineRule="auto"/>
              <w:ind w:left="37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经常见到</w:t>
            </w:r>
          </w:p>
        </w:tc>
        <w:tc>
          <w:tcPr>
            <w:tcW w:w="1467" w:type="dxa"/>
            <w:tcBorders>
              <w:right w:val="single" w:color="231F20" w:sz="6" w:space="0"/>
            </w:tcBorders>
            <w:vAlign w:val="center"/>
          </w:tcPr>
          <w:p w14:paraId="635A4341">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1DE1649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bottom w:val="nil"/>
            </w:tcBorders>
            <w:vAlign w:val="center"/>
          </w:tcPr>
          <w:p w14:paraId="716B6EC8">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4185DD1A">
            <w:pPr>
              <w:widowControl/>
              <w:kinsoku w:val="0"/>
              <w:autoSpaceDE w:val="0"/>
              <w:autoSpaceDN w:val="0"/>
              <w:snapToGrid w:val="0"/>
              <w:spacing w:line="240" w:lineRule="auto"/>
              <w:ind w:left="72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一般</w:t>
            </w:r>
          </w:p>
        </w:tc>
        <w:tc>
          <w:tcPr>
            <w:tcW w:w="901" w:type="dxa"/>
            <w:vAlign w:val="center"/>
          </w:tcPr>
          <w:p w14:paraId="477FFE65">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bottom w:val="nil"/>
            </w:tcBorders>
            <w:vAlign w:val="center"/>
          </w:tcPr>
          <w:p w14:paraId="144F3B44">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3EA159A0">
            <w:pPr>
              <w:widowControl/>
              <w:kinsoku w:val="0"/>
              <w:autoSpaceDE w:val="0"/>
              <w:autoSpaceDN w:val="0"/>
              <w:snapToGrid w:val="0"/>
              <w:spacing w:line="240" w:lineRule="auto"/>
              <w:ind w:left="37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偶尔见到</w:t>
            </w:r>
          </w:p>
        </w:tc>
        <w:tc>
          <w:tcPr>
            <w:tcW w:w="1467" w:type="dxa"/>
            <w:tcBorders>
              <w:right w:val="single" w:color="231F20" w:sz="6" w:space="0"/>
            </w:tcBorders>
            <w:vAlign w:val="center"/>
          </w:tcPr>
          <w:p w14:paraId="4EF81243">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5238CA6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tcBorders>
            <w:vAlign w:val="center"/>
          </w:tcPr>
          <w:p w14:paraId="6ADCBCEF">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314912FD">
            <w:pPr>
              <w:widowControl/>
              <w:kinsoku w:val="0"/>
              <w:autoSpaceDE w:val="0"/>
              <w:autoSpaceDN w:val="0"/>
              <w:snapToGrid w:val="0"/>
              <w:spacing w:line="240" w:lineRule="auto"/>
              <w:ind w:left="32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浑浊/颜色异常</w:t>
            </w:r>
          </w:p>
        </w:tc>
        <w:tc>
          <w:tcPr>
            <w:tcW w:w="901" w:type="dxa"/>
            <w:vAlign w:val="center"/>
          </w:tcPr>
          <w:p w14:paraId="5B6A389E">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tcBorders>
            <w:vAlign w:val="center"/>
          </w:tcPr>
          <w:p w14:paraId="150AF4E5">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6061B375">
            <w:pPr>
              <w:widowControl/>
              <w:kinsoku w:val="0"/>
              <w:autoSpaceDE w:val="0"/>
              <w:autoSpaceDN w:val="0"/>
              <w:snapToGrid w:val="0"/>
              <w:spacing w:line="240" w:lineRule="auto"/>
              <w:ind w:left="37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几乎未见</w:t>
            </w:r>
          </w:p>
        </w:tc>
        <w:tc>
          <w:tcPr>
            <w:tcW w:w="1467" w:type="dxa"/>
            <w:tcBorders>
              <w:right w:val="single" w:color="231F20" w:sz="6" w:space="0"/>
            </w:tcBorders>
            <w:vAlign w:val="center"/>
          </w:tcPr>
          <w:p w14:paraId="1F2E672C">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381FB27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restart"/>
            <w:tcBorders>
              <w:left w:val="single" w:color="231F20" w:sz="6" w:space="0"/>
              <w:bottom w:val="nil"/>
            </w:tcBorders>
            <w:vAlign w:val="center"/>
          </w:tcPr>
          <w:p w14:paraId="4844F470">
            <w:pPr>
              <w:widowControl/>
              <w:kinsoku w:val="0"/>
              <w:autoSpaceDE w:val="0"/>
              <w:autoSpaceDN w:val="0"/>
              <w:snapToGrid w:val="0"/>
              <w:spacing w:line="240" w:lineRule="auto"/>
              <w:ind w:left="36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污水偷排乱排</w:t>
            </w:r>
          </w:p>
        </w:tc>
        <w:tc>
          <w:tcPr>
            <w:tcW w:w="1802" w:type="dxa"/>
            <w:gridSpan w:val="3"/>
            <w:vAlign w:val="center"/>
          </w:tcPr>
          <w:p w14:paraId="186251D8">
            <w:pPr>
              <w:widowControl/>
              <w:kinsoku w:val="0"/>
              <w:autoSpaceDE w:val="0"/>
              <w:autoSpaceDN w:val="0"/>
              <w:snapToGrid w:val="0"/>
              <w:spacing w:line="240" w:lineRule="auto"/>
              <w:ind w:left="728"/>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经常</w:t>
            </w:r>
          </w:p>
        </w:tc>
        <w:tc>
          <w:tcPr>
            <w:tcW w:w="901" w:type="dxa"/>
            <w:vAlign w:val="center"/>
          </w:tcPr>
          <w:p w14:paraId="0EEA8731">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restart"/>
            <w:tcBorders>
              <w:bottom w:val="nil"/>
            </w:tcBorders>
            <w:vAlign w:val="center"/>
          </w:tcPr>
          <w:p w14:paraId="56510D5C">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p w14:paraId="7E7A62DA">
            <w:pPr>
              <w:widowControl/>
              <w:kinsoku w:val="0"/>
              <w:autoSpaceDE w:val="0"/>
              <w:autoSpaceDN w:val="0"/>
              <w:snapToGrid w:val="0"/>
              <w:spacing w:line="240" w:lineRule="auto"/>
              <w:ind w:left="73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水草</w:t>
            </w:r>
          </w:p>
        </w:tc>
        <w:tc>
          <w:tcPr>
            <w:tcW w:w="1441" w:type="dxa"/>
            <w:gridSpan w:val="2"/>
            <w:vAlign w:val="center"/>
          </w:tcPr>
          <w:p w14:paraId="382F3CA2">
            <w:pPr>
              <w:widowControl/>
              <w:kinsoku w:val="0"/>
              <w:autoSpaceDE w:val="0"/>
              <w:autoSpaceDN w:val="0"/>
              <w:snapToGrid w:val="0"/>
              <w:spacing w:line="240" w:lineRule="auto"/>
              <w:ind w:left="55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太多</w:t>
            </w:r>
          </w:p>
        </w:tc>
        <w:tc>
          <w:tcPr>
            <w:tcW w:w="1467" w:type="dxa"/>
            <w:tcBorders>
              <w:right w:val="single" w:color="231F20" w:sz="6" w:space="0"/>
            </w:tcBorders>
            <w:vAlign w:val="center"/>
          </w:tcPr>
          <w:p w14:paraId="0735DB03">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3CDB6FA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bottom w:val="nil"/>
            </w:tcBorders>
            <w:vAlign w:val="center"/>
          </w:tcPr>
          <w:p w14:paraId="330F72A7">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72AE3334">
            <w:pPr>
              <w:widowControl/>
              <w:kinsoku w:val="0"/>
              <w:autoSpaceDE w:val="0"/>
              <w:autoSpaceDN w:val="0"/>
              <w:snapToGrid w:val="0"/>
              <w:spacing w:line="240" w:lineRule="auto"/>
              <w:ind w:left="72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偶尔</w:t>
            </w:r>
          </w:p>
        </w:tc>
        <w:tc>
          <w:tcPr>
            <w:tcW w:w="901" w:type="dxa"/>
            <w:vAlign w:val="center"/>
          </w:tcPr>
          <w:p w14:paraId="1FEF371F">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bottom w:val="nil"/>
            </w:tcBorders>
            <w:vAlign w:val="center"/>
          </w:tcPr>
          <w:p w14:paraId="37226306">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3D3DB0F3">
            <w:pPr>
              <w:widowControl/>
              <w:kinsoku w:val="0"/>
              <w:autoSpaceDE w:val="0"/>
              <w:autoSpaceDN w:val="0"/>
              <w:snapToGrid w:val="0"/>
              <w:spacing w:line="240" w:lineRule="auto"/>
              <w:ind w:left="55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正常</w:t>
            </w:r>
          </w:p>
        </w:tc>
        <w:tc>
          <w:tcPr>
            <w:tcW w:w="1467" w:type="dxa"/>
            <w:tcBorders>
              <w:right w:val="single" w:color="231F20" w:sz="6" w:space="0"/>
            </w:tcBorders>
            <w:vAlign w:val="center"/>
          </w:tcPr>
          <w:p w14:paraId="02BA36F8">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71F933F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tcBorders>
            <w:vAlign w:val="center"/>
          </w:tcPr>
          <w:p w14:paraId="49575647">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3695AEE5">
            <w:pPr>
              <w:widowControl/>
              <w:kinsoku w:val="0"/>
              <w:autoSpaceDE w:val="0"/>
              <w:autoSpaceDN w:val="0"/>
              <w:snapToGrid w:val="0"/>
              <w:spacing w:line="240" w:lineRule="auto"/>
              <w:ind w:left="321"/>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不存在/不了解</w:t>
            </w:r>
          </w:p>
        </w:tc>
        <w:tc>
          <w:tcPr>
            <w:tcW w:w="901" w:type="dxa"/>
            <w:vAlign w:val="center"/>
          </w:tcPr>
          <w:p w14:paraId="27635D83">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tcBorders>
            <w:vAlign w:val="center"/>
          </w:tcPr>
          <w:p w14:paraId="2A0727A8">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6F89334B">
            <w:pPr>
              <w:widowControl/>
              <w:kinsoku w:val="0"/>
              <w:autoSpaceDE w:val="0"/>
              <w:autoSpaceDN w:val="0"/>
              <w:snapToGrid w:val="0"/>
              <w:spacing w:line="240" w:lineRule="auto"/>
              <w:ind w:left="55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太少</w:t>
            </w:r>
          </w:p>
        </w:tc>
        <w:tc>
          <w:tcPr>
            <w:tcW w:w="1467" w:type="dxa"/>
            <w:tcBorders>
              <w:right w:val="single" w:color="231F20" w:sz="6" w:space="0"/>
            </w:tcBorders>
            <w:vAlign w:val="center"/>
          </w:tcPr>
          <w:p w14:paraId="7D81A739">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795EFBEA">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6" w:hRule="atLeast"/>
          <w:jc w:val="center"/>
        </w:trPr>
        <w:tc>
          <w:tcPr>
            <w:tcW w:w="1809" w:type="dxa"/>
            <w:gridSpan w:val="2"/>
            <w:vMerge w:val="restart"/>
            <w:tcBorders>
              <w:left w:val="single" w:color="231F20" w:sz="6" w:space="0"/>
              <w:bottom w:val="nil"/>
            </w:tcBorders>
            <w:vAlign w:val="center"/>
          </w:tcPr>
          <w:p w14:paraId="6200049A">
            <w:pPr>
              <w:widowControl/>
              <w:kinsoku w:val="0"/>
              <w:autoSpaceDE w:val="0"/>
              <w:autoSpaceDN w:val="0"/>
              <w:snapToGrid w:val="0"/>
              <w:spacing w:line="240" w:lineRule="auto"/>
              <w:ind w:left="36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垃圾 、漂浮物</w:t>
            </w:r>
          </w:p>
        </w:tc>
        <w:tc>
          <w:tcPr>
            <w:tcW w:w="1802" w:type="dxa"/>
            <w:gridSpan w:val="3"/>
            <w:vAlign w:val="center"/>
          </w:tcPr>
          <w:p w14:paraId="35BD75A5">
            <w:pPr>
              <w:widowControl/>
              <w:kinsoku w:val="0"/>
              <w:autoSpaceDE w:val="0"/>
              <w:autoSpaceDN w:val="0"/>
              <w:snapToGrid w:val="0"/>
              <w:spacing w:line="240" w:lineRule="auto"/>
              <w:ind w:left="82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多</w:t>
            </w:r>
          </w:p>
        </w:tc>
        <w:tc>
          <w:tcPr>
            <w:tcW w:w="901" w:type="dxa"/>
            <w:vAlign w:val="center"/>
          </w:tcPr>
          <w:p w14:paraId="4056F9CE">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restart"/>
            <w:tcBorders>
              <w:bottom w:val="nil"/>
            </w:tcBorders>
            <w:vAlign w:val="center"/>
          </w:tcPr>
          <w:p w14:paraId="63BA3CE2">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p w14:paraId="7ABE9D43">
            <w:pPr>
              <w:widowControl/>
              <w:kinsoku w:val="0"/>
              <w:autoSpaceDE w:val="0"/>
              <w:autoSpaceDN w:val="0"/>
              <w:snapToGrid w:val="0"/>
              <w:spacing w:line="240" w:lineRule="auto"/>
              <w:ind w:left="73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水鸟</w:t>
            </w:r>
          </w:p>
        </w:tc>
        <w:tc>
          <w:tcPr>
            <w:tcW w:w="1441" w:type="dxa"/>
            <w:gridSpan w:val="2"/>
            <w:vAlign w:val="center"/>
          </w:tcPr>
          <w:p w14:paraId="7DA41A82">
            <w:pPr>
              <w:widowControl/>
              <w:kinsoku w:val="0"/>
              <w:autoSpaceDE w:val="0"/>
              <w:autoSpaceDN w:val="0"/>
              <w:snapToGrid w:val="0"/>
              <w:spacing w:line="240" w:lineRule="auto"/>
              <w:ind w:left="37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经常见到</w:t>
            </w:r>
          </w:p>
        </w:tc>
        <w:tc>
          <w:tcPr>
            <w:tcW w:w="1467" w:type="dxa"/>
            <w:tcBorders>
              <w:right w:val="single" w:color="231F20" w:sz="6" w:space="0"/>
            </w:tcBorders>
            <w:vAlign w:val="center"/>
          </w:tcPr>
          <w:p w14:paraId="1B99E125">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47C4E27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bottom w:val="nil"/>
            </w:tcBorders>
            <w:vAlign w:val="center"/>
          </w:tcPr>
          <w:p w14:paraId="4BF3380B">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4CB9D789">
            <w:pPr>
              <w:widowControl/>
              <w:kinsoku w:val="0"/>
              <w:autoSpaceDE w:val="0"/>
              <w:autoSpaceDN w:val="0"/>
              <w:snapToGrid w:val="0"/>
              <w:spacing w:line="240" w:lineRule="auto"/>
              <w:ind w:left="72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一般</w:t>
            </w:r>
          </w:p>
        </w:tc>
        <w:tc>
          <w:tcPr>
            <w:tcW w:w="901" w:type="dxa"/>
            <w:vAlign w:val="center"/>
          </w:tcPr>
          <w:p w14:paraId="108E7EEF">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bottom w:val="nil"/>
            </w:tcBorders>
            <w:vAlign w:val="center"/>
          </w:tcPr>
          <w:p w14:paraId="45A85A56">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669E61F7">
            <w:pPr>
              <w:widowControl/>
              <w:kinsoku w:val="0"/>
              <w:autoSpaceDE w:val="0"/>
              <w:autoSpaceDN w:val="0"/>
              <w:snapToGrid w:val="0"/>
              <w:spacing w:line="240" w:lineRule="auto"/>
              <w:ind w:left="37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偶尔见到</w:t>
            </w:r>
          </w:p>
        </w:tc>
        <w:tc>
          <w:tcPr>
            <w:tcW w:w="1467" w:type="dxa"/>
            <w:tcBorders>
              <w:right w:val="single" w:color="231F20" w:sz="6" w:space="0"/>
            </w:tcBorders>
            <w:vAlign w:val="center"/>
          </w:tcPr>
          <w:p w14:paraId="652140EE">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1AD542B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tcBorders>
            <w:vAlign w:val="center"/>
          </w:tcPr>
          <w:p w14:paraId="6731FB86">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038B3846">
            <w:pPr>
              <w:widowControl/>
              <w:kinsoku w:val="0"/>
              <w:autoSpaceDE w:val="0"/>
              <w:autoSpaceDN w:val="0"/>
              <w:snapToGrid w:val="0"/>
              <w:spacing w:line="240" w:lineRule="auto"/>
              <w:ind w:left="81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无</w:t>
            </w:r>
          </w:p>
        </w:tc>
        <w:tc>
          <w:tcPr>
            <w:tcW w:w="901" w:type="dxa"/>
            <w:vAlign w:val="center"/>
          </w:tcPr>
          <w:p w14:paraId="0EFA7AD2">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tcBorders>
            <w:vAlign w:val="center"/>
          </w:tcPr>
          <w:p w14:paraId="3A469644">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40FF8F96">
            <w:pPr>
              <w:widowControl/>
              <w:kinsoku w:val="0"/>
              <w:autoSpaceDE w:val="0"/>
              <w:autoSpaceDN w:val="0"/>
              <w:snapToGrid w:val="0"/>
              <w:spacing w:line="240" w:lineRule="auto"/>
              <w:ind w:left="37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几乎未见</w:t>
            </w:r>
          </w:p>
        </w:tc>
        <w:tc>
          <w:tcPr>
            <w:tcW w:w="1467" w:type="dxa"/>
            <w:tcBorders>
              <w:right w:val="single" w:color="231F20" w:sz="6" w:space="0"/>
            </w:tcBorders>
            <w:vAlign w:val="center"/>
          </w:tcPr>
          <w:p w14:paraId="27344203">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4ED1C9D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9222" w:type="dxa"/>
            <w:gridSpan w:val="13"/>
            <w:tcBorders>
              <w:left w:val="single" w:color="231F20" w:sz="6" w:space="0"/>
              <w:right w:val="single" w:color="231F20" w:sz="6" w:space="0"/>
            </w:tcBorders>
            <w:vAlign w:val="center"/>
          </w:tcPr>
          <w:p w14:paraId="026DF161">
            <w:pPr>
              <w:widowControl/>
              <w:kinsoku w:val="0"/>
              <w:autoSpaceDE w:val="0"/>
              <w:autoSpaceDN w:val="0"/>
              <w:snapToGrid w:val="0"/>
              <w:spacing w:line="240" w:lineRule="auto"/>
              <w:ind w:left="3800"/>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水景观与水文化状况</w:t>
            </w:r>
          </w:p>
        </w:tc>
      </w:tr>
      <w:tr w14:paraId="1580472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restart"/>
            <w:tcBorders>
              <w:left w:val="single" w:color="231F20" w:sz="6" w:space="0"/>
              <w:bottom w:val="nil"/>
            </w:tcBorders>
            <w:vAlign w:val="center"/>
          </w:tcPr>
          <w:p w14:paraId="098DF358">
            <w:pPr>
              <w:widowControl/>
              <w:kinsoku w:val="0"/>
              <w:autoSpaceDE w:val="0"/>
              <w:autoSpaceDN w:val="0"/>
              <w:snapToGrid w:val="0"/>
              <w:spacing w:line="240" w:lineRule="auto"/>
              <w:ind w:left="36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景观绿化情况</w:t>
            </w:r>
          </w:p>
        </w:tc>
        <w:tc>
          <w:tcPr>
            <w:tcW w:w="1802" w:type="dxa"/>
            <w:gridSpan w:val="3"/>
            <w:vAlign w:val="center"/>
          </w:tcPr>
          <w:p w14:paraId="25BD3CE1">
            <w:pPr>
              <w:widowControl/>
              <w:kinsoku w:val="0"/>
              <w:autoSpaceDE w:val="0"/>
              <w:autoSpaceDN w:val="0"/>
              <w:snapToGrid w:val="0"/>
              <w:spacing w:line="240" w:lineRule="auto"/>
              <w:ind w:left="72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优美</w:t>
            </w:r>
          </w:p>
        </w:tc>
        <w:tc>
          <w:tcPr>
            <w:tcW w:w="901" w:type="dxa"/>
            <w:vAlign w:val="center"/>
          </w:tcPr>
          <w:p w14:paraId="67D54945">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restart"/>
            <w:tcBorders>
              <w:bottom w:val="nil"/>
            </w:tcBorders>
            <w:vAlign w:val="center"/>
          </w:tcPr>
          <w:p w14:paraId="7C68CB7B">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p w14:paraId="5B5331B5">
            <w:pPr>
              <w:widowControl/>
              <w:kinsoku w:val="0"/>
              <w:autoSpaceDE w:val="0"/>
              <w:autoSpaceDN w:val="0"/>
              <w:snapToGrid w:val="0"/>
              <w:spacing w:line="240" w:lineRule="auto"/>
              <w:ind w:left="369"/>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娱乐休闲活动</w:t>
            </w:r>
          </w:p>
        </w:tc>
        <w:tc>
          <w:tcPr>
            <w:tcW w:w="1441" w:type="dxa"/>
            <w:gridSpan w:val="2"/>
            <w:vAlign w:val="center"/>
          </w:tcPr>
          <w:p w14:paraId="21A6C8B1">
            <w:pPr>
              <w:widowControl/>
              <w:kinsoku w:val="0"/>
              <w:autoSpaceDE w:val="0"/>
              <w:autoSpaceDN w:val="0"/>
              <w:snapToGrid w:val="0"/>
              <w:spacing w:line="240" w:lineRule="auto"/>
              <w:ind w:left="55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适合</w:t>
            </w:r>
          </w:p>
        </w:tc>
        <w:tc>
          <w:tcPr>
            <w:tcW w:w="1467" w:type="dxa"/>
            <w:tcBorders>
              <w:right w:val="single" w:color="231F20" w:sz="6" w:space="0"/>
            </w:tcBorders>
            <w:vAlign w:val="center"/>
          </w:tcPr>
          <w:p w14:paraId="166E0346">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4437955B">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bottom w:val="nil"/>
            </w:tcBorders>
            <w:vAlign w:val="center"/>
          </w:tcPr>
          <w:p w14:paraId="7536A23E">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4BFB2720">
            <w:pPr>
              <w:widowControl/>
              <w:kinsoku w:val="0"/>
              <w:autoSpaceDE w:val="0"/>
              <w:autoSpaceDN w:val="0"/>
              <w:snapToGrid w:val="0"/>
              <w:spacing w:line="240" w:lineRule="auto"/>
              <w:ind w:left="72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一般</w:t>
            </w:r>
          </w:p>
        </w:tc>
        <w:tc>
          <w:tcPr>
            <w:tcW w:w="901" w:type="dxa"/>
            <w:vAlign w:val="center"/>
          </w:tcPr>
          <w:p w14:paraId="7D18C12D">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bottom w:val="nil"/>
            </w:tcBorders>
            <w:vAlign w:val="center"/>
          </w:tcPr>
          <w:p w14:paraId="39B7D149">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5BE4B3C3">
            <w:pPr>
              <w:widowControl/>
              <w:kinsoku w:val="0"/>
              <w:autoSpaceDE w:val="0"/>
              <w:autoSpaceDN w:val="0"/>
              <w:snapToGrid w:val="0"/>
              <w:spacing w:line="240" w:lineRule="auto"/>
              <w:ind w:left="55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一般</w:t>
            </w:r>
          </w:p>
        </w:tc>
        <w:tc>
          <w:tcPr>
            <w:tcW w:w="1467" w:type="dxa"/>
            <w:tcBorders>
              <w:right w:val="single" w:color="231F20" w:sz="6" w:space="0"/>
            </w:tcBorders>
            <w:vAlign w:val="center"/>
          </w:tcPr>
          <w:p w14:paraId="6FD11C4C">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7D7FC5C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gridSpan w:val="2"/>
            <w:vMerge w:val="continue"/>
            <w:tcBorders>
              <w:top w:val="nil"/>
              <w:left w:val="single" w:color="231F20" w:sz="6" w:space="0"/>
            </w:tcBorders>
            <w:vAlign w:val="center"/>
          </w:tcPr>
          <w:p w14:paraId="2369A6BE">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802" w:type="dxa"/>
            <w:gridSpan w:val="3"/>
            <w:vAlign w:val="center"/>
          </w:tcPr>
          <w:p w14:paraId="272E82F8">
            <w:pPr>
              <w:widowControl/>
              <w:kinsoku w:val="0"/>
              <w:autoSpaceDE w:val="0"/>
              <w:autoSpaceDN w:val="0"/>
              <w:snapToGrid w:val="0"/>
              <w:spacing w:line="240" w:lineRule="auto"/>
              <w:ind w:left="72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较差</w:t>
            </w:r>
          </w:p>
        </w:tc>
        <w:tc>
          <w:tcPr>
            <w:tcW w:w="901" w:type="dxa"/>
            <w:vAlign w:val="center"/>
          </w:tcPr>
          <w:p w14:paraId="3E63238F">
            <w:pPr>
              <w:widowControl/>
              <w:kinsoku w:val="0"/>
              <w:autoSpaceDE w:val="0"/>
              <w:autoSpaceDN w:val="0"/>
              <w:snapToGrid w:val="0"/>
              <w:spacing w:line="240" w:lineRule="auto"/>
              <w:ind w:left="37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c>
          <w:tcPr>
            <w:tcW w:w="1802" w:type="dxa"/>
            <w:gridSpan w:val="4"/>
            <w:vMerge w:val="continue"/>
            <w:tcBorders>
              <w:top w:val="nil"/>
            </w:tcBorders>
            <w:vAlign w:val="center"/>
          </w:tcPr>
          <w:p w14:paraId="7C57F904">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1441" w:type="dxa"/>
            <w:gridSpan w:val="2"/>
            <w:vAlign w:val="center"/>
          </w:tcPr>
          <w:p w14:paraId="55F90703">
            <w:pPr>
              <w:widowControl/>
              <w:kinsoku w:val="0"/>
              <w:autoSpaceDE w:val="0"/>
              <w:autoSpaceDN w:val="0"/>
              <w:snapToGrid w:val="0"/>
              <w:spacing w:line="240" w:lineRule="auto"/>
              <w:ind w:left="46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不适合</w:t>
            </w:r>
          </w:p>
        </w:tc>
        <w:tc>
          <w:tcPr>
            <w:tcW w:w="1467" w:type="dxa"/>
            <w:tcBorders>
              <w:right w:val="single" w:color="231F20" w:sz="6" w:space="0"/>
            </w:tcBorders>
            <w:vAlign w:val="center"/>
          </w:tcPr>
          <w:p w14:paraId="4D8EE1F8">
            <w:pPr>
              <w:widowControl/>
              <w:kinsoku w:val="0"/>
              <w:autoSpaceDE w:val="0"/>
              <w:autoSpaceDN w:val="0"/>
              <w:snapToGrid w:val="0"/>
              <w:spacing w:line="240" w:lineRule="auto"/>
              <w:ind w:left="663"/>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w:t>
            </w:r>
          </w:p>
        </w:tc>
      </w:tr>
      <w:tr w14:paraId="4DC55E7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9222" w:type="dxa"/>
            <w:gridSpan w:val="13"/>
            <w:tcBorders>
              <w:left w:val="single" w:color="231F20" w:sz="6" w:space="0"/>
              <w:right w:val="single" w:color="231F20" w:sz="6" w:space="0"/>
            </w:tcBorders>
            <w:vAlign w:val="center"/>
          </w:tcPr>
          <w:p w14:paraId="29D43A17">
            <w:pPr>
              <w:widowControl/>
              <w:kinsoku w:val="0"/>
              <w:autoSpaceDE w:val="0"/>
              <w:autoSpaceDN w:val="0"/>
              <w:snapToGrid w:val="0"/>
              <w:spacing w:line="240" w:lineRule="auto"/>
              <w:ind w:left="3711"/>
              <w:jc w:val="left"/>
              <w:textAlignment w:val="baseline"/>
              <w:rPr>
                <w:rFonts w:ascii="宋体" w:hAnsi="宋体" w:eastAsia="宋体" w:cs="宋体"/>
                <w:snapToGrid w:val="0"/>
                <w:color w:val="000000"/>
                <w:kern w:val="0"/>
                <w:sz w:val="18"/>
                <w:szCs w:val="18"/>
                <w:lang w:eastAsia="zh-CN"/>
              </w:rPr>
            </w:pPr>
            <w:r>
              <w:rPr>
                <w:rFonts w:ascii="宋体" w:hAnsi="宋体" w:eastAsia="宋体" w:cs="宋体"/>
                <w:snapToGrid w:val="0"/>
                <w:color w:val="000000"/>
                <w:kern w:val="0"/>
                <w:sz w:val="18"/>
                <w:szCs w:val="18"/>
                <w:lang w:eastAsia="zh-CN"/>
              </w:rPr>
              <w:t>对河湖满意度程度调查</w:t>
            </w:r>
          </w:p>
        </w:tc>
      </w:tr>
      <w:tr w14:paraId="311FB0F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1" w:hRule="atLeast"/>
          <w:jc w:val="center"/>
        </w:trPr>
        <w:tc>
          <w:tcPr>
            <w:tcW w:w="3611" w:type="dxa"/>
            <w:gridSpan w:val="5"/>
            <w:tcBorders>
              <w:left w:val="single" w:color="231F20" w:sz="6" w:space="0"/>
            </w:tcBorders>
            <w:vAlign w:val="center"/>
          </w:tcPr>
          <w:p w14:paraId="27C6F552">
            <w:pPr>
              <w:widowControl/>
              <w:kinsoku w:val="0"/>
              <w:autoSpaceDE w:val="0"/>
              <w:autoSpaceDN w:val="0"/>
              <w:snapToGrid w:val="0"/>
              <w:spacing w:line="240" w:lineRule="auto"/>
              <w:ind w:left="1182"/>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总体满意度打分</w:t>
            </w:r>
          </w:p>
        </w:tc>
        <w:tc>
          <w:tcPr>
            <w:tcW w:w="2703" w:type="dxa"/>
            <w:gridSpan w:val="5"/>
            <w:vAlign w:val="center"/>
          </w:tcPr>
          <w:p w14:paraId="16BE13B2">
            <w:pPr>
              <w:widowControl/>
              <w:kinsoku w:val="0"/>
              <w:autoSpaceDE w:val="0"/>
              <w:autoSpaceDN w:val="0"/>
              <w:snapToGrid w:val="0"/>
              <w:spacing w:line="240" w:lineRule="auto"/>
              <w:ind w:left="819"/>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不满意的原因</w:t>
            </w:r>
          </w:p>
        </w:tc>
        <w:tc>
          <w:tcPr>
            <w:tcW w:w="2908" w:type="dxa"/>
            <w:gridSpan w:val="3"/>
            <w:tcBorders>
              <w:right w:val="single" w:color="231F20" w:sz="6" w:space="0"/>
            </w:tcBorders>
            <w:vAlign w:val="center"/>
          </w:tcPr>
          <w:p w14:paraId="15066364">
            <w:pPr>
              <w:widowControl/>
              <w:kinsoku w:val="0"/>
              <w:autoSpaceDE w:val="0"/>
              <w:autoSpaceDN w:val="0"/>
              <w:snapToGrid w:val="0"/>
              <w:spacing w:line="240" w:lineRule="auto"/>
              <w:ind w:left="101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意见和建议</w:t>
            </w:r>
          </w:p>
        </w:tc>
      </w:tr>
      <w:tr w14:paraId="3A8034F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2710" w:type="dxa"/>
            <w:gridSpan w:val="4"/>
            <w:tcBorders>
              <w:left w:val="single" w:color="231F20" w:sz="6" w:space="0"/>
            </w:tcBorders>
            <w:vAlign w:val="center"/>
          </w:tcPr>
          <w:p w14:paraId="27D5ECEC">
            <w:pPr>
              <w:widowControl/>
              <w:kinsoku w:val="0"/>
              <w:autoSpaceDE w:val="0"/>
              <w:autoSpaceDN w:val="0"/>
              <w:snapToGrid w:val="0"/>
              <w:spacing w:line="240" w:lineRule="auto"/>
              <w:ind w:left="1085"/>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很满意</w:t>
            </w:r>
          </w:p>
        </w:tc>
        <w:tc>
          <w:tcPr>
            <w:tcW w:w="901" w:type="dxa"/>
            <w:vMerge w:val="restart"/>
            <w:tcBorders>
              <w:bottom w:val="nil"/>
            </w:tcBorders>
            <w:vAlign w:val="center"/>
          </w:tcPr>
          <w:p w14:paraId="54EEDBBF">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703" w:type="dxa"/>
            <w:gridSpan w:val="5"/>
            <w:vMerge w:val="restart"/>
            <w:tcBorders>
              <w:bottom w:val="nil"/>
            </w:tcBorders>
            <w:vAlign w:val="center"/>
          </w:tcPr>
          <w:p w14:paraId="6A710933">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908" w:type="dxa"/>
            <w:gridSpan w:val="3"/>
            <w:vMerge w:val="restart"/>
            <w:tcBorders>
              <w:bottom w:val="nil"/>
              <w:right w:val="single" w:color="231F20" w:sz="6" w:space="0"/>
            </w:tcBorders>
            <w:vAlign w:val="center"/>
          </w:tcPr>
          <w:p w14:paraId="0D7AC910">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r>
      <w:tr w14:paraId="2D8E680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1" w:hRule="atLeast"/>
          <w:jc w:val="center"/>
        </w:trPr>
        <w:tc>
          <w:tcPr>
            <w:tcW w:w="2710" w:type="dxa"/>
            <w:gridSpan w:val="4"/>
            <w:tcBorders>
              <w:left w:val="single" w:color="231F20" w:sz="6" w:space="0"/>
            </w:tcBorders>
            <w:vAlign w:val="center"/>
          </w:tcPr>
          <w:p w14:paraId="637DC75E">
            <w:pPr>
              <w:widowControl/>
              <w:kinsoku w:val="0"/>
              <w:autoSpaceDE w:val="0"/>
              <w:autoSpaceDN w:val="0"/>
              <w:snapToGrid w:val="0"/>
              <w:spacing w:line="240" w:lineRule="auto"/>
              <w:ind w:left="1176"/>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满意</w:t>
            </w:r>
          </w:p>
        </w:tc>
        <w:tc>
          <w:tcPr>
            <w:tcW w:w="901" w:type="dxa"/>
            <w:vMerge w:val="continue"/>
            <w:tcBorders>
              <w:top w:val="nil"/>
              <w:bottom w:val="nil"/>
            </w:tcBorders>
            <w:vAlign w:val="center"/>
          </w:tcPr>
          <w:p w14:paraId="6B564BD8">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703" w:type="dxa"/>
            <w:gridSpan w:val="5"/>
            <w:vMerge w:val="continue"/>
            <w:tcBorders>
              <w:top w:val="nil"/>
              <w:bottom w:val="nil"/>
            </w:tcBorders>
            <w:vAlign w:val="center"/>
          </w:tcPr>
          <w:p w14:paraId="68A8907B">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908" w:type="dxa"/>
            <w:gridSpan w:val="3"/>
            <w:vMerge w:val="continue"/>
            <w:tcBorders>
              <w:top w:val="nil"/>
              <w:bottom w:val="nil"/>
              <w:right w:val="single" w:color="231F20" w:sz="6" w:space="0"/>
            </w:tcBorders>
            <w:vAlign w:val="center"/>
          </w:tcPr>
          <w:p w14:paraId="25BBB7FF">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r>
      <w:tr w14:paraId="3ABB0E3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 w:hRule="atLeast"/>
          <w:jc w:val="center"/>
        </w:trPr>
        <w:tc>
          <w:tcPr>
            <w:tcW w:w="2710" w:type="dxa"/>
            <w:gridSpan w:val="4"/>
            <w:tcBorders>
              <w:left w:val="single" w:color="231F20" w:sz="6" w:space="0"/>
            </w:tcBorders>
            <w:vAlign w:val="center"/>
          </w:tcPr>
          <w:p w14:paraId="4B39F62A">
            <w:pPr>
              <w:widowControl/>
              <w:kinsoku w:val="0"/>
              <w:autoSpaceDE w:val="0"/>
              <w:autoSpaceDN w:val="0"/>
              <w:snapToGrid w:val="0"/>
              <w:spacing w:line="240" w:lineRule="auto"/>
              <w:ind w:left="994"/>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基本满意</w:t>
            </w:r>
          </w:p>
        </w:tc>
        <w:tc>
          <w:tcPr>
            <w:tcW w:w="901" w:type="dxa"/>
            <w:vMerge w:val="continue"/>
            <w:tcBorders>
              <w:top w:val="nil"/>
              <w:bottom w:val="nil"/>
            </w:tcBorders>
            <w:vAlign w:val="center"/>
          </w:tcPr>
          <w:p w14:paraId="09A57B62">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703" w:type="dxa"/>
            <w:gridSpan w:val="5"/>
            <w:vMerge w:val="continue"/>
            <w:tcBorders>
              <w:top w:val="nil"/>
              <w:bottom w:val="nil"/>
            </w:tcBorders>
            <w:vAlign w:val="center"/>
          </w:tcPr>
          <w:p w14:paraId="2C7B1513">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908" w:type="dxa"/>
            <w:gridSpan w:val="3"/>
            <w:vMerge w:val="continue"/>
            <w:tcBorders>
              <w:top w:val="nil"/>
              <w:bottom w:val="nil"/>
              <w:right w:val="single" w:color="231F20" w:sz="6" w:space="0"/>
            </w:tcBorders>
            <w:vAlign w:val="center"/>
          </w:tcPr>
          <w:p w14:paraId="08E455C5">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r>
      <w:tr w14:paraId="730FD9F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6" w:hRule="atLeast"/>
          <w:jc w:val="center"/>
        </w:trPr>
        <w:tc>
          <w:tcPr>
            <w:tcW w:w="2710" w:type="dxa"/>
            <w:gridSpan w:val="4"/>
            <w:tcBorders>
              <w:left w:val="single" w:color="231F20" w:sz="6" w:space="0"/>
              <w:bottom w:val="single" w:color="231F20" w:sz="6" w:space="0"/>
            </w:tcBorders>
            <w:vAlign w:val="center"/>
          </w:tcPr>
          <w:p w14:paraId="351CBE1A">
            <w:pPr>
              <w:widowControl/>
              <w:kinsoku w:val="0"/>
              <w:autoSpaceDE w:val="0"/>
              <w:autoSpaceDN w:val="0"/>
              <w:snapToGrid w:val="0"/>
              <w:spacing w:line="240" w:lineRule="auto"/>
              <w:ind w:left="1087"/>
              <w:jc w:val="left"/>
              <w:textAlignment w:val="baseline"/>
              <w:rPr>
                <w:rFonts w:ascii="宋体" w:hAnsi="宋体" w:eastAsia="宋体" w:cs="宋体"/>
                <w:snapToGrid w:val="0"/>
                <w:color w:val="000000"/>
                <w:kern w:val="0"/>
                <w:sz w:val="18"/>
                <w:szCs w:val="18"/>
                <w:lang w:eastAsia="en-US"/>
              </w:rPr>
            </w:pPr>
            <w:r>
              <w:rPr>
                <w:rFonts w:ascii="宋体" w:hAnsi="宋体" w:eastAsia="宋体" w:cs="宋体"/>
                <w:snapToGrid w:val="0"/>
                <w:color w:val="000000"/>
                <w:kern w:val="0"/>
                <w:sz w:val="18"/>
                <w:szCs w:val="18"/>
                <w:lang w:eastAsia="en-US"/>
              </w:rPr>
              <w:t>不满意</w:t>
            </w:r>
          </w:p>
        </w:tc>
        <w:tc>
          <w:tcPr>
            <w:tcW w:w="901" w:type="dxa"/>
            <w:vMerge w:val="continue"/>
            <w:tcBorders>
              <w:top w:val="nil"/>
              <w:bottom w:val="single" w:color="231F20" w:sz="6" w:space="0"/>
            </w:tcBorders>
            <w:vAlign w:val="center"/>
          </w:tcPr>
          <w:p w14:paraId="2AB5C3CA">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703" w:type="dxa"/>
            <w:gridSpan w:val="5"/>
            <w:vMerge w:val="continue"/>
            <w:tcBorders>
              <w:top w:val="nil"/>
              <w:bottom w:val="single" w:color="231F20" w:sz="6" w:space="0"/>
            </w:tcBorders>
            <w:vAlign w:val="center"/>
          </w:tcPr>
          <w:p w14:paraId="1A24D5C8">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c>
          <w:tcPr>
            <w:tcW w:w="2908" w:type="dxa"/>
            <w:gridSpan w:val="3"/>
            <w:vMerge w:val="continue"/>
            <w:tcBorders>
              <w:top w:val="nil"/>
              <w:bottom w:val="single" w:color="231F20" w:sz="6" w:space="0"/>
              <w:right w:val="single" w:color="231F20" w:sz="6" w:space="0"/>
            </w:tcBorders>
            <w:vAlign w:val="center"/>
          </w:tcPr>
          <w:p w14:paraId="122A1261">
            <w:pPr>
              <w:widowControl/>
              <w:kinsoku w:val="0"/>
              <w:autoSpaceDE w:val="0"/>
              <w:autoSpaceDN w:val="0"/>
              <w:snapToGrid w:val="0"/>
              <w:spacing w:line="240" w:lineRule="auto"/>
              <w:jc w:val="left"/>
              <w:textAlignment w:val="baseline"/>
              <w:rPr>
                <w:rFonts w:ascii="宋体" w:hAnsi="宋体" w:eastAsia="宋体" w:cs="Arial"/>
                <w:snapToGrid w:val="0"/>
                <w:color w:val="000000"/>
                <w:kern w:val="0"/>
                <w:sz w:val="18"/>
                <w:szCs w:val="18"/>
                <w:lang w:eastAsia="en-US"/>
              </w:rPr>
            </w:pPr>
          </w:p>
        </w:tc>
      </w:tr>
      <w:bookmarkEnd w:id="140"/>
    </w:tbl>
    <w:p w14:paraId="54BD9C58">
      <w:pPr>
        <w:pStyle w:val="57"/>
        <w:ind w:firstLine="420"/>
        <w:sectPr>
          <w:pgSz w:w="11906" w:h="16838"/>
          <w:pgMar w:top="1928" w:right="1134" w:bottom="1134" w:left="1134" w:header="1418" w:footer="1134" w:gutter="284"/>
          <w:cols w:space="425" w:num="1"/>
          <w:formProt w:val="0"/>
          <w:docGrid w:type="lines" w:linePitch="312" w:charSpace="0"/>
        </w:sectPr>
      </w:pPr>
      <w:bookmarkStart w:id="144" w:name="BookMark6"/>
    </w:p>
    <w:p w14:paraId="2E5469E4">
      <w:pPr>
        <w:pStyle w:val="64"/>
        <w:spacing w:after="156"/>
      </w:pPr>
      <w:bookmarkStart w:id="145" w:name="_Toc242796918"/>
      <w:bookmarkStart w:id="146" w:name="_Toc242804765"/>
      <w:r>
        <w:rPr>
          <w:rFonts w:hint="eastAsia"/>
          <w:spacing w:val="105"/>
        </w:rPr>
        <w:t>参考文</w:t>
      </w:r>
      <w:r>
        <w:rPr>
          <w:rFonts w:hint="eastAsia"/>
        </w:rPr>
        <w:t>献</w:t>
      </w:r>
      <w:bookmarkEnd w:id="145"/>
      <w:bookmarkEnd w:id="146"/>
    </w:p>
    <w:p w14:paraId="377B9ADD">
      <w:pPr>
        <w:pStyle w:val="57"/>
        <w:ind w:firstLine="420"/>
      </w:pPr>
      <w:r>
        <w:rPr>
          <w:rFonts w:hint="eastAsia"/>
        </w:rPr>
        <w:t>[1]  GB 50139  内河通航标准</w:t>
      </w:r>
    </w:p>
    <w:p w14:paraId="55103005">
      <w:pPr>
        <w:pStyle w:val="57"/>
        <w:ind w:firstLine="420"/>
      </w:pPr>
      <w:r>
        <w:rPr>
          <w:rFonts w:hint="eastAsia"/>
        </w:rPr>
        <w:t>[2]  GB 50201  防洪标准</w:t>
      </w:r>
    </w:p>
    <w:p w14:paraId="40D7C11E">
      <w:pPr>
        <w:pStyle w:val="57"/>
        <w:ind w:firstLine="420"/>
      </w:pPr>
      <w:r>
        <w:rPr>
          <w:rFonts w:hint="eastAsia"/>
        </w:rPr>
        <w:t>[3]  HJ 710.4  生物多样性观测技术导则  鸟类</w:t>
      </w:r>
    </w:p>
    <w:p w14:paraId="2BB68BA0">
      <w:pPr>
        <w:pStyle w:val="57"/>
        <w:ind w:firstLine="420"/>
      </w:pPr>
      <w:r>
        <w:rPr>
          <w:rFonts w:hint="eastAsia"/>
        </w:rPr>
        <w:t>[4]  HJ 710.7  生物多样性观测技术导则  内陆水域鱼类</w:t>
      </w:r>
    </w:p>
    <w:p w14:paraId="15175657">
      <w:pPr>
        <w:pStyle w:val="57"/>
        <w:ind w:firstLine="420"/>
      </w:pPr>
      <w:r>
        <w:rPr>
          <w:rFonts w:hint="eastAsia"/>
        </w:rPr>
        <w:t>[5]  HJ 710.8  生物多样性观测技术导则  淡水底栖大型无脊椎动物</w:t>
      </w:r>
    </w:p>
    <w:p w14:paraId="3B57F995">
      <w:pPr>
        <w:pStyle w:val="57"/>
        <w:ind w:firstLine="420"/>
      </w:pPr>
      <w:r>
        <w:rPr>
          <w:rFonts w:hint="eastAsia"/>
        </w:rPr>
        <w:t>[6]  HJ 710.12  生物多样性观测技术导则  水生维管植物</w:t>
      </w:r>
    </w:p>
    <w:p w14:paraId="6E608B4F">
      <w:pPr>
        <w:pStyle w:val="57"/>
        <w:ind w:firstLine="420"/>
      </w:pPr>
      <w:r>
        <w:rPr>
          <w:rFonts w:hint="eastAsia"/>
        </w:rPr>
        <w:t>[7]  HJ 1296  水生态监测技术指南  湖泊和水库水生生物监测与评价（试行）</w:t>
      </w:r>
    </w:p>
    <w:p w14:paraId="2595EA53">
      <w:pPr>
        <w:pStyle w:val="57"/>
        <w:ind w:firstLine="420"/>
      </w:pPr>
      <w:r>
        <w:rPr>
          <w:rFonts w:hint="eastAsia"/>
        </w:rPr>
        <w:t>[8]  SL 87  透明度的测定（透明度计法、圆盘法）</w:t>
      </w:r>
    </w:p>
    <w:p w14:paraId="034B3CC9">
      <w:pPr>
        <w:pStyle w:val="57"/>
        <w:ind w:firstLine="420"/>
      </w:pPr>
      <w:r>
        <w:rPr>
          <w:rFonts w:hint="eastAsia"/>
        </w:rPr>
        <w:t>[9]  SL 219  水质水生态监测规范</w:t>
      </w:r>
    </w:p>
    <w:p w14:paraId="78679B32">
      <w:pPr>
        <w:pStyle w:val="57"/>
        <w:ind w:firstLine="420"/>
      </w:pPr>
      <w:r>
        <w:rPr>
          <w:rFonts w:hint="eastAsia"/>
        </w:rPr>
        <w:t>[10]  SL 258  水库大坝安全评价导则</w:t>
      </w:r>
    </w:p>
    <w:p w14:paraId="39B9C581">
      <w:pPr>
        <w:pStyle w:val="57"/>
        <w:ind w:firstLine="420"/>
      </w:pPr>
      <w:r>
        <w:rPr>
          <w:rFonts w:hint="eastAsia"/>
        </w:rPr>
        <w:t>[11]  SL/Z 679  堤防工程安全评价导则</w:t>
      </w:r>
    </w:p>
    <w:p w14:paraId="26DAA57B">
      <w:pPr>
        <w:pStyle w:val="57"/>
        <w:ind w:firstLine="420"/>
      </w:pPr>
      <w:r>
        <w:rPr>
          <w:rFonts w:hint="eastAsia"/>
        </w:rPr>
        <w:t>[12]  SL 730  水利空间要素图式与表达规范</w:t>
      </w:r>
    </w:p>
    <w:p w14:paraId="2D0B1B54">
      <w:pPr>
        <w:pStyle w:val="57"/>
        <w:ind w:firstLine="420"/>
      </w:pPr>
      <w:r>
        <w:rPr>
          <w:rFonts w:hint="eastAsia"/>
        </w:rPr>
        <w:t>[13]  SL 733  内陆水域浮游植物监测技术规程</w:t>
      </w:r>
    </w:p>
    <w:p w14:paraId="1E242F79">
      <w:pPr>
        <w:pStyle w:val="57"/>
        <w:ind w:firstLine="420"/>
      </w:pPr>
      <w:r>
        <w:rPr>
          <w:rFonts w:hint="eastAsia"/>
        </w:rPr>
        <w:t>[14]  SL/T 712  河湖生态环境需水计算规范</w:t>
      </w:r>
    </w:p>
    <w:p w14:paraId="6D3DF325">
      <w:pPr>
        <w:pStyle w:val="57"/>
        <w:ind w:firstLine="420"/>
      </w:pPr>
      <w:r>
        <w:rPr>
          <w:rFonts w:hint="eastAsia"/>
        </w:rPr>
        <w:t>[15]  SL/T 820  水利水电工程生态流量计算与泄放设计规范</w:t>
      </w:r>
    </w:p>
    <w:p w14:paraId="7CA5C980">
      <w:pPr>
        <w:pStyle w:val="57"/>
        <w:ind w:firstLine="420"/>
      </w:pPr>
      <w:r>
        <w:rPr>
          <w:rFonts w:hint="eastAsia"/>
        </w:rPr>
        <w:t>[16]  SL/T 826  河湖岸线保护和利用规划编制规程</w:t>
      </w:r>
    </w:p>
    <w:p w14:paraId="7F302576">
      <w:pPr>
        <w:pStyle w:val="57"/>
        <w:ind w:firstLine="420"/>
      </w:pPr>
      <w:r>
        <w:rPr>
          <w:rFonts w:hint="eastAsia"/>
        </w:rPr>
        <w:t>[17]  SL/T 852  河湖管理范围划定技术规范</w:t>
      </w:r>
    </w:p>
    <w:p w14:paraId="390EA8E3">
      <w:pPr>
        <w:pStyle w:val="57"/>
        <w:ind w:firstLine="420"/>
      </w:pPr>
      <w:r>
        <w:rPr>
          <w:rFonts w:hint="eastAsia"/>
        </w:rPr>
        <w:t>[18]  《河湖健康评价指南(试行)》（水利部河长办第43号）</w:t>
      </w:r>
    </w:p>
    <w:p w14:paraId="0271EB8E">
      <w:pPr>
        <w:pStyle w:val="57"/>
        <w:ind w:firstLine="420"/>
      </w:pPr>
      <w:r>
        <w:rPr>
          <w:rFonts w:hint="eastAsia"/>
        </w:rPr>
        <w:t>[19]  《水利部河湖管理司关于进一步明确河湖健康评价有关事项的通知》（办河湖〔2023〕1号）</w:t>
      </w:r>
    </w:p>
    <w:p w14:paraId="59BCEA77">
      <w:pPr>
        <w:pStyle w:val="57"/>
        <w:ind w:firstLine="420"/>
      </w:pPr>
      <w:r>
        <w:rPr>
          <w:rFonts w:hint="eastAsia"/>
        </w:rPr>
        <w:t>[20]  《水利部办公厅关于明确全国河湖“清四乱”专项行动问题认定及清理整治标准的通知》（办河湖〔2018〕245号）</w:t>
      </w:r>
    </w:p>
    <w:p w14:paraId="3F7BB052">
      <w:pPr>
        <w:pStyle w:val="57"/>
        <w:ind w:firstLine="420"/>
      </w:pPr>
      <w:r>
        <w:rPr>
          <w:rFonts w:hint="eastAsia"/>
        </w:rPr>
        <w:t>[21]  《河湖生态流量管理办法(试行)》（水资管〔2025〕151号）</w:t>
      </w:r>
    </w:p>
    <w:p w14:paraId="07281282">
      <w:pPr>
        <w:pStyle w:val="57"/>
        <w:ind w:firstLine="420"/>
      </w:pPr>
      <w:r>
        <w:rPr>
          <w:rFonts w:hint="eastAsia"/>
        </w:rPr>
        <w:t>[22]  《地表水和地下水环境本底判定技术规定(暂行)》（环办监测函〔2019〕895号）</w:t>
      </w:r>
    </w:p>
    <w:p w14:paraId="275ABB1A">
      <w:pPr>
        <w:pStyle w:val="57"/>
        <w:ind w:firstLine="420"/>
      </w:pPr>
      <w:r>
        <w:rPr>
          <w:rFonts w:hint="eastAsia"/>
        </w:rPr>
        <w:t>[23]  《河湖水生态监测技术指南(试行)》（办水文〔2023〕34号）</w:t>
      </w:r>
    </w:p>
    <w:p w14:paraId="5EC89EEC">
      <w:pPr>
        <w:pStyle w:val="57"/>
        <w:ind w:firstLine="420"/>
      </w:pPr>
      <w:r>
        <w:rPr>
          <w:rFonts w:hint="eastAsia"/>
        </w:rPr>
        <w:t>[24]  《林业和草原主要灾害种类及其分级(试行)》（林防发〔2021〕85号）</w:t>
      </w:r>
    </w:p>
    <w:p w14:paraId="41A29D1A">
      <w:pPr>
        <w:pStyle w:val="57"/>
        <w:ind w:firstLine="420"/>
      </w:pPr>
      <w:r>
        <w:rPr>
          <w:rFonts w:hint="eastAsia"/>
        </w:rPr>
        <w:t>[25]  《重点管理外来入侵物种名录》（农业农村部 自然资源部 生态环境部 住房和城乡建设部 海关总署 国家林草局公告第567号）</w:t>
      </w:r>
    </w:p>
    <w:bookmarkEnd w:id="144"/>
    <w:p w14:paraId="24281B51">
      <w:pPr>
        <w:pStyle w:val="57"/>
        <w:ind w:firstLine="0" w:firstLineChars="0"/>
        <w:jc w:val="center"/>
      </w:pPr>
      <w:bookmarkStart w:id="147" w:name="BookMark8"/>
      <w:r>
        <w:drawing>
          <wp:inline distT="0" distB="0" distL="0" distR="0">
            <wp:extent cx="1485900" cy="317500"/>
            <wp:effectExtent l="0" t="0" r="0" b="6350"/>
            <wp:docPr id="1591661601" name="图片 4"/>
            <wp:cNvGraphicFramePr/>
            <a:graphic xmlns:a="http://schemas.openxmlformats.org/drawingml/2006/main">
              <a:graphicData uri="http://schemas.openxmlformats.org/drawingml/2006/picture">
                <pic:pic xmlns:pic="http://schemas.openxmlformats.org/drawingml/2006/picture">
                  <pic:nvPicPr>
                    <pic:cNvPr id="1591661601" name="图片 4"/>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47"/>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4F74E">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CFAEF">
    <w:pPr>
      <w:pStyle w:val="18"/>
      <w:ind w:right="720"/>
      <w:jc w:val="both"/>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98466">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72072">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30A57">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843E7">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285C9">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02C98">
    <w:pPr>
      <w:pStyle w:val="62"/>
    </w:pPr>
    <w:r>
      <w:fldChar w:fldCharType="begin"/>
    </w:r>
    <w:r>
      <w:instrText xml:space="preserve"> STYLEREF  标准文件_文件编号  \* MERGEFORMAT </w:instrText>
    </w:r>
    <w:r>
      <w:fldChar w:fldCharType="separate"/>
    </w:r>
    <w:r>
      <w:t>DB 31 SW/Z 001—XXXX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D150F">
    <w:pPr>
      <w:pStyle w:val="62"/>
      <w:ind w:right="840"/>
      <w:jc w:val="both"/>
    </w:pPr>
    <w:r>
      <w:fldChar w:fldCharType="begin"/>
    </w:r>
    <w:r>
      <w:instrText xml:space="preserve"> STYLEREF  标准文件_文件编号  \* MERGEFORMAT </w:instrText>
    </w:r>
    <w:r>
      <w:fldChar w:fldCharType="separate"/>
    </w:r>
    <w:r>
      <w:t>DB 31 SW/Z 001—XXXX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18"/>
  </w:num>
  <w:num w:numId="5">
    <w:abstractNumId w:val="23"/>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9E"/>
    <w:rsid w:val="0000040A"/>
    <w:rsid w:val="00000A94"/>
    <w:rsid w:val="00001972"/>
    <w:rsid w:val="00001AD9"/>
    <w:rsid w:val="00001D9A"/>
    <w:rsid w:val="00007B3A"/>
    <w:rsid w:val="000107E0"/>
    <w:rsid w:val="00011FDE"/>
    <w:rsid w:val="00012FFD"/>
    <w:rsid w:val="00014162"/>
    <w:rsid w:val="00014340"/>
    <w:rsid w:val="000169F3"/>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567D9"/>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1F77"/>
    <w:rsid w:val="000A296B"/>
    <w:rsid w:val="000A6B70"/>
    <w:rsid w:val="000A7311"/>
    <w:rsid w:val="000B060F"/>
    <w:rsid w:val="000B0770"/>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5A61"/>
    <w:rsid w:val="000D753B"/>
    <w:rsid w:val="000E4C9E"/>
    <w:rsid w:val="000E6FD7"/>
    <w:rsid w:val="000F06E1"/>
    <w:rsid w:val="000F0E3C"/>
    <w:rsid w:val="000F19D5"/>
    <w:rsid w:val="000F4AEA"/>
    <w:rsid w:val="000F633F"/>
    <w:rsid w:val="000F67E9"/>
    <w:rsid w:val="000F6F24"/>
    <w:rsid w:val="00104926"/>
    <w:rsid w:val="00113B1E"/>
    <w:rsid w:val="0011711C"/>
    <w:rsid w:val="0012059C"/>
    <w:rsid w:val="00124E4F"/>
    <w:rsid w:val="001260B7"/>
    <w:rsid w:val="001265CB"/>
    <w:rsid w:val="001317C1"/>
    <w:rsid w:val="001321C6"/>
    <w:rsid w:val="001325C4"/>
    <w:rsid w:val="00133010"/>
    <w:rsid w:val="001331B6"/>
    <w:rsid w:val="001338EE"/>
    <w:rsid w:val="00133AAE"/>
    <w:rsid w:val="00135323"/>
    <w:rsid w:val="001356C4"/>
    <w:rsid w:val="00141114"/>
    <w:rsid w:val="00142969"/>
    <w:rsid w:val="001446C2"/>
    <w:rsid w:val="001457E7"/>
    <w:rsid w:val="00145D9D"/>
    <w:rsid w:val="00146388"/>
    <w:rsid w:val="001529E5"/>
    <w:rsid w:val="00153C7E"/>
    <w:rsid w:val="00156AA0"/>
    <w:rsid w:val="00156B25"/>
    <w:rsid w:val="00156E1A"/>
    <w:rsid w:val="00157405"/>
    <w:rsid w:val="00157894"/>
    <w:rsid w:val="00157B55"/>
    <w:rsid w:val="001642FA"/>
    <w:rsid w:val="001649EB"/>
    <w:rsid w:val="00164BAF"/>
    <w:rsid w:val="00164D39"/>
    <w:rsid w:val="00164E18"/>
    <w:rsid w:val="00164FA8"/>
    <w:rsid w:val="00165065"/>
    <w:rsid w:val="00165434"/>
    <w:rsid w:val="0016580B"/>
    <w:rsid w:val="00165F49"/>
    <w:rsid w:val="00166B88"/>
    <w:rsid w:val="0016770A"/>
    <w:rsid w:val="00170804"/>
    <w:rsid w:val="001708E9"/>
    <w:rsid w:val="0017286F"/>
    <w:rsid w:val="0017340B"/>
    <w:rsid w:val="00173FB1"/>
    <w:rsid w:val="00176DFD"/>
    <w:rsid w:val="00184831"/>
    <w:rsid w:val="001852C9"/>
    <w:rsid w:val="0018552D"/>
    <w:rsid w:val="00186E2C"/>
    <w:rsid w:val="00190087"/>
    <w:rsid w:val="001913C4"/>
    <w:rsid w:val="001932E1"/>
    <w:rsid w:val="0019348F"/>
    <w:rsid w:val="00193A07"/>
    <w:rsid w:val="00194C95"/>
    <w:rsid w:val="00195C34"/>
    <w:rsid w:val="00196992"/>
    <w:rsid w:val="00196EF5"/>
    <w:rsid w:val="001A1A53"/>
    <w:rsid w:val="001A234A"/>
    <w:rsid w:val="001A4CF3"/>
    <w:rsid w:val="001B06E8"/>
    <w:rsid w:val="001B71D0"/>
    <w:rsid w:val="001B71EE"/>
    <w:rsid w:val="001C04A8"/>
    <w:rsid w:val="001C2C03"/>
    <w:rsid w:val="001C3252"/>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0E8"/>
    <w:rsid w:val="0022794E"/>
    <w:rsid w:val="00233D64"/>
    <w:rsid w:val="0023482A"/>
    <w:rsid w:val="002359CB"/>
    <w:rsid w:val="00241EF4"/>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5CB6"/>
    <w:rsid w:val="00266EEB"/>
    <w:rsid w:val="00267EF4"/>
    <w:rsid w:val="00270CAA"/>
    <w:rsid w:val="00270CB8"/>
    <w:rsid w:val="00272B08"/>
    <w:rsid w:val="0027617B"/>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1FCA"/>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2A5A"/>
    <w:rsid w:val="002C3F07"/>
    <w:rsid w:val="002C5278"/>
    <w:rsid w:val="002C7EBB"/>
    <w:rsid w:val="002D06C1"/>
    <w:rsid w:val="002D42B5"/>
    <w:rsid w:val="002D4F1A"/>
    <w:rsid w:val="002D6EC6"/>
    <w:rsid w:val="002D79AC"/>
    <w:rsid w:val="002E039D"/>
    <w:rsid w:val="002E4D5A"/>
    <w:rsid w:val="002E6326"/>
    <w:rsid w:val="002E7F75"/>
    <w:rsid w:val="002F30E0"/>
    <w:rsid w:val="002F35E4"/>
    <w:rsid w:val="002F3730"/>
    <w:rsid w:val="002F38E1"/>
    <w:rsid w:val="002F7AF6"/>
    <w:rsid w:val="00300E63"/>
    <w:rsid w:val="003026BB"/>
    <w:rsid w:val="00302F5F"/>
    <w:rsid w:val="0030441D"/>
    <w:rsid w:val="00305E1A"/>
    <w:rsid w:val="00306063"/>
    <w:rsid w:val="00313B85"/>
    <w:rsid w:val="00317988"/>
    <w:rsid w:val="00317E15"/>
    <w:rsid w:val="003221B4"/>
    <w:rsid w:val="0032258D"/>
    <w:rsid w:val="00322E62"/>
    <w:rsid w:val="00324D13"/>
    <w:rsid w:val="00324D2A"/>
    <w:rsid w:val="00324EDD"/>
    <w:rsid w:val="003331E4"/>
    <w:rsid w:val="00333BCE"/>
    <w:rsid w:val="00336C64"/>
    <w:rsid w:val="00337162"/>
    <w:rsid w:val="0034194F"/>
    <w:rsid w:val="0034384D"/>
    <w:rsid w:val="00344605"/>
    <w:rsid w:val="003474AA"/>
    <w:rsid w:val="00350D1D"/>
    <w:rsid w:val="00352C83"/>
    <w:rsid w:val="00355753"/>
    <w:rsid w:val="003615D2"/>
    <w:rsid w:val="0036429C"/>
    <w:rsid w:val="00364A53"/>
    <w:rsid w:val="003654CB"/>
    <w:rsid w:val="00365AA9"/>
    <w:rsid w:val="00365F86"/>
    <w:rsid w:val="00365F87"/>
    <w:rsid w:val="00366E89"/>
    <w:rsid w:val="003705F4"/>
    <w:rsid w:val="00370D58"/>
    <w:rsid w:val="00371316"/>
    <w:rsid w:val="00372B87"/>
    <w:rsid w:val="00373177"/>
    <w:rsid w:val="00376713"/>
    <w:rsid w:val="00381815"/>
    <w:rsid w:val="003819AF"/>
    <w:rsid w:val="003820E9"/>
    <w:rsid w:val="00382DE7"/>
    <w:rsid w:val="00384FFC"/>
    <w:rsid w:val="003872FC"/>
    <w:rsid w:val="00387A7A"/>
    <w:rsid w:val="00387ADC"/>
    <w:rsid w:val="00390020"/>
    <w:rsid w:val="003903D6"/>
    <w:rsid w:val="00390EE6"/>
    <w:rsid w:val="0039118F"/>
    <w:rsid w:val="00391285"/>
    <w:rsid w:val="00392AD7"/>
    <w:rsid w:val="003938D9"/>
    <w:rsid w:val="00394376"/>
    <w:rsid w:val="003943FF"/>
    <w:rsid w:val="00395700"/>
    <w:rsid w:val="003974EB"/>
    <w:rsid w:val="003979FA"/>
    <w:rsid w:val="00397CC5"/>
    <w:rsid w:val="003A1582"/>
    <w:rsid w:val="003A4077"/>
    <w:rsid w:val="003B09AD"/>
    <w:rsid w:val="003B1F18"/>
    <w:rsid w:val="003B3F43"/>
    <w:rsid w:val="003B5BF0"/>
    <w:rsid w:val="003B60BF"/>
    <w:rsid w:val="003B6BE3"/>
    <w:rsid w:val="003C010C"/>
    <w:rsid w:val="003C0A6C"/>
    <w:rsid w:val="003C14F8"/>
    <w:rsid w:val="003C2F6B"/>
    <w:rsid w:val="003C5A43"/>
    <w:rsid w:val="003D0519"/>
    <w:rsid w:val="003D0FF6"/>
    <w:rsid w:val="003D262C"/>
    <w:rsid w:val="003D3A92"/>
    <w:rsid w:val="003D54E8"/>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23FE"/>
    <w:rsid w:val="00432DAA"/>
    <w:rsid w:val="00434305"/>
    <w:rsid w:val="00435DF7"/>
    <w:rsid w:val="0044083F"/>
    <w:rsid w:val="00441AE7"/>
    <w:rsid w:val="00445574"/>
    <w:rsid w:val="004467FB"/>
    <w:rsid w:val="00452D6B"/>
    <w:rsid w:val="00454484"/>
    <w:rsid w:val="0045517B"/>
    <w:rsid w:val="00455D81"/>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0429"/>
    <w:rsid w:val="004A12DF"/>
    <w:rsid w:val="004A17E6"/>
    <w:rsid w:val="004A1BA8"/>
    <w:rsid w:val="004A4B57"/>
    <w:rsid w:val="004A5393"/>
    <w:rsid w:val="004A63FA"/>
    <w:rsid w:val="004B0272"/>
    <w:rsid w:val="004B2701"/>
    <w:rsid w:val="004B2E1B"/>
    <w:rsid w:val="004B3A32"/>
    <w:rsid w:val="004B3AA8"/>
    <w:rsid w:val="004B3E93"/>
    <w:rsid w:val="004B7DA2"/>
    <w:rsid w:val="004C1FBC"/>
    <w:rsid w:val="004C3F1D"/>
    <w:rsid w:val="004C458D"/>
    <w:rsid w:val="004C6A7C"/>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1C5"/>
    <w:rsid w:val="00505577"/>
    <w:rsid w:val="00505767"/>
    <w:rsid w:val="005073F0"/>
    <w:rsid w:val="00510A7B"/>
    <w:rsid w:val="0051247C"/>
    <w:rsid w:val="00512F6E"/>
    <w:rsid w:val="00513038"/>
    <w:rsid w:val="00514174"/>
    <w:rsid w:val="00516088"/>
    <w:rsid w:val="00516B0B"/>
    <w:rsid w:val="00520CA5"/>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612"/>
    <w:rsid w:val="005479DA"/>
    <w:rsid w:val="00547BCC"/>
    <w:rsid w:val="0055013B"/>
    <w:rsid w:val="00551F6F"/>
    <w:rsid w:val="00555044"/>
    <w:rsid w:val="0055680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978BF"/>
    <w:rsid w:val="005A0966"/>
    <w:rsid w:val="005A11B7"/>
    <w:rsid w:val="005A260B"/>
    <w:rsid w:val="005A4A1B"/>
    <w:rsid w:val="005A7830"/>
    <w:rsid w:val="005A7FCE"/>
    <w:rsid w:val="005B0F3F"/>
    <w:rsid w:val="005B261F"/>
    <w:rsid w:val="005B4903"/>
    <w:rsid w:val="005B51CE"/>
    <w:rsid w:val="005B5885"/>
    <w:rsid w:val="005B5CD7"/>
    <w:rsid w:val="005B6CF6"/>
    <w:rsid w:val="005B7422"/>
    <w:rsid w:val="005C0C68"/>
    <w:rsid w:val="005C29B8"/>
    <w:rsid w:val="005C5F21"/>
    <w:rsid w:val="005C7156"/>
    <w:rsid w:val="005D0ADF"/>
    <w:rsid w:val="005D0C75"/>
    <w:rsid w:val="005D2F4E"/>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6B0"/>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53C2"/>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57D8"/>
    <w:rsid w:val="006770F4"/>
    <w:rsid w:val="00677A84"/>
    <w:rsid w:val="0068026D"/>
    <w:rsid w:val="00680A27"/>
    <w:rsid w:val="006816A4"/>
    <w:rsid w:val="006819B8"/>
    <w:rsid w:val="006840A6"/>
    <w:rsid w:val="006850CD"/>
    <w:rsid w:val="00685AAB"/>
    <w:rsid w:val="0069237F"/>
    <w:rsid w:val="00695D22"/>
    <w:rsid w:val="00696E69"/>
    <w:rsid w:val="006A07AA"/>
    <w:rsid w:val="006A25E5"/>
    <w:rsid w:val="006A2B46"/>
    <w:rsid w:val="006A336D"/>
    <w:rsid w:val="006A37B9"/>
    <w:rsid w:val="006A3917"/>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2EA7"/>
    <w:rsid w:val="006D3E96"/>
    <w:rsid w:val="006D43AB"/>
    <w:rsid w:val="006D4515"/>
    <w:rsid w:val="006D4BB1"/>
    <w:rsid w:val="006D6593"/>
    <w:rsid w:val="006E23EA"/>
    <w:rsid w:val="006F03A8"/>
    <w:rsid w:val="006F2ACA"/>
    <w:rsid w:val="006F2ADC"/>
    <w:rsid w:val="006F2BFE"/>
    <w:rsid w:val="006F31E9"/>
    <w:rsid w:val="006F4F12"/>
    <w:rsid w:val="006F6284"/>
    <w:rsid w:val="007002C5"/>
    <w:rsid w:val="00703130"/>
    <w:rsid w:val="00704387"/>
    <w:rsid w:val="00707669"/>
    <w:rsid w:val="00711CBA"/>
    <w:rsid w:val="00711FB5"/>
    <w:rsid w:val="00712A01"/>
    <w:rsid w:val="007138FF"/>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488"/>
    <w:rsid w:val="00746800"/>
    <w:rsid w:val="007501A8"/>
    <w:rsid w:val="00750D61"/>
    <w:rsid w:val="00750EE1"/>
    <w:rsid w:val="00752B4D"/>
    <w:rsid w:val="00755223"/>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171"/>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39D"/>
    <w:rsid w:val="008209E6"/>
    <w:rsid w:val="008219D6"/>
    <w:rsid w:val="00823303"/>
    <w:rsid w:val="008233B2"/>
    <w:rsid w:val="00823A9F"/>
    <w:rsid w:val="00823C85"/>
    <w:rsid w:val="00825138"/>
    <w:rsid w:val="008269DD"/>
    <w:rsid w:val="00830621"/>
    <w:rsid w:val="0083348C"/>
    <w:rsid w:val="00834BE0"/>
    <w:rsid w:val="008373D3"/>
    <w:rsid w:val="00840617"/>
    <w:rsid w:val="00840F84"/>
    <w:rsid w:val="00842A47"/>
    <w:rsid w:val="00843C13"/>
    <w:rsid w:val="008454F8"/>
    <w:rsid w:val="0085173A"/>
    <w:rsid w:val="00856316"/>
    <w:rsid w:val="008603CE"/>
    <w:rsid w:val="008620FC"/>
    <w:rsid w:val="008627A5"/>
    <w:rsid w:val="00863E05"/>
    <w:rsid w:val="008644E7"/>
    <w:rsid w:val="00865ACA"/>
    <w:rsid w:val="00865D28"/>
    <w:rsid w:val="00865E9E"/>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07B13"/>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3FB"/>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9F10B0"/>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033"/>
    <w:rsid w:val="00A4661E"/>
    <w:rsid w:val="00A473F1"/>
    <w:rsid w:val="00A55BD6"/>
    <w:rsid w:val="00A55D50"/>
    <w:rsid w:val="00A57142"/>
    <w:rsid w:val="00A63B93"/>
    <w:rsid w:val="00A648CD"/>
    <w:rsid w:val="00A6537A"/>
    <w:rsid w:val="00A67866"/>
    <w:rsid w:val="00A70B07"/>
    <w:rsid w:val="00A723F8"/>
    <w:rsid w:val="00A75BCE"/>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38AF"/>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E6341"/>
    <w:rsid w:val="00AF0C18"/>
    <w:rsid w:val="00AF47C5"/>
    <w:rsid w:val="00AF5398"/>
    <w:rsid w:val="00B049AF"/>
    <w:rsid w:val="00B07242"/>
    <w:rsid w:val="00B07923"/>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14B"/>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456D"/>
    <w:rsid w:val="00B758BF"/>
    <w:rsid w:val="00B77EC8"/>
    <w:rsid w:val="00B827A6"/>
    <w:rsid w:val="00B831CE"/>
    <w:rsid w:val="00B833D5"/>
    <w:rsid w:val="00B86677"/>
    <w:rsid w:val="00B87131"/>
    <w:rsid w:val="00B939B1"/>
    <w:rsid w:val="00B96D40"/>
    <w:rsid w:val="00B9733D"/>
    <w:rsid w:val="00B97386"/>
    <w:rsid w:val="00B97614"/>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0CE"/>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484"/>
    <w:rsid w:val="00C55A06"/>
    <w:rsid w:val="00C55D03"/>
    <w:rsid w:val="00C601BC"/>
    <w:rsid w:val="00C6044D"/>
    <w:rsid w:val="00C61642"/>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109"/>
    <w:rsid w:val="00CB1A42"/>
    <w:rsid w:val="00CB1B0C"/>
    <w:rsid w:val="00CB2C0B"/>
    <w:rsid w:val="00CB517D"/>
    <w:rsid w:val="00CC038D"/>
    <w:rsid w:val="00CC08DB"/>
    <w:rsid w:val="00CC39FF"/>
    <w:rsid w:val="00CC3C2F"/>
    <w:rsid w:val="00CC470C"/>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2CF6"/>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1C8"/>
    <w:rsid w:val="00D20737"/>
    <w:rsid w:val="00D21E81"/>
    <w:rsid w:val="00D223DE"/>
    <w:rsid w:val="00D251E1"/>
    <w:rsid w:val="00D2565F"/>
    <w:rsid w:val="00D25E37"/>
    <w:rsid w:val="00D2661A"/>
    <w:rsid w:val="00D27582"/>
    <w:rsid w:val="00D27EC4"/>
    <w:rsid w:val="00D317F8"/>
    <w:rsid w:val="00D32719"/>
    <w:rsid w:val="00D33333"/>
    <w:rsid w:val="00D33457"/>
    <w:rsid w:val="00D352A2"/>
    <w:rsid w:val="00D3660F"/>
    <w:rsid w:val="00D4162B"/>
    <w:rsid w:val="00D4514F"/>
    <w:rsid w:val="00D451E2"/>
    <w:rsid w:val="00D45E89"/>
    <w:rsid w:val="00D45E8D"/>
    <w:rsid w:val="00D466AE"/>
    <w:rsid w:val="00D4734F"/>
    <w:rsid w:val="00D51BF3"/>
    <w:rsid w:val="00D64EE1"/>
    <w:rsid w:val="00D66846"/>
    <w:rsid w:val="00D675FB"/>
    <w:rsid w:val="00D71F25"/>
    <w:rsid w:val="00D72A9C"/>
    <w:rsid w:val="00D73A25"/>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07D8"/>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06D6B"/>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8DE"/>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4CEC"/>
    <w:rsid w:val="00EA58D1"/>
    <w:rsid w:val="00EA61BC"/>
    <w:rsid w:val="00EA681A"/>
    <w:rsid w:val="00EA735B"/>
    <w:rsid w:val="00EB17DE"/>
    <w:rsid w:val="00EB1E69"/>
    <w:rsid w:val="00EB2086"/>
    <w:rsid w:val="00EB328D"/>
    <w:rsid w:val="00EB5EDF"/>
    <w:rsid w:val="00EB60FE"/>
    <w:rsid w:val="00EB74DB"/>
    <w:rsid w:val="00EC178A"/>
    <w:rsid w:val="00EC5359"/>
    <w:rsid w:val="00EC562A"/>
    <w:rsid w:val="00ED067A"/>
    <w:rsid w:val="00ED2B50"/>
    <w:rsid w:val="00EE0350"/>
    <w:rsid w:val="00EE0719"/>
    <w:rsid w:val="00EE0E80"/>
    <w:rsid w:val="00EE26CD"/>
    <w:rsid w:val="00EE54A6"/>
    <w:rsid w:val="00EE613F"/>
    <w:rsid w:val="00EE7295"/>
    <w:rsid w:val="00EE7869"/>
    <w:rsid w:val="00EF054A"/>
    <w:rsid w:val="00EF3235"/>
    <w:rsid w:val="00EF4BAC"/>
    <w:rsid w:val="00EF589E"/>
    <w:rsid w:val="00EF7C07"/>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06F7"/>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243D"/>
    <w:rsid w:val="00F93A8A"/>
    <w:rsid w:val="00F95248"/>
    <w:rsid w:val="00F956A9"/>
    <w:rsid w:val="00F963ED"/>
    <w:rsid w:val="00F966CF"/>
    <w:rsid w:val="00F96CAE"/>
    <w:rsid w:val="00F97C99"/>
    <w:rsid w:val="00FA0B35"/>
    <w:rsid w:val="00FA4DAC"/>
    <w:rsid w:val="00FA662D"/>
    <w:rsid w:val="00FA73B1"/>
    <w:rsid w:val="00FB0CB9"/>
    <w:rsid w:val="00FB231D"/>
    <w:rsid w:val="00FB45F1"/>
    <w:rsid w:val="00FB4A72"/>
    <w:rsid w:val="00FB54E8"/>
    <w:rsid w:val="00FB7054"/>
    <w:rsid w:val="00FC17B7"/>
    <w:rsid w:val="00FC2CB7"/>
    <w:rsid w:val="00FC4090"/>
    <w:rsid w:val="00FC41B2"/>
    <w:rsid w:val="00FC55B4"/>
    <w:rsid w:val="00FD00E6"/>
    <w:rsid w:val="00FD09A1"/>
    <w:rsid w:val="00FD2A7C"/>
    <w:rsid w:val="00FD59EB"/>
    <w:rsid w:val="00FD7299"/>
    <w:rsid w:val="00FE1D28"/>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qFormat="1" w:uiPriority="39" w:semiHidden="0" w:name="toc 4"/>
    <w:lsdException w:uiPriority="39" w:semiHidden="0" w:name="toc 5"/>
    <w:lsdException w:qFormat="1" w:uiPriority="39" w:semiHidden="0" w:name="toc 6"/>
    <w:lsdException w:uiPriority="39" w:semiHidden="0" w:name="toc 7"/>
    <w:lsdException w:uiPriority="0" w:name="toc 8"/>
    <w:lsdException w:uiPriority="0" w:name="toc 9"/>
    <w:lsdException w:qFormat="1" w:unhideWhenUsed="0" w:uiPriority="0" w:semiHidden="0" w:name="Normal Indent"/>
    <w:lsdException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7"/>
    <w:qFormat/>
    <w:uiPriority w:val="0"/>
    <w:pPr>
      <w:spacing w:after="120"/>
    </w:pPr>
  </w:style>
  <w:style w:type="paragraph" w:styleId="14">
    <w:name w:val="toc 5"/>
    <w:basedOn w:val="1"/>
    <w:next w:val="1"/>
    <w:autoRedefine/>
    <w:unhideWhenUsed/>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Date"/>
    <w:basedOn w:val="1"/>
    <w:next w:val="1"/>
    <w:link w:val="236"/>
    <w:semiHidden/>
    <w:unhideWhenUsed/>
    <w:qFormat/>
    <w:uiPriority w:val="99"/>
    <w:pPr>
      <w:widowControl/>
      <w:kinsoku w:val="0"/>
      <w:autoSpaceDE w:val="0"/>
      <w:autoSpaceDN w:val="0"/>
      <w:snapToGrid w:val="0"/>
      <w:spacing w:line="240" w:lineRule="auto"/>
      <w:ind w:left="100" w:leftChars="2500"/>
      <w:jc w:val="left"/>
      <w:textAlignment w:val="baseline"/>
    </w:pPr>
    <w:rPr>
      <w:rFonts w:ascii="Arial" w:hAnsi="Arial" w:cs="Arial" w:eastAsiaTheme="minorEastAsia"/>
      <w:snapToGrid w:val="0"/>
      <w:color w:val="000000"/>
      <w:kern w:val="0"/>
      <w:lang w:eastAsia="en-US"/>
    </w:rPr>
  </w:style>
  <w:style w:type="paragraph" w:styleId="17">
    <w:name w:val="Balloon Text"/>
    <w:basedOn w:val="1"/>
    <w:link w:val="46"/>
    <w:semiHidden/>
    <w:unhideWhenUsed/>
    <w:qFormat/>
    <w:uiPriority w:val="99"/>
    <w:rPr>
      <w:sz w:val="18"/>
      <w:szCs w:val="18"/>
    </w:rPr>
  </w:style>
  <w:style w:type="paragraph" w:styleId="18">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4"/>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uiPriority w:val="0"/>
    <w:pPr>
      <w:adjustRightInd/>
      <w:spacing w:line="240" w:lineRule="auto"/>
      <w:jc w:val="left"/>
    </w:pPr>
    <w:rPr>
      <w:szCs w:val="24"/>
    </w:rPr>
  </w:style>
  <w:style w:type="paragraph" w:styleId="25">
    <w:name w:val="toc 2"/>
    <w:basedOn w:val="1"/>
    <w:next w:val="1"/>
    <w:autoRedefine/>
    <w:unhideWhenUsed/>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uiPriority w:val="0"/>
    <w:rPr>
      <w:rFonts w:ascii="宋体" w:hAnsi="宋体" w:eastAsia="宋体" w:cs="Times New Roman"/>
      <w:spacing w:val="0"/>
      <w:sz w:val="18"/>
      <w:vertAlign w:val="superscript"/>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9"/>
    <w:qFormat/>
    <w:uiPriority w:val="99"/>
    <w:rPr>
      <w:kern w:val="2"/>
      <w:sz w:val="18"/>
      <w:szCs w:val="18"/>
    </w:rPr>
  </w:style>
  <w:style w:type="character" w:customStyle="1" w:styleId="45">
    <w:name w:val="页脚 字符"/>
    <w:link w:val="18"/>
    <w:qFormat/>
    <w:uiPriority w:val="99"/>
    <w:rPr>
      <w:rFonts w:ascii="宋体"/>
      <w:kern w:val="2"/>
      <w:sz w:val="18"/>
      <w:szCs w:val="18"/>
    </w:rPr>
  </w:style>
  <w:style w:type="character" w:customStyle="1" w:styleId="46">
    <w:name w:val="批注框文本 字符"/>
    <w:link w:val="17"/>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link w:val="235"/>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4"/>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0"/>
        <w:numId w:val="0"/>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5"/>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5"/>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3"/>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uiPriority w:val="0"/>
    <w:pPr>
      <w:widowControl/>
      <w:numPr>
        <w:ilvl w:val="4"/>
      </w:numPr>
      <w:outlineLvl w:val="3"/>
    </w:pPr>
  </w:style>
  <w:style w:type="character" w:customStyle="1" w:styleId="96">
    <w:name w:val="Subtle Reference"/>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2"/>
    <w:semiHidden/>
    <w:qFormat/>
    <w:uiPriority w:val="0"/>
    <w:rPr>
      <w:rFonts w:ascii="宋体"/>
      <w:kern w:val="2"/>
      <w:sz w:val="18"/>
      <w:szCs w:val="18"/>
    </w:rPr>
  </w:style>
  <w:style w:type="paragraph" w:customStyle="1" w:styleId="101">
    <w:name w:val="标准文件_条文脚注"/>
    <w:basedOn w:val="22"/>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uiPriority w:val="0"/>
    <w:pPr>
      <w:outlineLvl w:val="5"/>
    </w:pPr>
  </w:style>
  <w:style w:type="paragraph" w:customStyle="1" w:styleId="132">
    <w:name w:val="附录图"/>
    <w:next w:val="57"/>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autoRedefine/>
    <w:semiHidden/>
    <w:uiPriority w:val="0"/>
    <w:pPr>
      <w:adjustRightInd/>
      <w:spacing w:line="240" w:lineRule="auto"/>
      <w:jc w:val="left"/>
    </w:pPr>
    <w:rPr>
      <w:bCs/>
      <w:iCs/>
    </w:rPr>
  </w:style>
  <w:style w:type="paragraph" w:customStyle="1" w:styleId="144">
    <w:name w:val="目录 31"/>
    <w:basedOn w:val="1"/>
    <w:next w:val="1"/>
    <w:autoRedefine/>
    <w:semiHidden/>
    <w:qFormat/>
    <w:uiPriority w:val="0"/>
    <w:pPr>
      <w:spacing w:line="240" w:lineRule="auto"/>
    </w:pPr>
    <w:rPr>
      <w:rFonts w:ascii="宋体" w:hAnsi="宋体"/>
      <w:iCs/>
    </w:rPr>
  </w:style>
  <w:style w:type="paragraph" w:customStyle="1" w:styleId="145">
    <w:name w:val="目录 41"/>
    <w:basedOn w:val="1"/>
    <w:next w:val="1"/>
    <w:autoRedefine/>
    <w:semiHidden/>
    <w:uiPriority w:val="0"/>
    <w:pPr>
      <w:adjustRightInd/>
      <w:spacing w:line="240" w:lineRule="auto"/>
      <w:jc w:val="left"/>
    </w:pPr>
  </w:style>
  <w:style w:type="paragraph" w:customStyle="1" w:styleId="146">
    <w:name w:val="目录 51"/>
    <w:basedOn w:val="1"/>
    <w:next w:val="1"/>
    <w:autoRedefine/>
    <w:semiHidden/>
    <w:uiPriority w:val="0"/>
    <w:pPr>
      <w:spacing w:line="240" w:lineRule="auto"/>
    </w:pPr>
    <w:rPr>
      <w:rFonts w:ascii="宋体" w:hAnsi="宋体"/>
    </w:rPr>
  </w:style>
  <w:style w:type="paragraph" w:customStyle="1" w:styleId="147">
    <w:name w:val="目录 61"/>
    <w:basedOn w:val="1"/>
    <w:next w:val="1"/>
    <w:autoRedefine/>
    <w:semiHidden/>
    <w:qFormat/>
    <w:uiPriority w:val="0"/>
    <w:pPr>
      <w:adjustRightInd/>
      <w:spacing w:line="240" w:lineRule="auto"/>
      <w:jc w:val="left"/>
    </w:pPr>
  </w:style>
  <w:style w:type="paragraph" w:customStyle="1" w:styleId="148">
    <w:name w:val="目录 71"/>
    <w:basedOn w:val="147"/>
    <w:autoRedefine/>
    <w:semiHidden/>
    <w:uiPriority w:val="0"/>
    <w:pPr>
      <w:ind w:left="1260"/>
    </w:pPr>
  </w:style>
  <w:style w:type="paragraph" w:customStyle="1" w:styleId="149">
    <w:name w:val="目录 81"/>
    <w:basedOn w:val="148"/>
    <w:autoRedefine/>
    <w:semiHidden/>
    <w:uiPriority w:val="0"/>
    <w:pPr>
      <w:ind w:left="1470"/>
    </w:pPr>
  </w:style>
  <w:style w:type="paragraph" w:customStyle="1" w:styleId="150">
    <w:name w:val="目录 91"/>
    <w:basedOn w:val="149"/>
    <w:autoRedefine/>
    <w:semiHidden/>
    <w:qFormat/>
    <w:uiPriority w:val="0"/>
    <w:pPr>
      <w:ind w:left="1680"/>
    </w:pPr>
  </w:style>
  <w:style w:type="paragraph" w:customStyle="1" w:styleId="151">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uiPriority w:val="0"/>
    <w:pPr>
      <w:jc w:val="both"/>
    </w:pPr>
    <w:rPr>
      <w:rFonts w:ascii="宋体" w:hAnsi="宋体" w:eastAsia="宋体" w:cs="Times New Roman"/>
      <w:sz w:val="21"/>
      <w:lang w:val="en-US" w:eastAsia="zh-CN" w:bidi="ar-SA"/>
    </w:rPr>
  </w:style>
  <w:style w:type="paragraph" w:customStyle="1" w:styleId="159">
    <w:name w:val="五级无标题条"/>
    <w:basedOn w:val="1"/>
    <w:uiPriority w:val="0"/>
    <w:p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frame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4"/>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spacing w:before="50" w:beforeLines="50" w:after="50" w:afterLines="50"/>
      <w:ind w:firstLine="0" w:firstLineChars="0"/>
    </w:pPr>
    <w:rPr>
      <w:rFonts w:ascii="黑体" w:eastAsia="黑体"/>
    </w:rPr>
  </w:style>
  <w:style w:type="paragraph" w:customStyle="1" w:styleId="202">
    <w:name w:val="标准文件_引言二级条标题"/>
    <w:basedOn w:val="57"/>
    <w:next w:val="57"/>
    <w:qFormat/>
    <w:uiPriority w:val="0"/>
    <w:pPr>
      <w:spacing w:before="50" w:beforeLines="50" w:after="50" w:afterLines="50"/>
      <w:ind w:firstLine="0" w:firstLineChars="0"/>
    </w:pPr>
    <w:rPr>
      <w:rFonts w:ascii="黑体" w:eastAsia="黑体"/>
    </w:rPr>
  </w:style>
  <w:style w:type="paragraph" w:customStyle="1" w:styleId="203">
    <w:name w:val="标准文件_引言三级条标题"/>
    <w:basedOn w:val="57"/>
    <w:next w:val="57"/>
    <w:qFormat/>
    <w:uiPriority w:val="0"/>
    <w:pPr>
      <w:spacing w:before="50" w:beforeLines="50" w:after="50" w:afterLines="50"/>
      <w:ind w:firstLine="0"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 w:type="paragraph" w:customStyle="1" w:styleId="231">
    <w:name w:val="段"/>
    <w:link w:val="23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2">
    <w:name w:val="段 Char"/>
    <w:link w:val="231"/>
    <w:qFormat/>
    <w:uiPriority w:val="0"/>
    <w:rPr>
      <w:rFonts w:ascii="宋体" w:hAnsi="Times New Roman"/>
      <w:sz w:val="21"/>
    </w:rPr>
  </w:style>
  <w:style w:type="table" w:customStyle="1" w:styleId="233">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234">
    <w:name w:val="Table Text"/>
    <w:basedOn w:val="1"/>
    <w:semiHidden/>
    <w:qFormat/>
    <w:uiPriority w:val="0"/>
    <w:pPr>
      <w:widowControl/>
      <w:kinsoku w:val="0"/>
      <w:autoSpaceDE w:val="0"/>
      <w:autoSpaceDN w:val="0"/>
      <w:snapToGrid w:val="0"/>
      <w:spacing w:line="240" w:lineRule="auto"/>
      <w:jc w:val="left"/>
      <w:textAlignment w:val="baseline"/>
    </w:pPr>
    <w:rPr>
      <w:rFonts w:ascii="宋体" w:hAnsi="宋体" w:cs="宋体"/>
      <w:snapToGrid w:val="0"/>
      <w:color w:val="000000"/>
      <w:kern w:val="0"/>
      <w:sz w:val="18"/>
      <w:szCs w:val="18"/>
      <w:lang w:eastAsia="en-US"/>
    </w:rPr>
  </w:style>
  <w:style w:type="character" w:customStyle="1" w:styleId="235">
    <w:name w:val="标准文件_二级条标题 Char"/>
    <w:link w:val="66"/>
    <w:qFormat/>
    <w:uiPriority w:val="0"/>
    <w:rPr>
      <w:rFonts w:ascii="黑体" w:hAnsi="Times New Roman" w:eastAsia="黑体"/>
      <w:sz w:val="21"/>
    </w:rPr>
  </w:style>
  <w:style w:type="character" w:customStyle="1" w:styleId="236">
    <w:name w:val="日期 字符"/>
    <w:basedOn w:val="29"/>
    <w:link w:val="16"/>
    <w:semiHidden/>
    <w:uiPriority w:val="99"/>
    <w:rPr>
      <w:rFonts w:ascii="Arial" w:hAnsi="Arial" w:cs="Arial" w:eastAsiaTheme="minorEastAsia"/>
      <w:snapToGrid w:val="0"/>
      <w:color w:val="000000"/>
      <w:sz w:val="21"/>
      <w:szCs w:val="21"/>
      <w:lang w:eastAsia="en-US"/>
    </w:rPr>
  </w:style>
  <w:style w:type="paragraph" w:customStyle="1" w:styleId="237">
    <w:name w:val="Revision"/>
    <w:hidden/>
    <w:semiHidden/>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emf"/><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648F43447B3412CBE506A76AE95ED71"/>
        <w:style w:val=""/>
        <w:category>
          <w:name w:val="常规"/>
          <w:gallery w:val="placeholder"/>
        </w:category>
        <w:types>
          <w:type w:val="bbPlcHdr"/>
        </w:types>
        <w:behaviors>
          <w:behavior w:val="content"/>
        </w:behaviors>
        <w:description w:val=""/>
        <w:guid w:val="{42B82005-D5E7-4EF2-956B-19B0D5BD4827}"/>
      </w:docPartPr>
      <w:docPartBody>
        <w:p w14:paraId="57270EA3">
          <w:pPr>
            <w:pStyle w:val="5"/>
          </w:pPr>
          <w:r>
            <w:rPr>
              <w:rStyle w:val="4"/>
              <w:rFonts w:hint="eastAsia"/>
            </w:rPr>
            <w:t>单击或点击此处输入文字。</w:t>
          </w:r>
        </w:p>
      </w:docPartBody>
    </w:docPart>
    <w:docPart>
      <w:docPartPr>
        <w:name w:val="2FE1EF06F5C14548941A1A31AA9AF5C4"/>
        <w:style w:val=""/>
        <w:category>
          <w:name w:val="常规"/>
          <w:gallery w:val="placeholder"/>
        </w:category>
        <w:types>
          <w:type w:val="bbPlcHdr"/>
        </w:types>
        <w:behaviors>
          <w:behavior w:val="content"/>
        </w:behaviors>
        <w:description w:val=""/>
        <w:guid w:val="{4B76F1FC-75E2-498F-88A4-9B48F186FEAD}"/>
      </w:docPartPr>
      <w:docPartBody>
        <w:p w14:paraId="28B85A21">
          <w:pPr>
            <w:pStyle w:val="6"/>
          </w:pPr>
          <w:r>
            <w:rPr>
              <w:rStyle w:val="4"/>
              <w:rFonts w:hint="eastAsia"/>
            </w:rPr>
            <w:t>选择一项。</w:t>
          </w:r>
        </w:p>
      </w:docPartBody>
    </w:docPart>
    <w:docPart>
      <w:docPartPr>
        <w:name w:val="0206585DF7F74712A17652B398E9099B"/>
        <w:style w:val=""/>
        <w:category>
          <w:name w:val="常规"/>
          <w:gallery w:val="placeholder"/>
        </w:category>
        <w:types>
          <w:type w:val="bbPlcHdr"/>
        </w:types>
        <w:behaviors>
          <w:behavior w:val="content"/>
        </w:behaviors>
        <w:description w:val=""/>
        <w:guid w:val="{826471B0-03D2-4503-86A9-A9409FEAEA2D}"/>
      </w:docPartPr>
      <w:docPartBody>
        <w:p w14:paraId="6C07981D">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E3E"/>
    <w:rsid w:val="00007A09"/>
    <w:rsid w:val="000A6B70"/>
    <w:rsid w:val="0017286F"/>
    <w:rsid w:val="0027617B"/>
    <w:rsid w:val="00427168"/>
    <w:rsid w:val="004B3FC8"/>
    <w:rsid w:val="004E267A"/>
    <w:rsid w:val="005B4D6A"/>
    <w:rsid w:val="005D0ADF"/>
    <w:rsid w:val="005F2875"/>
    <w:rsid w:val="006D2EA7"/>
    <w:rsid w:val="007B328F"/>
    <w:rsid w:val="009F6402"/>
    <w:rsid w:val="00A45D83"/>
    <w:rsid w:val="00A52441"/>
    <w:rsid w:val="00BF614D"/>
    <w:rsid w:val="00D251E1"/>
    <w:rsid w:val="00D2565F"/>
    <w:rsid w:val="00E06D6B"/>
    <w:rsid w:val="00E94E3E"/>
    <w:rsid w:val="00FA02C7"/>
    <w:rsid w:val="00FF5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6648F43447B3412CBE506A76AE95ED71"/>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2FE1EF06F5C14548941A1A31AA9AF5C4"/>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0206585DF7F74712A17652B398E9099B"/>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24</Pages>
  <Words>2230</Words>
  <Characters>2553</Characters>
  <Lines>138</Lines>
  <Paragraphs>38</Paragraphs>
  <TotalTime>8</TotalTime>
  <ScaleCrop>false</ScaleCrop>
  <LinksUpToDate>false</LinksUpToDate>
  <CharactersWithSpaces>2760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2026-10-19T07:11:00Z</dcterms:created>
  <dc:creator>前石</dc:creator>
  <dc:description>&lt;config cover="true" show_menu="true" version="1.0.0" doctype="SDKXY"&gt;_x000d_
&lt;/config&gt;</dc:description>
  <cp:lastModifiedBy>yangbao</cp:lastModifiedBy>
  <cp:lastPrinted>2026-10-19T07:11:00Z</cp:lastPrinted>
  <dcterms:modified xsi:type="dcterms:W3CDTF">2026-10-19T07:19:54Z</dcterms:modified>
  <dc:title>地方标准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eyJoZGlkIjoiYzAyZjI5YWEyNGNiYjc2NTIwZDkyMDc5OGIwZDZiNTEiLCJ1c2VySWQiOiIxNjQ3NjkxMDQ2In0=</vt:lpwstr>
  </property>
  <property fmtid="{D5CDD505-2E9C-101B-9397-08002B2CF9AE}" pid="15" name="KSOProductBuildVer">
    <vt:lpwstr>2052-12.1.0.28802</vt:lpwstr>
  </property>
  <property fmtid="{D5CDD505-2E9C-101B-9397-08002B2CF9AE}" pid="16" name="ICV">
    <vt:lpwstr>D1D7CDB6F28B45BF9D45A002BB01DA04_12</vt:lpwstr>
  </property>
</Properties>
</file>