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D2F8A">
      <w:pPr>
        <w:jc w:val="center"/>
        <w:rPr>
          <w:rFonts w:hint="eastAsia" w:ascii="Times New Roman" w:hAnsi="Times New Roman" w:eastAsia="黑体" w:cs="黑体"/>
          <w:sz w:val="36"/>
          <w:szCs w:val="36"/>
          <w:highlight w:val="none"/>
        </w:rPr>
      </w:pPr>
      <w:bookmarkStart w:id="33" w:name="_GoBack"/>
      <w:bookmarkEnd w:id="33"/>
    </w:p>
    <w:p w14:paraId="56C7C05C">
      <w:pPr>
        <w:spacing w:before="156" w:line="221" w:lineRule="auto"/>
        <w:jc w:val="center"/>
        <w:rPr>
          <w:rFonts w:hint="eastAsia" w:ascii="Times New Roman" w:hAnsi="Times New Roman" w:eastAsia="黑体" w:cs="黑体"/>
          <w:spacing w:val="-6"/>
          <w:sz w:val="48"/>
          <w:szCs w:val="48"/>
          <w:highlight w:val="none"/>
          <w:lang w:eastAsia="zh-CN"/>
        </w:rPr>
      </w:pPr>
    </w:p>
    <w:p w14:paraId="0B984F3C">
      <w:pPr>
        <w:spacing w:before="156" w:line="221" w:lineRule="auto"/>
        <w:jc w:val="center"/>
        <w:rPr>
          <w:rFonts w:hint="eastAsia" w:ascii="Times New Roman" w:hAnsi="Times New Roman" w:eastAsia="黑体" w:cs="黑体"/>
          <w:spacing w:val="-6"/>
          <w:sz w:val="44"/>
          <w:szCs w:val="44"/>
          <w:highlight w:val="none"/>
        </w:rPr>
      </w:pPr>
      <w:r>
        <w:rPr>
          <w:rFonts w:hint="eastAsia" w:ascii="Times New Roman" w:hAnsi="Times New Roman" w:eastAsia="黑体" w:cs="黑体"/>
          <w:color w:val="auto"/>
          <w:spacing w:val="-6"/>
          <w:sz w:val="44"/>
          <w:szCs w:val="44"/>
          <w:highlight w:val="none"/>
          <w:lang w:eastAsia="zh-CN"/>
        </w:rPr>
        <w:t>上海市地方标准化指导性技术文件</w:t>
      </w:r>
    </w:p>
    <w:p w14:paraId="7F9CB51B">
      <w:pPr>
        <w:spacing w:before="156" w:line="221" w:lineRule="auto"/>
        <w:ind w:left="0"/>
        <w:jc w:val="center"/>
        <w:rPr>
          <w:rFonts w:hint="eastAsia" w:ascii="Times New Roman" w:hAnsi="Times New Roman" w:eastAsia="黑体" w:cs="黑体"/>
          <w:b w:val="0"/>
          <w:bCs w:val="0"/>
          <w:spacing w:val="-6"/>
          <w:sz w:val="44"/>
          <w:szCs w:val="44"/>
          <w:highlight w:val="none"/>
          <w:lang w:val="en-US" w:eastAsia="zh-CN"/>
        </w:rPr>
      </w:pPr>
      <w:r>
        <w:rPr>
          <w:rFonts w:hint="eastAsia" w:ascii="Times New Roman" w:hAnsi="Times New Roman" w:eastAsia="黑体" w:cs="黑体"/>
          <w:b w:val="0"/>
          <w:bCs w:val="0"/>
          <w:spacing w:val="-6"/>
          <w:sz w:val="44"/>
          <w:szCs w:val="44"/>
          <w:highlight w:val="none"/>
          <w:lang w:val="en-US" w:eastAsia="zh-CN"/>
        </w:rPr>
        <w:t>《上海市生态河道治理设计指南》</w:t>
      </w:r>
    </w:p>
    <w:p w14:paraId="2816489A">
      <w:pPr>
        <w:spacing w:before="156" w:line="221" w:lineRule="auto"/>
        <w:ind w:left="0"/>
        <w:jc w:val="center"/>
        <w:rPr>
          <w:rFonts w:hint="eastAsia" w:ascii="Times New Roman" w:hAnsi="Times New Roman" w:eastAsia="黑体" w:cs="黑体"/>
          <w:b w:val="0"/>
          <w:bCs w:val="0"/>
          <w:spacing w:val="-6"/>
          <w:sz w:val="44"/>
          <w:szCs w:val="44"/>
          <w:highlight w:val="none"/>
          <w:lang w:val="en-US" w:eastAsia="zh-CN"/>
        </w:rPr>
      </w:pPr>
      <w:r>
        <w:rPr>
          <w:rFonts w:hint="eastAsia" w:ascii="Times New Roman" w:hAnsi="Times New Roman" w:eastAsia="黑体" w:cs="黑体"/>
          <w:b w:val="0"/>
          <w:bCs w:val="0"/>
          <w:spacing w:val="-6"/>
          <w:sz w:val="44"/>
          <w:szCs w:val="44"/>
          <w:highlight w:val="none"/>
          <w:lang w:val="en-US" w:eastAsia="zh-CN"/>
        </w:rPr>
        <w:t>（征求意见稿）</w:t>
      </w:r>
    </w:p>
    <w:p w14:paraId="70144958">
      <w:pPr>
        <w:spacing w:before="156" w:line="221" w:lineRule="auto"/>
        <w:ind w:left="0"/>
        <w:jc w:val="both"/>
        <w:rPr>
          <w:rFonts w:hint="eastAsia" w:ascii="Times New Roman" w:hAnsi="Times New Roman" w:eastAsia="黑体" w:cs="黑体"/>
          <w:b w:val="0"/>
          <w:bCs w:val="0"/>
          <w:spacing w:val="-6"/>
          <w:sz w:val="48"/>
          <w:szCs w:val="48"/>
          <w:highlight w:val="none"/>
          <w:lang w:val="en-US" w:eastAsia="zh-CN"/>
        </w:rPr>
      </w:pPr>
    </w:p>
    <w:p w14:paraId="6584288F">
      <w:pPr>
        <w:spacing w:before="156" w:line="221" w:lineRule="auto"/>
        <w:ind w:left="0"/>
        <w:jc w:val="center"/>
        <w:rPr>
          <w:rFonts w:hint="eastAsia" w:ascii="Times New Roman" w:hAnsi="Times New Roman" w:eastAsia="黑体" w:cs="黑体"/>
          <w:b w:val="0"/>
          <w:bCs w:val="0"/>
          <w:spacing w:val="-6"/>
          <w:sz w:val="36"/>
          <w:szCs w:val="36"/>
          <w:highlight w:val="none"/>
          <w:lang w:val="en-US" w:eastAsia="zh-CN"/>
        </w:rPr>
      </w:pPr>
      <w:r>
        <w:rPr>
          <w:rFonts w:hint="eastAsia" w:ascii="Times New Roman" w:hAnsi="Times New Roman" w:eastAsia="黑体" w:cs="黑体"/>
          <w:b w:val="0"/>
          <w:bCs w:val="0"/>
          <w:spacing w:val="-6"/>
          <w:sz w:val="36"/>
          <w:szCs w:val="36"/>
          <w:highlight w:val="none"/>
          <w:lang w:val="en-US" w:eastAsia="zh-CN"/>
        </w:rPr>
        <w:t>制定编制说明</w:t>
      </w:r>
    </w:p>
    <w:p w14:paraId="704BA44D">
      <w:pPr>
        <w:pStyle w:val="6"/>
        <w:spacing w:line="401" w:lineRule="auto"/>
        <w:jc w:val="center"/>
        <w:rPr>
          <w:rFonts w:ascii="Times New Roman" w:hAnsi="Times New Roman"/>
          <w:highlight w:val="none"/>
        </w:rPr>
      </w:pPr>
    </w:p>
    <w:p w14:paraId="46114305">
      <w:pPr>
        <w:pStyle w:val="6"/>
        <w:spacing w:line="243" w:lineRule="auto"/>
        <w:jc w:val="center"/>
        <w:rPr>
          <w:rFonts w:ascii="Times New Roman" w:hAnsi="Times New Roman"/>
          <w:highlight w:val="none"/>
        </w:rPr>
      </w:pPr>
    </w:p>
    <w:p w14:paraId="7F7D2441">
      <w:pPr>
        <w:pStyle w:val="13"/>
        <w:bidi w:val="0"/>
        <w:rPr>
          <w:rFonts w:ascii="Times New Roman" w:hAnsi="Times New Roman"/>
          <w:highlight w:val="none"/>
        </w:rPr>
      </w:pPr>
    </w:p>
    <w:p w14:paraId="1E560BAC">
      <w:pPr>
        <w:pStyle w:val="13"/>
        <w:bidi w:val="0"/>
        <w:rPr>
          <w:rFonts w:ascii="Times New Roman" w:hAnsi="Times New Roman"/>
          <w:highlight w:val="none"/>
        </w:rPr>
      </w:pPr>
    </w:p>
    <w:p w14:paraId="0377C7A0">
      <w:pPr>
        <w:pStyle w:val="13"/>
        <w:bidi w:val="0"/>
        <w:rPr>
          <w:rFonts w:ascii="Times New Roman" w:hAnsi="Times New Roman"/>
          <w:highlight w:val="none"/>
        </w:rPr>
      </w:pPr>
    </w:p>
    <w:p w14:paraId="64E851FA">
      <w:pPr>
        <w:pStyle w:val="13"/>
        <w:bidi w:val="0"/>
        <w:rPr>
          <w:rFonts w:ascii="Times New Roman" w:hAnsi="Times New Roman"/>
          <w:highlight w:val="none"/>
        </w:rPr>
      </w:pPr>
    </w:p>
    <w:p w14:paraId="6ECBBEA4">
      <w:pPr>
        <w:pStyle w:val="13"/>
        <w:bidi w:val="0"/>
        <w:rPr>
          <w:rFonts w:ascii="Times New Roman" w:hAnsi="Times New Roman"/>
          <w:highlight w:val="none"/>
        </w:rPr>
      </w:pPr>
    </w:p>
    <w:p w14:paraId="70A962A8">
      <w:pPr>
        <w:pStyle w:val="13"/>
        <w:bidi w:val="0"/>
        <w:rPr>
          <w:rFonts w:ascii="Times New Roman" w:hAnsi="Times New Roman"/>
          <w:highlight w:val="none"/>
        </w:rPr>
      </w:pPr>
    </w:p>
    <w:p w14:paraId="67A1209F">
      <w:pPr>
        <w:pStyle w:val="13"/>
        <w:bidi w:val="0"/>
        <w:rPr>
          <w:rFonts w:ascii="Times New Roman" w:hAnsi="Times New Roman"/>
          <w:highlight w:val="none"/>
        </w:rPr>
      </w:pPr>
    </w:p>
    <w:p w14:paraId="119082B6">
      <w:pPr>
        <w:pStyle w:val="13"/>
        <w:bidi w:val="0"/>
        <w:rPr>
          <w:rFonts w:ascii="Times New Roman" w:hAnsi="Times New Roman"/>
          <w:highlight w:val="none"/>
        </w:rPr>
      </w:pPr>
    </w:p>
    <w:p w14:paraId="42EDC4CA">
      <w:pPr>
        <w:pStyle w:val="13"/>
        <w:bidi w:val="0"/>
        <w:rPr>
          <w:rFonts w:ascii="Times New Roman" w:hAnsi="Times New Roman"/>
          <w:highlight w:val="none"/>
        </w:rPr>
      </w:pPr>
    </w:p>
    <w:p w14:paraId="2D1C060E">
      <w:pPr>
        <w:pStyle w:val="13"/>
        <w:bidi w:val="0"/>
        <w:rPr>
          <w:rFonts w:ascii="Times New Roman" w:hAnsi="Times New Roman"/>
          <w:highlight w:val="none"/>
        </w:rPr>
      </w:pPr>
    </w:p>
    <w:p w14:paraId="542AA9AF">
      <w:pPr>
        <w:pStyle w:val="13"/>
        <w:bidi w:val="0"/>
        <w:rPr>
          <w:rFonts w:ascii="Times New Roman" w:hAnsi="Times New Roman"/>
          <w:highlight w:val="none"/>
        </w:rPr>
      </w:pPr>
    </w:p>
    <w:p w14:paraId="798E2B85">
      <w:pPr>
        <w:pStyle w:val="13"/>
        <w:bidi w:val="0"/>
        <w:rPr>
          <w:rFonts w:ascii="Times New Roman" w:hAnsi="Times New Roman"/>
          <w:highlight w:val="none"/>
        </w:rPr>
      </w:pPr>
    </w:p>
    <w:p w14:paraId="620D240D">
      <w:pPr>
        <w:pStyle w:val="13"/>
        <w:bidi w:val="0"/>
        <w:rPr>
          <w:rFonts w:ascii="Times New Roman" w:hAnsi="Times New Roman"/>
          <w:highlight w:val="none"/>
        </w:rPr>
      </w:pPr>
    </w:p>
    <w:p w14:paraId="1B1B6291">
      <w:pPr>
        <w:pStyle w:val="13"/>
        <w:bidi w:val="0"/>
        <w:rPr>
          <w:rFonts w:ascii="Times New Roman" w:hAnsi="Times New Roman"/>
          <w:highlight w:val="none"/>
        </w:rPr>
      </w:pPr>
    </w:p>
    <w:p w14:paraId="1284D9B3">
      <w:pPr>
        <w:pStyle w:val="13"/>
        <w:bidi w:val="0"/>
        <w:rPr>
          <w:rFonts w:ascii="Times New Roman" w:hAnsi="Times New Roman"/>
          <w:highlight w:val="none"/>
        </w:rPr>
      </w:pPr>
    </w:p>
    <w:p w14:paraId="304A0686">
      <w:pPr>
        <w:spacing w:before="91" w:line="224" w:lineRule="auto"/>
        <w:jc w:val="center"/>
        <w:rPr>
          <w:rFonts w:ascii="Times New Roman" w:hAnsi="Times New Roman" w:eastAsia="黑体" w:cs="黑体"/>
          <w:b w:val="0"/>
          <w:bCs w:val="0"/>
          <w:spacing w:val="-5"/>
          <w:sz w:val="28"/>
          <w:szCs w:val="28"/>
          <w:highlight w:val="none"/>
        </w:rPr>
      </w:pPr>
    </w:p>
    <w:p w14:paraId="38B0AA4F">
      <w:pPr>
        <w:spacing w:before="91" w:line="224" w:lineRule="auto"/>
        <w:jc w:val="both"/>
        <w:rPr>
          <w:rFonts w:ascii="Times New Roman" w:hAnsi="Times New Roman" w:eastAsia="黑体" w:cs="黑体"/>
          <w:b w:val="0"/>
          <w:bCs w:val="0"/>
          <w:spacing w:val="-5"/>
          <w:sz w:val="28"/>
          <w:szCs w:val="28"/>
          <w:highlight w:val="none"/>
        </w:rPr>
      </w:pPr>
    </w:p>
    <w:p w14:paraId="129DD8C5">
      <w:pPr>
        <w:spacing w:before="91" w:line="224" w:lineRule="auto"/>
        <w:jc w:val="center"/>
        <w:rPr>
          <w:rFonts w:ascii="Times New Roman" w:hAnsi="Times New Roman" w:eastAsia="黑体" w:cs="黑体"/>
          <w:b w:val="0"/>
          <w:bCs w:val="0"/>
          <w:spacing w:val="-5"/>
          <w:sz w:val="28"/>
          <w:szCs w:val="28"/>
          <w:highlight w:val="none"/>
        </w:rPr>
      </w:pPr>
    </w:p>
    <w:p w14:paraId="7E04BDF3">
      <w:pPr>
        <w:spacing w:before="91" w:line="224" w:lineRule="auto"/>
        <w:jc w:val="center"/>
        <w:rPr>
          <w:rFonts w:hint="eastAsia" w:ascii="Times New Roman" w:hAnsi="Times New Roman" w:eastAsia="黑体"/>
          <w:sz w:val="30"/>
          <w:szCs w:val="30"/>
          <w:highlight w:val="none"/>
          <w:lang w:val="en-US" w:eastAsia="zh-CN"/>
        </w:rPr>
      </w:pPr>
      <w:r>
        <w:rPr>
          <w:rFonts w:ascii="Times New Roman" w:hAnsi="Times New Roman" w:eastAsia="黑体" w:cs="黑体"/>
          <w:b w:val="0"/>
          <w:bCs w:val="0"/>
          <w:spacing w:val="-5"/>
          <w:sz w:val="30"/>
          <w:szCs w:val="30"/>
          <w:highlight w:val="none"/>
        </w:rPr>
        <w:t>二〇二</w:t>
      </w:r>
      <w:r>
        <w:rPr>
          <w:rFonts w:hint="eastAsia" w:ascii="Times New Roman" w:hAnsi="Times New Roman" w:eastAsia="黑体" w:cs="黑体"/>
          <w:b w:val="0"/>
          <w:bCs w:val="0"/>
          <w:spacing w:val="-5"/>
          <w:sz w:val="30"/>
          <w:szCs w:val="30"/>
          <w:highlight w:val="none"/>
          <w:lang w:val="en-US" w:eastAsia="zh-CN"/>
        </w:rPr>
        <w:t>六</w:t>
      </w:r>
      <w:r>
        <w:rPr>
          <w:rFonts w:ascii="Times New Roman" w:hAnsi="Times New Roman" w:eastAsia="黑体" w:cs="黑体"/>
          <w:b w:val="0"/>
          <w:bCs w:val="0"/>
          <w:spacing w:val="-5"/>
          <w:sz w:val="30"/>
          <w:szCs w:val="30"/>
          <w:highlight w:val="none"/>
        </w:rPr>
        <w:t>年</w:t>
      </w:r>
      <w:r>
        <w:rPr>
          <w:rFonts w:hint="eastAsia" w:ascii="Times New Roman" w:hAnsi="Times New Roman" w:eastAsia="黑体" w:cs="黑体"/>
          <w:b w:val="0"/>
          <w:bCs w:val="0"/>
          <w:spacing w:val="-5"/>
          <w:sz w:val="30"/>
          <w:szCs w:val="30"/>
          <w:highlight w:val="none"/>
          <w:lang w:val="en-US" w:eastAsia="zh-CN"/>
        </w:rPr>
        <w:t>九月</w:t>
      </w:r>
    </w:p>
    <w:p w14:paraId="255AC5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color w:val="000000" w:themeColor="text1"/>
          <w:sz w:val="32"/>
          <w:szCs w:val="32"/>
          <w:highlight w:val="none"/>
          <w:lang w:eastAsia="zh-CN"/>
          <w14:textFill>
            <w14:solidFill>
              <w14:schemeClr w14:val="tx1"/>
            </w14:solidFill>
          </w14:textFill>
        </w:rPr>
        <w:sectPr>
          <w:footerReference r:id="rId3" w:type="default"/>
          <w:pgSz w:w="11906" w:h="16838"/>
          <w:pgMar w:top="1440" w:right="1800" w:bottom="1440" w:left="1800" w:header="851" w:footer="992" w:gutter="0"/>
          <w:cols w:space="425" w:num="1"/>
          <w:titlePg/>
          <w:docGrid w:type="lines" w:linePitch="312" w:charSpace="0"/>
        </w:sectPr>
      </w:pPr>
    </w:p>
    <w:p w14:paraId="5B18884B">
      <w:pPr>
        <w:pStyle w:val="9"/>
        <w:tabs>
          <w:tab w:val="right" w:leader="dot" w:pos="8306"/>
        </w:tabs>
        <w:jc w:val="center"/>
        <w:rPr>
          <w:rFonts w:hint="eastAsia" w:ascii="Times New Roman" w:hAnsi="Times New Roman"/>
          <w:b/>
          <w:bCs/>
          <w:color w:val="000000" w:themeColor="text1"/>
          <w:sz w:val="30"/>
          <w:szCs w:val="30"/>
          <w:highlight w:val="none"/>
          <w:lang w:val="en-US" w:eastAsia="zh-CN"/>
          <w14:textFill>
            <w14:solidFill>
              <w14:schemeClr w14:val="tx1"/>
            </w14:solidFill>
          </w14:textFill>
        </w:rPr>
      </w:pPr>
      <w:r>
        <w:rPr>
          <w:rFonts w:hint="eastAsia" w:ascii="Times New Roman" w:hAnsi="Times New Roman"/>
          <w:b/>
          <w:bCs/>
          <w:color w:val="000000" w:themeColor="text1"/>
          <w:sz w:val="30"/>
          <w:szCs w:val="30"/>
          <w:highlight w:val="none"/>
          <w:lang w:val="en-US" w:eastAsia="zh-CN"/>
          <w14:textFill>
            <w14:solidFill>
              <w14:schemeClr w14:val="tx1"/>
            </w14:solidFill>
          </w14:textFill>
        </w:rPr>
        <w:t>目 录</w:t>
      </w:r>
    </w:p>
    <w:p w14:paraId="38D68FE0">
      <w:pPr>
        <w:pStyle w:val="9"/>
        <w:tabs>
          <w:tab w:val="right" w:leader="dot" w:pos="8306"/>
        </w:tabs>
        <w:rPr>
          <w:rFonts w:hint="eastAsia" w:ascii="宋体" w:hAnsi="宋体" w:eastAsia="宋体" w:cs="宋体"/>
          <w:sz w:val="28"/>
          <w:szCs w:val="28"/>
        </w:rPr>
      </w:pP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begin"/>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instrText xml:space="preserve">TOC \o "1-2" \h \u </w:instrText>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separate"/>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begin"/>
      </w:r>
      <w:r>
        <w:rPr>
          <w:rFonts w:hint="eastAsia" w:ascii="宋体" w:hAnsi="宋体" w:eastAsia="宋体" w:cs="宋体"/>
          <w:sz w:val="28"/>
          <w:szCs w:val="28"/>
          <w:highlight w:val="none"/>
          <w:shd w:val="clear" w:color="FFFFFF" w:fill="D9D9D9"/>
          <w:lang w:eastAsia="zh-CN"/>
        </w:rPr>
        <w:instrText xml:space="preserve"> HYPERLINK \l _Toc20687 </w:instrText>
      </w:r>
      <w:r>
        <w:rPr>
          <w:rFonts w:hint="eastAsia" w:ascii="宋体" w:hAnsi="宋体" w:eastAsia="宋体" w:cs="宋体"/>
          <w:sz w:val="28"/>
          <w:szCs w:val="28"/>
          <w:highlight w:val="none"/>
          <w:shd w:val="clear" w:color="FFFFFF" w:fill="D9D9D9"/>
          <w:lang w:eastAsia="zh-CN"/>
        </w:rPr>
        <w:fldChar w:fldCharType="separate"/>
      </w:r>
      <w:r>
        <w:rPr>
          <w:rFonts w:hint="eastAsia" w:ascii="宋体" w:hAnsi="宋体" w:eastAsia="宋体" w:cs="宋体"/>
          <w:sz w:val="28"/>
          <w:szCs w:val="28"/>
          <w:lang w:val="en-US" w:eastAsia="zh-CN"/>
        </w:rPr>
        <w:t xml:space="preserve">一、 </w:t>
      </w:r>
      <w:r>
        <w:rPr>
          <w:rFonts w:hint="eastAsia" w:ascii="宋体" w:hAnsi="宋体" w:eastAsia="宋体" w:cs="宋体"/>
          <w:sz w:val="28"/>
          <w:szCs w:val="28"/>
          <w:highlight w:val="none"/>
          <w:lang w:val="en-US" w:eastAsia="zh-CN"/>
        </w:rPr>
        <w:t>工作简况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_Toc20687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end"/>
      </w:r>
    </w:p>
    <w:p w14:paraId="52F79258">
      <w:pPr>
        <w:pStyle w:val="9"/>
        <w:tabs>
          <w:tab w:val="right" w:leader="dot" w:pos="8306"/>
        </w:tabs>
        <w:rPr>
          <w:rFonts w:hint="eastAsia" w:ascii="宋体" w:hAnsi="宋体" w:eastAsia="宋体" w:cs="宋体"/>
          <w:sz w:val="28"/>
          <w:szCs w:val="28"/>
        </w:rPr>
      </w:pP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begin"/>
      </w:r>
      <w:r>
        <w:rPr>
          <w:rFonts w:hint="eastAsia" w:ascii="宋体" w:hAnsi="宋体" w:eastAsia="宋体" w:cs="宋体"/>
          <w:sz w:val="28"/>
          <w:szCs w:val="28"/>
          <w:highlight w:val="none"/>
          <w:shd w:val="clear" w:color="FFFFFF" w:fill="D9D9D9"/>
          <w:lang w:eastAsia="zh-CN"/>
        </w:rPr>
        <w:instrText xml:space="preserve"> HYPERLINK \l _Toc29864 </w:instrText>
      </w:r>
      <w:r>
        <w:rPr>
          <w:rFonts w:hint="eastAsia" w:ascii="宋体" w:hAnsi="宋体" w:eastAsia="宋体" w:cs="宋体"/>
          <w:sz w:val="28"/>
          <w:szCs w:val="28"/>
          <w:highlight w:val="none"/>
          <w:shd w:val="clear" w:color="FFFFFF" w:fill="D9D9D9"/>
          <w:lang w:eastAsia="zh-CN"/>
        </w:rPr>
        <w:fldChar w:fldCharType="separate"/>
      </w:r>
      <w:r>
        <w:rPr>
          <w:rFonts w:hint="eastAsia" w:ascii="宋体" w:hAnsi="宋体" w:eastAsia="宋体" w:cs="宋体"/>
          <w:bCs/>
          <w:sz w:val="28"/>
          <w:szCs w:val="28"/>
          <w:lang w:val="en-US" w:eastAsia="zh-CN"/>
        </w:rPr>
        <w:t xml:space="preserve">二、 </w:t>
      </w:r>
      <w:r>
        <w:rPr>
          <w:rFonts w:hint="eastAsia" w:ascii="宋体" w:hAnsi="宋体" w:eastAsia="宋体" w:cs="宋体"/>
          <w:bCs/>
          <w:sz w:val="28"/>
          <w:szCs w:val="28"/>
          <w:highlight w:val="none"/>
          <w:lang w:val="en-US" w:eastAsia="zh-CN"/>
        </w:rPr>
        <w:t>编制原则及主要制定内容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_Toc29864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end"/>
      </w:r>
    </w:p>
    <w:p w14:paraId="425FE42B">
      <w:pPr>
        <w:pStyle w:val="9"/>
        <w:tabs>
          <w:tab w:val="right" w:leader="dot" w:pos="8306"/>
        </w:tabs>
        <w:rPr>
          <w:rFonts w:hint="eastAsia" w:ascii="宋体" w:hAnsi="宋体" w:eastAsia="宋体" w:cs="宋体"/>
          <w:sz w:val="28"/>
          <w:szCs w:val="28"/>
        </w:rPr>
      </w:pP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begin"/>
      </w:r>
      <w:r>
        <w:rPr>
          <w:rFonts w:hint="eastAsia" w:ascii="宋体" w:hAnsi="宋体" w:eastAsia="宋体" w:cs="宋体"/>
          <w:sz w:val="28"/>
          <w:szCs w:val="28"/>
          <w:highlight w:val="none"/>
          <w:shd w:val="clear" w:color="FFFFFF" w:fill="D9D9D9"/>
          <w:lang w:eastAsia="zh-CN"/>
        </w:rPr>
        <w:instrText xml:space="preserve"> HYPERLINK \l _Toc28097 </w:instrText>
      </w:r>
      <w:r>
        <w:rPr>
          <w:rFonts w:hint="eastAsia" w:ascii="宋体" w:hAnsi="宋体" w:eastAsia="宋体" w:cs="宋体"/>
          <w:sz w:val="28"/>
          <w:szCs w:val="28"/>
          <w:highlight w:val="none"/>
          <w:shd w:val="clear" w:color="FFFFFF" w:fill="D9D9D9"/>
          <w:lang w:eastAsia="zh-CN"/>
        </w:rPr>
        <w:fldChar w:fldCharType="separate"/>
      </w:r>
      <w:r>
        <w:rPr>
          <w:rFonts w:hint="eastAsia" w:ascii="宋体" w:hAnsi="宋体" w:eastAsia="宋体" w:cs="宋体"/>
          <w:sz w:val="28"/>
          <w:szCs w:val="28"/>
          <w:lang w:val="en-US" w:eastAsia="zh-CN"/>
        </w:rPr>
        <w:t xml:space="preserve">三、 </w:t>
      </w:r>
      <w:r>
        <w:rPr>
          <w:rFonts w:hint="eastAsia" w:ascii="宋体" w:hAnsi="宋体" w:eastAsia="宋体" w:cs="宋体"/>
          <w:sz w:val="28"/>
          <w:szCs w:val="28"/>
          <w:highlight w:val="none"/>
          <w:lang w:val="en-US" w:eastAsia="zh-CN"/>
        </w:rPr>
        <w:t>与国内外同类标准技术内容的对比情况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_Toc28097 \h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end"/>
      </w:r>
    </w:p>
    <w:p w14:paraId="29210813">
      <w:pPr>
        <w:pStyle w:val="9"/>
        <w:tabs>
          <w:tab w:val="right" w:leader="dot" w:pos="8306"/>
        </w:tabs>
        <w:rPr>
          <w:rFonts w:hint="eastAsia" w:ascii="宋体" w:hAnsi="宋体" w:eastAsia="宋体" w:cs="宋体"/>
          <w:sz w:val="28"/>
          <w:szCs w:val="28"/>
        </w:rPr>
      </w:pP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begin"/>
      </w:r>
      <w:r>
        <w:rPr>
          <w:rFonts w:hint="eastAsia" w:ascii="宋体" w:hAnsi="宋体" w:eastAsia="宋体" w:cs="宋体"/>
          <w:sz w:val="28"/>
          <w:szCs w:val="28"/>
          <w:highlight w:val="none"/>
          <w:shd w:val="clear" w:color="FFFFFF" w:fill="D9D9D9"/>
          <w:lang w:eastAsia="zh-CN"/>
        </w:rPr>
        <w:instrText xml:space="preserve"> HYPERLINK \l _Toc30454 </w:instrText>
      </w:r>
      <w:r>
        <w:rPr>
          <w:rFonts w:hint="eastAsia" w:ascii="宋体" w:hAnsi="宋体" w:eastAsia="宋体" w:cs="宋体"/>
          <w:sz w:val="28"/>
          <w:szCs w:val="28"/>
          <w:highlight w:val="none"/>
          <w:shd w:val="clear" w:color="FFFFFF" w:fill="D9D9D9"/>
          <w:lang w:eastAsia="zh-CN"/>
        </w:rPr>
        <w:fldChar w:fldCharType="separate"/>
      </w:r>
      <w:r>
        <w:rPr>
          <w:rFonts w:hint="eastAsia" w:ascii="宋体" w:hAnsi="宋体" w:eastAsia="宋体" w:cs="宋体"/>
          <w:sz w:val="28"/>
          <w:szCs w:val="28"/>
          <w:lang w:val="en-US" w:eastAsia="zh-CN"/>
        </w:rPr>
        <w:t xml:space="preserve">四、 </w:t>
      </w:r>
      <w:r>
        <w:rPr>
          <w:rFonts w:hint="eastAsia" w:ascii="宋体" w:hAnsi="宋体" w:eastAsia="宋体" w:cs="宋体"/>
          <w:sz w:val="28"/>
          <w:szCs w:val="28"/>
          <w:highlight w:val="none"/>
          <w:lang w:val="en-US" w:eastAsia="zh-CN"/>
        </w:rPr>
        <w:t>与有关法律、行政法规及相关标准的关系</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_Toc30454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end"/>
      </w:r>
    </w:p>
    <w:p w14:paraId="25BAC1EA">
      <w:pPr>
        <w:pStyle w:val="9"/>
        <w:tabs>
          <w:tab w:val="right" w:leader="dot" w:pos="8306"/>
        </w:tabs>
        <w:rPr>
          <w:rFonts w:hint="eastAsia" w:ascii="宋体" w:hAnsi="宋体" w:eastAsia="宋体" w:cs="宋体"/>
          <w:sz w:val="28"/>
          <w:szCs w:val="28"/>
        </w:rPr>
      </w:pP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begin"/>
      </w:r>
      <w:r>
        <w:rPr>
          <w:rFonts w:hint="eastAsia" w:ascii="宋体" w:hAnsi="宋体" w:eastAsia="宋体" w:cs="宋体"/>
          <w:sz w:val="28"/>
          <w:szCs w:val="28"/>
          <w:highlight w:val="none"/>
          <w:shd w:val="clear" w:color="FFFFFF" w:fill="D9D9D9"/>
          <w:lang w:eastAsia="zh-CN"/>
        </w:rPr>
        <w:instrText xml:space="preserve"> HYPERLINK \l _Toc22155 </w:instrText>
      </w:r>
      <w:r>
        <w:rPr>
          <w:rFonts w:hint="eastAsia" w:ascii="宋体" w:hAnsi="宋体" w:eastAsia="宋体" w:cs="宋体"/>
          <w:sz w:val="28"/>
          <w:szCs w:val="28"/>
          <w:highlight w:val="none"/>
          <w:shd w:val="clear" w:color="FFFFFF" w:fill="D9D9D9"/>
          <w:lang w:eastAsia="zh-CN"/>
        </w:rPr>
        <w:fldChar w:fldCharType="separate"/>
      </w:r>
      <w:r>
        <w:rPr>
          <w:rFonts w:hint="eastAsia" w:ascii="宋体" w:hAnsi="宋体" w:eastAsia="宋体" w:cs="宋体"/>
          <w:sz w:val="28"/>
          <w:szCs w:val="28"/>
          <w:lang w:val="en-US" w:eastAsia="zh-CN"/>
        </w:rPr>
        <w:t xml:space="preserve">五、 </w:t>
      </w:r>
      <w:r>
        <w:rPr>
          <w:rFonts w:hint="eastAsia" w:ascii="宋体" w:hAnsi="宋体" w:eastAsia="宋体" w:cs="宋体"/>
          <w:sz w:val="28"/>
          <w:szCs w:val="28"/>
          <w:highlight w:val="none"/>
          <w:lang w:val="en-US" w:eastAsia="zh-CN"/>
        </w:rPr>
        <w:t>重大分歧意见的处理经过和依据</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_Toc22155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end"/>
      </w:r>
    </w:p>
    <w:p w14:paraId="13ACAD7F">
      <w:pPr>
        <w:pStyle w:val="9"/>
        <w:tabs>
          <w:tab w:val="right" w:leader="dot" w:pos="8306"/>
        </w:tabs>
        <w:rPr>
          <w:rFonts w:hint="eastAsia" w:ascii="宋体" w:hAnsi="宋体" w:eastAsia="宋体" w:cs="宋体"/>
          <w:sz w:val="28"/>
          <w:szCs w:val="28"/>
        </w:rPr>
      </w:pP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begin"/>
      </w:r>
      <w:r>
        <w:rPr>
          <w:rFonts w:hint="eastAsia" w:ascii="宋体" w:hAnsi="宋体" w:eastAsia="宋体" w:cs="宋体"/>
          <w:sz w:val="28"/>
          <w:szCs w:val="28"/>
          <w:highlight w:val="none"/>
          <w:shd w:val="clear" w:color="FFFFFF" w:fill="D9D9D9"/>
          <w:lang w:eastAsia="zh-CN"/>
        </w:rPr>
        <w:instrText xml:space="preserve"> HYPERLINK \l _Toc31775 </w:instrText>
      </w:r>
      <w:r>
        <w:rPr>
          <w:rFonts w:hint="eastAsia" w:ascii="宋体" w:hAnsi="宋体" w:eastAsia="宋体" w:cs="宋体"/>
          <w:sz w:val="28"/>
          <w:szCs w:val="28"/>
          <w:highlight w:val="none"/>
          <w:shd w:val="clear" w:color="FFFFFF" w:fill="D9D9D9"/>
          <w:lang w:eastAsia="zh-CN"/>
        </w:rPr>
        <w:fldChar w:fldCharType="separate"/>
      </w:r>
      <w:r>
        <w:rPr>
          <w:rFonts w:hint="eastAsia" w:ascii="宋体" w:hAnsi="宋体" w:eastAsia="宋体" w:cs="宋体"/>
          <w:sz w:val="28"/>
          <w:szCs w:val="28"/>
          <w:lang w:val="en-US" w:eastAsia="zh-CN"/>
        </w:rPr>
        <w:t xml:space="preserve">六、 </w:t>
      </w:r>
      <w:r>
        <w:rPr>
          <w:rFonts w:hint="eastAsia" w:ascii="宋体" w:hAnsi="宋体" w:eastAsia="宋体" w:cs="宋体"/>
          <w:sz w:val="28"/>
          <w:szCs w:val="28"/>
          <w:highlight w:val="none"/>
          <w:lang w:val="en-US" w:eastAsia="zh-CN"/>
        </w:rPr>
        <w:t>实施标准的措施建议</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_Toc31775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end"/>
      </w:r>
    </w:p>
    <w:p w14:paraId="5B8056BC">
      <w:pPr>
        <w:pStyle w:val="9"/>
        <w:tabs>
          <w:tab w:val="right" w:leader="dot" w:pos="8306"/>
        </w:tabs>
        <w:rPr>
          <w:rFonts w:hint="eastAsia" w:ascii="宋体" w:hAnsi="宋体" w:eastAsia="宋体" w:cs="宋体"/>
          <w:sz w:val="28"/>
          <w:szCs w:val="28"/>
        </w:rPr>
      </w:pP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begin"/>
      </w:r>
      <w:r>
        <w:rPr>
          <w:rFonts w:hint="eastAsia" w:ascii="宋体" w:hAnsi="宋体" w:eastAsia="宋体" w:cs="宋体"/>
          <w:sz w:val="28"/>
          <w:szCs w:val="28"/>
          <w:highlight w:val="none"/>
          <w:shd w:val="clear" w:color="FFFFFF" w:fill="D9D9D9"/>
          <w:lang w:eastAsia="zh-CN"/>
        </w:rPr>
        <w:instrText xml:space="preserve"> HYPERLINK \l _Toc23708 </w:instrText>
      </w:r>
      <w:r>
        <w:rPr>
          <w:rFonts w:hint="eastAsia" w:ascii="宋体" w:hAnsi="宋体" w:eastAsia="宋体" w:cs="宋体"/>
          <w:sz w:val="28"/>
          <w:szCs w:val="28"/>
          <w:highlight w:val="none"/>
          <w:shd w:val="clear" w:color="FFFFFF" w:fill="D9D9D9"/>
          <w:lang w:eastAsia="zh-CN"/>
        </w:rPr>
        <w:fldChar w:fldCharType="separate"/>
      </w:r>
      <w:r>
        <w:rPr>
          <w:rFonts w:hint="eastAsia" w:ascii="宋体" w:hAnsi="宋体" w:eastAsia="宋体" w:cs="宋体"/>
          <w:sz w:val="28"/>
          <w:szCs w:val="28"/>
          <w:lang w:val="en-US" w:eastAsia="zh-CN"/>
        </w:rPr>
        <w:t xml:space="preserve">七、 </w:t>
      </w:r>
      <w:r>
        <w:rPr>
          <w:rFonts w:hint="eastAsia" w:ascii="宋体" w:hAnsi="宋体" w:eastAsia="宋体" w:cs="宋体"/>
          <w:sz w:val="28"/>
          <w:szCs w:val="28"/>
          <w:highlight w:val="none"/>
          <w:lang w:val="en-US" w:eastAsia="zh-CN"/>
        </w:rPr>
        <w:t>其他应当说明的事项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_Toc23708 \h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end"/>
      </w:r>
    </w:p>
    <w:p w14:paraId="06EEFE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sectPr>
          <w:footerReference r:id="rId4" w:type="default"/>
          <w:pgSz w:w="11906" w:h="16838"/>
          <w:pgMar w:top="1440" w:right="1800" w:bottom="1440" w:left="1800" w:header="851" w:footer="992" w:gutter="0"/>
          <w:pgNumType w:fmt="upperRoman" w:start="1"/>
          <w:cols w:space="425" w:num="1"/>
          <w:docGrid w:type="lines" w:linePitch="312" w:charSpace="0"/>
        </w:sectPr>
      </w:pPr>
      <w:r>
        <w:rPr>
          <w:rFonts w:hint="eastAsia" w:ascii="宋体" w:hAnsi="宋体" w:eastAsia="宋体" w:cs="宋体"/>
          <w:color w:val="000000" w:themeColor="text1"/>
          <w:sz w:val="28"/>
          <w:szCs w:val="28"/>
          <w:highlight w:val="none"/>
          <w:shd w:val="clear" w:color="FFFFFF" w:fill="D9D9D9"/>
          <w:lang w:eastAsia="zh-CN"/>
          <w14:textFill>
            <w14:solidFill>
              <w14:schemeClr w14:val="tx1"/>
            </w14:solidFill>
          </w14:textFill>
        </w:rPr>
        <w:fldChar w:fldCharType="end"/>
      </w:r>
    </w:p>
    <w:p w14:paraId="7DE380A9">
      <w:pPr>
        <w:pStyle w:val="3"/>
        <w:keepNext/>
        <w:keepLines/>
        <w:pageBreakBefore w:val="0"/>
        <w:widowControl w:val="0"/>
        <w:numPr>
          <w:ilvl w:val="0"/>
          <w:numId w:val="1"/>
        </w:numPr>
        <w:kinsoku/>
        <w:wordWrap/>
        <w:overflowPunct/>
        <w:topLinePunct w:val="0"/>
        <w:autoSpaceDE/>
        <w:autoSpaceDN/>
        <w:bidi w:val="0"/>
        <w:adjustRightInd/>
        <w:snapToGrid/>
        <w:spacing w:before="0" w:after="0" w:line="579" w:lineRule="auto"/>
        <w:textAlignment w:val="auto"/>
        <w:rPr>
          <w:rFonts w:hint="eastAsia"/>
          <w:sz w:val="30"/>
          <w:szCs w:val="30"/>
          <w:highlight w:val="none"/>
          <w:lang w:val="en-US" w:eastAsia="zh-CN"/>
        </w:rPr>
      </w:pPr>
      <w:bookmarkStart w:id="0" w:name="_Toc9895"/>
      <w:bookmarkStart w:id="1" w:name="_Toc25963"/>
      <w:bookmarkStart w:id="2" w:name="_Toc20687"/>
      <w:bookmarkStart w:id="3" w:name="_Toc30000"/>
      <w:r>
        <w:rPr>
          <w:rFonts w:hint="eastAsia"/>
          <w:sz w:val="30"/>
          <w:szCs w:val="30"/>
          <w:highlight w:val="none"/>
          <w:lang w:val="en-US" w:eastAsia="zh-CN"/>
        </w:rPr>
        <w:t>工作简况</w:t>
      </w:r>
      <w:bookmarkEnd w:id="0"/>
      <w:bookmarkEnd w:id="1"/>
      <w:bookmarkEnd w:id="2"/>
      <w:bookmarkEnd w:id="3"/>
    </w:p>
    <w:p w14:paraId="12C9EB1F">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2" w:firstLineChars="200"/>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（一）任务来源</w:t>
      </w:r>
    </w:p>
    <w:p w14:paraId="15C729E9">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auto"/>
          <w:sz w:val="28"/>
          <w:szCs w:val="28"/>
          <w:highlight w:val="none"/>
        </w:rPr>
        <w:t>根据上海市水务局2026年度水务海洋标准化指导性文件及定额制修订工作计划（2026-2），</w:t>
      </w:r>
      <w:r>
        <w:rPr>
          <w:rFonts w:hint="eastAsia" w:ascii="Times New Roman" w:hAnsi="Times New Roman"/>
          <w:color w:val="000000" w:themeColor="text1"/>
          <w:sz w:val="28"/>
          <w:szCs w:val="28"/>
          <w:highlight w:val="none"/>
          <w:lang w:val="en-US" w:eastAsia="zh-CN"/>
          <w14:textFill>
            <w14:solidFill>
              <w14:schemeClr w14:val="tx1"/>
            </w14:solidFill>
          </w14:textFill>
        </w:rPr>
        <w:t>制定</w:t>
      </w:r>
      <w:r>
        <w:rPr>
          <w:rFonts w:hint="eastAsia" w:ascii="Times New Roman" w:hAnsi="Times New Roman"/>
          <w:color w:val="000000" w:themeColor="text1"/>
          <w:sz w:val="28"/>
          <w:szCs w:val="28"/>
          <w:highlight w:val="none"/>
          <w14:textFill>
            <w14:solidFill>
              <w14:schemeClr w14:val="tx1"/>
            </w14:solidFill>
          </w14:textFill>
        </w:rPr>
        <w:t>《上海市生态河道治理设计指南》（以下简称《</w:t>
      </w:r>
      <w:r>
        <w:rPr>
          <w:rFonts w:hint="eastAsia" w:ascii="Times New Roman" w:hAnsi="Times New Roman"/>
          <w:color w:val="000000" w:themeColor="text1"/>
          <w:sz w:val="28"/>
          <w:szCs w:val="28"/>
          <w:highlight w:val="none"/>
          <w:lang w:val="en-US" w:eastAsia="zh-CN"/>
          <w14:textFill>
            <w14:solidFill>
              <w14:schemeClr w14:val="tx1"/>
            </w14:solidFill>
          </w14:textFill>
        </w:rPr>
        <w:t>指南</w:t>
      </w:r>
      <w:r>
        <w:rPr>
          <w:rFonts w:hint="eastAsia" w:ascii="Times New Roman" w:hAnsi="Times New Roman"/>
          <w:color w:val="000000" w:themeColor="text1"/>
          <w:sz w:val="28"/>
          <w:szCs w:val="28"/>
          <w:highlight w:val="none"/>
          <w14:textFill>
            <w14:solidFill>
              <w14:schemeClr w14:val="tx1"/>
            </w14:solidFill>
          </w14:textFill>
        </w:rPr>
        <w:t>》）。《</w:t>
      </w:r>
      <w:r>
        <w:rPr>
          <w:rFonts w:hint="eastAsia" w:ascii="Times New Roman" w:hAnsi="Times New Roman"/>
          <w:color w:val="000000" w:themeColor="text1"/>
          <w:sz w:val="28"/>
          <w:szCs w:val="28"/>
          <w:highlight w:val="none"/>
          <w:lang w:val="en-US" w:eastAsia="zh-CN"/>
          <w14:textFill>
            <w14:solidFill>
              <w14:schemeClr w14:val="tx1"/>
            </w14:solidFill>
          </w14:textFill>
        </w:rPr>
        <w:t>指南</w:t>
      </w:r>
      <w:r>
        <w:rPr>
          <w:rFonts w:hint="eastAsia" w:ascii="Times New Roman" w:hAnsi="Times New Roman"/>
          <w:color w:val="000000" w:themeColor="text1"/>
          <w:sz w:val="28"/>
          <w:szCs w:val="28"/>
          <w:highlight w:val="none"/>
          <w14:textFill>
            <w14:solidFill>
              <w14:schemeClr w14:val="tx1"/>
            </w14:solidFill>
          </w14:textFill>
        </w:rPr>
        <w:t>》</w:t>
      </w:r>
      <w:r>
        <w:rPr>
          <w:rFonts w:hint="eastAsia" w:ascii="Times New Roman" w:hAnsi="Times New Roman"/>
          <w:color w:val="000000" w:themeColor="text1"/>
          <w:sz w:val="28"/>
          <w:szCs w:val="28"/>
          <w:highlight w:val="none"/>
          <w:lang w:val="en-US" w:eastAsia="zh-CN"/>
          <w14:textFill>
            <w14:solidFill>
              <w14:schemeClr w14:val="tx1"/>
            </w14:solidFill>
          </w14:textFill>
        </w:rPr>
        <w:t>制定</w:t>
      </w:r>
      <w:r>
        <w:rPr>
          <w:rFonts w:hint="eastAsia" w:ascii="Times New Roman" w:hAnsi="Times New Roman"/>
          <w:color w:val="000000" w:themeColor="text1"/>
          <w:sz w:val="28"/>
          <w:szCs w:val="28"/>
          <w:highlight w:val="none"/>
          <w14:textFill>
            <w14:solidFill>
              <w14:schemeClr w14:val="tx1"/>
            </w14:solidFill>
          </w14:textFill>
        </w:rPr>
        <w:t>工作于2026年3月立项，由上海市水利管理事务中心（上海市河湖管理事务中心）</w:t>
      </w:r>
      <w:r>
        <w:rPr>
          <w:rFonts w:hint="eastAsia" w:ascii="Times New Roman" w:hAnsi="Times New Roman"/>
          <w:color w:val="000000" w:themeColor="text1"/>
          <w:sz w:val="28"/>
          <w:szCs w:val="28"/>
          <w:highlight w:val="none"/>
          <w:lang w:val="en-US" w:eastAsia="zh-CN"/>
          <w14:textFill>
            <w14:solidFill>
              <w14:schemeClr w14:val="tx1"/>
            </w14:solidFill>
          </w14:textFill>
        </w:rPr>
        <w:t>牵头组织开展</w:t>
      </w:r>
      <w:r>
        <w:rPr>
          <w:rFonts w:hint="eastAsia" w:ascii="Times New Roman" w:hAnsi="Times New Roman"/>
          <w:color w:val="000000" w:themeColor="text1"/>
          <w:sz w:val="28"/>
          <w:szCs w:val="28"/>
          <w:highlight w:val="none"/>
          <w14:textFill>
            <w14:solidFill>
              <w14:schemeClr w14:val="tx1"/>
            </w14:solidFill>
          </w14:textFill>
        </w:rPr>
        <w:t>，上海</w:t>
      </w:r>
      <w:r>
        <w:rPr>
          <w:rFonts w:hint="eastAsia" w:ascii="Times New Roman" w:hAnsi="Times New Roman"/>
          <w:color w:val="000000" w:themeColor="text1"/>
          <w:sz w:val="28"/>
          <w:szCs w:val="28"/>
          <w:highlight w:val="none"/>
          <w:lang w:val="en-US" w:eastAsia="zh-CN"/>
          <w14:textFill>
            <w14:solidFill>
              <w14:schemeClr w14:val="tx1"/>
            </w14:solidFill>
          </w14:textFill>
        </w:rPr>
        <w:t>勘测设计研究院有限公司</w:t>
      </w:r>
      <w:r>
        <w:rPr>
          <w:rFonts w:hint="eastAsia" w:ascii="Times New Roman" w:hAnsi="Times New Roman"/>
          <w:color w:val="000000" w:themeColor="text1"/>
          <w:sz w:val="28"/>
          <w:szCs w:val="28"/>
          <w:highlight w:val="none"/>
          <w14:textFill>
            <w14:solidFill>
              <w14:schemeClr w14:val="tx1"/>
            </w14:solidFill>
          </w14:textFill>
        </w:rPr>
        <w:t>负责《</w:t>
      </w:r>
      <w:r>
        <w:rPr>
          <w:rFonts w:hint="eastAsia" w:ascii="Times New Roman" w:hAnsi="Times New Roman"/>
          <w:color w:val="000000" w:themeColor="text1"/>
          <w:sz w:val="28"/>
          <w:szCs w:val="28"/>
          <w:highlight w:val="none"/>
          <w:lang w:val="en-US" w:eastAsia="zh-CN"/>
          <w14:textFill>
            <w14:solidFill>
              <w14:schemeClr w14:val="tx1"/>
            </w14:solidFill>
          </w14:textFill>
        </w:rPr>
        <w:t>指南</w:t>
      </w:r>
      <w:r>
        <w:rPr>
          <w:rFonts w:hint="eastAsia" w:ascii="Times New Roman" w:hAnsi="Times New Roman"/>
          <w:color w:val="000000" w:themeColor="text1"/>
          <w:sz w:val="28"/>
          <w:szCs w:val="28"/>
          <w:highlight w:val="none"/>
          <w14:textFill>
            <w14:solidFill>
              <w14:schemeClr w14:val="tx1"/>
            </w14:solidFill>
          </w14:textFill>
        </w:rPr>
        <w:t>》</w:t>
      </w:r>
      <w:r>
        <w:rPr>
          <w:rFonts w:hint="eastAsia" w:ascii="Times New Roman" w:hAnsi="Times New Roman"/>
          <w:color w:val="000000" w:themeColor="text1"/>
          <w:sz w:val="28"/>
          <w:szCs w:val="28"/>
          <w:highlight w:val="none"/>
          <w:lang w:eastAsia="zh-CN"/>
          <w14:textFill>
            <w14:solidFill>
              <w14:schemeClr w14:val="tx1"/>
            </w14:solidFill>
          </w14:textFill>
        </w:rPr>
        <w:t>的编制工作</w:t>
      </w:r>
      <w:r>
        <w:rPr>
          <w:rFonts w:hint="eastAsia" w:ascii="Times New Roman" w:hAnsi="Times New Roman"/>
          <w:color w:val="000000" w:themeColor="text1"/>
          <w:sz w:val="28"/>
          <w:szCs w:val="28"/>
          <w:highlight w:val="none"/>
          <w14:textFill>
            <w14:solidFill>
              <w14:schemeClr w14:val="tx1"/>
            </w14:solidFill>
          </w14:textFill>
        </w:rPr>
        <w:t>。</w:t>
      </w:r>
    </w:p>
    <w:p w14:paraId="3C3E52C9">
      <w:pPr>
        <w:keepNext w:val="0"/>
        <w:keepLines w:val="0"/>
        <w:pageBreakBefore w:val="0"/>
        <w:widowControl w:val="0"/>
        <w:numPr>
          <w:ilvl w:val="-1"/>
          <w:numId w:val="0"/>
        </w:numPr>
        <w:kinsoku/>
        <w:wordWrap/>
        <w:overflowPunct/>
        <w:topLinePunct w:val="0"/>
        <w:autoSpaceDE/>
        <w:autoSpaceDN/>
        <w:bidi w:val="0"/>
        <w:adjustRightInd/>
        <w:snapToGrid/>
        <w:spacing w:line="480" w:lineRule="auto"/>
        <w:ind w:firstLine="0" w:firstLineChars="0"/>
        <w:jc w:val="left"/>
        <w:textAlignment w:val="auto"/>
        <w:rPr>
          <w:rFonts w:hint="eastAsia"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（二）编制背景、目的和意义</w:t>
      </w:r>
    </w:p>
    <w:p w14:paraId="71DB078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2" w:firstLineChars="200"/>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1.编制背景</w:t>
      </w:r>
    </w:p>
    <w:p w14:paraId="505BCFB9">
      <w:pPr>
        <w:numPr>
          <w:ilvl w:val="0"/>
          <w:numId w:val="0"/>
        </w:numPr>
        <w:spacing w:line="480" w:lineRule="auto"/>
        <w:ind w:firstLine="560"/>
        <w:jc w:val="both"/>
        <w:rPr>
          <w:rFonts w:hint="eastAsia" w:ascii="Times New Roman" w:hAnsi="Times New Roman" w:cstheme="minorBidi"/>
          <w:bCs w:val="0"/>
          <w:color w:val="000000" w:themeColor="text1"/>
          <w:sz w:val="28"/>
          <w:szCs w:val="28"/>
          <w:highlight w:val="none"/>
          <w14:textFill>
            <w14:solidFill>
              <w14:schemeClr w14:val="tx1"/>
            </w14:solidFill>
          </w14:textFill>
        </w:rPr>
      </w:pPr>
      <w:r>
        <w:rPr>
          <w:rFonts w:hint="eastAsia" w:ascii="Times New Roman" w:hAnsi="Times New Roman" w:cstheme="minorBidi"/>
          <w:bCs w:val="0"/>
          <w:color w:val="000000" w:themeColor="text1"/>
          <w:sz w:val="28"/>
          <w:szCs w:val="28"/>
          <w:highlight w:val="none"/>
          <w14:textFill>
            <w14:solidFill>
              <w14:schemeClr w14:val="tx1"/>
            </w14:solidFill>
          </w14:textFill>
        </w:rPr>
        <w:t>上海市水务局于2012年10月颁发了地方政策性指导文件《上海市生态河道治理设计指南（试行）》，用于指导及规范“十二五”期间上海市河道生态治理工程的设计。在《上海市生态河道治理设计指南（试行）》的规范指导下，历经10余年的河道水环境治理和生态修复，以及生态清洁小流域工程建设，</w:t>
      </w: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上海市</w:t>
      </w:r>
      <w:r>
        <w:rPr>
          <w:rFonts w:hint="eastAsia" w:ascii="Times New Roman" w:hAnsi="Times New Roman" w:cstheme="minorBidi"/>
          <w:bCs w:val="0"/>
          <w:color w:val="000000" w:themeColor="text1"/>
          <w:sz w:val="28"/>
          <w:szCs w:val="28"/>
          <w:highlight w:val="none"/>
          <w14:textFill>
            <w14:solidFill>
              <w14:schemeClr w14:val="tx1"/>
            </w14:solidFill>
          </w14:textFill>
        </w:rPr>
        <w:t>河道生态环境质量得到质的飞跃。</w:t>
      </w:r>
    </w:p>
    <w:p w14:paraId="179DC086">
      <w:pPr>
        <w:numPr>
          <w:ilvl w:val="0"/>
          <w:numId w:val="0"/>
        </w:numPr>
        <w:spacing w:line="480" w:lineRule="auto"/>
        <w:ind w:firstLine="560"/>
        <w:jc w:val="both"/>
        <w:rPr>
          <w:rFonts w:hint="eastAsia" w:ascii="Times New Roman" w:hAnsi="Times New Roman" w:cstheme="minorBidi"/>
          <w:bCs w:val="0"/>
          <w:color w:val="000000" w:themeColor="text1"/>
          <w:sz w:val="28"/>
          <w:szCs w:val="28"/>
          <w:highlight w:val="none"/>
          <w14:textFill>
            <w14:solidFill>
              <w14:schemeClr w14:val="tx1"/>
            </w14:solidFill>
          </w14:textFill>
        </w:rPr>
      </w:pPr>
      <w:r>
        <w:rPr>
          <w:rFonts w:hint="eastAsia" w:ascii="Times New Roman" w:hAnsi="Times New Roman" w:cstheme="minorBidi"/>
          <w:bCs w:val="0"/>
          <w:color w:val="000000" w:themeColor="text1"/>
          <w:sz w:val="28"/>
          <w:szCs w:val="28"/>
          <w:highlight w:val="none"/>
          <w14:textFill>
            <w14:solidFill>
              <w14:schemeClr w14:val="tx1"/>
            </w14:solidFill>
          </w14:textFill>
        </w:rPr>
        <w:t>在取得以上治水成效的同时，上海市在该阶段河道生态治理工程实践中也总结了相关工程经验教训：一方面，河道生态修复的建设标准不统一，包括水生植物设计覆盖度等关键设计参数，行业内还没有明确的设计标准；</w:t>
      </w: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另一方面</w:t>
      </w:r>
      <w:r>
        <w:rPr>
          <w:rFonts w:hint="eastAsia" w:ascii="Times New Roman" w:hAnsi="Times New Roman" w:cstheme="minorBidi"/>
          <w:bCs w:val="0"/>
          <w:color w:val="000000" w:themeColor="text1"/>
          <w:sz w:val="28"/>
          <w:szCs w:val="28"/>
          <w:highlight w:val="none"/>
          <w14:textFill>
            <w14:solidFill>
              <w14:schemeClr w14:val="tx1"/>
            </w14:solidFill>
          </w14:textFill>
        </w:rPr>
        <w:t>，水生态问题的诊断和成因分析还不够精准，河道生态修复工程设计方案还存在一定的机械复制，缺少“找准病因、对症下药”的针对性系统解决方案；第三，河道生态治理选用的水生动植物本土适生性不足</w:t>
      </w: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，在</w:t>
      </w:r>
      <w:r>
        <w:rPr>
          <w:rFonts w:hint="eastAsia" w:ascii="Times New Roman" w:hAnsi="Times New Roman" w:cstheme="minorBidi"/>
          <w:bCs w:val="0"/>
          <w:color w:val="000000" w:themeColor="text1"/>
          <w:sz w:val="28"/>
          <w:szCs w:val="28"/>
          <w:highlight w:val="none"/>
          <w14:textFill>
            <w14:solidFill>
              <w14:schemeClr w14:val="tx1"/>
            </w14:solidFill>
          </w14:textFill>
        </w:rPr>
        <w:t>区域生态景观风貌特征不明显的同时，加大了河道生态系统的生态安全风险管控压力；第四，河道生态治理成效的长效维持难度较大，生态治理后河道生态系统的稳定性不足，养护管理费用较高。</w:t>
      </w:r>
    </w:p>
    <w:p w14:paraId="1F1D3E33">
      <w:pPr>
        <w:numPr>
          <w:ilvl w:val="0"/>
          <w:numId w:val="0"/>
        </w:numPr>
        <w:spacing w:line="480" w:lineRule="auto"/>
        <w:ind w:firstLine="560"/>
        <w:jc w:val="both"/>
        <w:rPr>
          <w:rFonts w:hint="eastAsia" w:ascii="Times New Roman" w:hAnsi="Times New Roman" w:cstheme="minorBidi"/>
          <w:bCs w:val="0"/>
          <w:color w:val="000000" w:themeColor="text1"/>
          <w:sz w:val="28"/>
          <w:szCs w:val="28"/>
          <w:highlight w:val="none"/>
          <w14:textFill>
            <w14:solidFill>
              <w14:schemeClr w14:val="tx1"/>
            </w14:solidFill>
          </w14:textFill>
        </w:rPr>
      </w:pPr>
      <w:r>
        <w:rPr>
          <w:rFonts w:hint="eastAsia" w:ascii="Times New Roman" w:hAnsi="Times New Roman" w:cstheme="minorBidi"/>
          <w:bCs w:val="0"/>
          <w:color w:val="000000" w:themeColor="text1"/>
          <w:sz w:val="28"/>
          <w:szCs w:val="28"/>
          <w:highlight w:val="none"/>
          <w14:textFill>
            <w14:solidFill>
              <w14:schemeClr w14:val="tx1"/>
            </w14:solidFill>
          </w14:textFill>
        </w:rPr>
        <w:t>新时代背景下，随着上海市河道规划蓝线的实施和主要河道防洪除涝达标建设的完成，上海市绝大部分河道的平面形态和断面型式已基本稳定，加之河道消黑除劣水质达标工程的有效落实，上海市正在以复苏河湖生态环境为基础，全面开展美丽幸福河湖建设，推动水体从“水安”“水净”向“水清”“水美”转变，以提升老百姓的治水获得感。随着新发展理念在生态文明建设中持续深化应用，以及人民群众对优质生态产品需求的日益增长，上海市治水的工作重心从“工程治理”向“功能提升”转变，这对河道生态复苏提出了新的更高要求，河道治理已从单一水质提升向系统化生态修复全面升级。</w:t>
      </w:r>
    </w:p>
    <w:p w14:paraId="15B2DA39">
      <w:pPr>
        <w:numPr>
          <w:ilvl w:val="0"/>
          <w:numId w:val="0"/>
        </w:numPr>
        <w:spacing w:line="480" w:lineRule="auto"/>
        <w:ind w:firstLine="560"/>
        <w:jc w:val="both"/>
        <w:rPr>
          <w:rFonts w:hint="eastAsia" w:ascii="Times New Roman" w:hAnsi="Times New Roman" w:cstheme="minorBidi"/>
          <w:bCs w:val="0"/>
          <w:color w:val="000000" w:themeColor="text1"/>
          <w:sz w:val="28"/>
          <w:szCs w:val="28"/>
          <w:highlight w:val="none"/>
          <w14:textFill>
            <w14:solidFill>
              <w14:schemeClr w14:val="tx1"/>
            </w14:solidFill>
          </w14:textFill>
        </w:rPr>
      </w:pPr>
      <w:r>
        <w:rPr>
          <w:rFonts w:hint="eastAsia" w:ascii="Times New Roman" w:hAnsi="Times New Roman" w:cstheme="minorBidi"/>
          <w:bCs w:val="0"/>
          <w:color w:val="000000" w:themeColor="text1"/>
          <w:sz w:val="28"/>
          <w:szCs w:val="28"/>
          <w:highlight w:val="none"/>
          <w14:textFill>
            <w14:solidFill>
              <w14:schemeClr w14:val="tx1"/>
            </w14:solidFill>
          </w14:textFill>
        </w:rPr>
        <w:t>与此同时，随着时代进步和</w:t>
      </w: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习近平生态文明思想</w:t>
      </w:r>
      <w:r>
        <w:rPr>
          <w:rFonts w:hint="eastAsia" w:ascii="Times New Roman" w:hAnsi="Times New Roman" w:cstheme="minorBidi"/>
          <w:bCs w:val="0"/>
          <w:color w:val="000000" w:themeColor="text1"/>
          <w:sz w:val="28"/>
          <w:szCs w:val="28"/>
          <w:highlight w:val="none"/>
          <w14:textFill>
            <w14:solidFill>
              <w14:schemeClr w14:val="tx1"/>
            </w14:solidFill>
          </w14:textFill>
        </w:rPr>
        <w:t>的深入人心，河道生态修复理念也发生较大转变。基于自然的解决方案（Nature-based solutions，简称NbS）成为美丽幸福河湖建设和河道生态修复工程的重要设计理念。通过保护、可持续管理和恢复自然或经改变的生态系统，协同生态、经济和社会效益，以应对多重生态环境问题风险。因此，需要着眼于河道生态系统的整体修复，强调自然恢复为主、人工修复为辅，要求河道修复回归水文、水动力、水生态、滨水植被、土壤、生物群落协同修复，着力恢复水体自净能力、生物多样性维持等生态服务功能，构建人水和谐的水域生态体系。</w:t>
      </w:r>
    </w:p>
    <w:p w14:paraId="4A61996B">
      <w:pPr>
        <w:numPr>
          <w:ilvl w:val="0"/>
          <w:numId w:val="0"/>
        </w:numPr>
        <w:spacing w:line="480" w:lineRule="auto"/>
        <w:ind w:firstLine="560"/>
        <w:jc w:val="both"/>
        <w:rPr>
          <w:rFonts w:hint="eastAsia" w:ascii="Times New Roman" w:hAnsi="Times New Roman" w:cstheme="minorBidi"/>
          <w:bCs w:val="0"/>
          <w:color w:val="000000" w:themeColor="text1"/>
          <w:sz w:val="28"/>
          <w:szCs w:val="28"/>
          <w:highlight w:val="none"/>
          <w14:textFill>
            <w14:solidFill>
              <w14:schemeClr w14:val="tx1"/>
            </w14:solidFill>
          </w14:textFill>
        </w:rPr>
      </w:pPr>
      <w:r>
        <w:rPr>
          <w:rFonts w:hint="eastAsia" w:ascii="Times New Roman" w:hAnsi="Times New Roman" w:cstheme="minorBidi"/>
          <w:bCs w:val="0"/>
          <w:color w:val="000000" w:themeColor="text1"/>
          <w:sz w:val="28"/>
          <w:szCs w:val="28"/>
          <w:highlight w:val="none"/>
          <w14:textFill>
            <w14:solidFill>
              <w14:schemeClr w14:val="tx1"/>
            </w14:solidFill>
          </w14:textFill>
        </w:rPr>
        <w:t>河道生态修复工程的任务目标也发生转变。河道生态治理修复工程成为提升上海市河道生态系统服务功能、提供优美滨水生态环境体验、促进水上经济发展的重要着力点：在水质改善与保持方面，在源头污染源控制的基础上，要求通过生态的措施确保水质的长期稳定达标；在水生态修复与保护方面，要丰富水生生物物种多样性，营造适宜的生存环境，构建健康、完整且稳定的生态系统结构；在水景观与水文化融合方面，更加注重滨水空间体验和居民亲水需求，并为水上经济发展提供良好环境基础。</w:t>
      </w:r>
    </w:p>
    <w:p w14:paraId="02AA4A99">
      <w:pPr>
        <w:numPr>
          <w:ilvl w:val="0"/>
          <w:numId w:val="0"/>
        </w:numPr>
        <w:spacing w:line="480" w:lineRule="auto"/>
        <w:ind w:firstLine="560"/>
        <w:jc w:val="both"/>
        <w:rPr>
          <w:rFonts w:hint="eastAsia" w:ascii="Times New Roman" w:hAnsi="Times New Roman" w:cstheme="minorBidi"/>
          <w:bCs w:val="0"/>
          <w:color w:val="000000" w:themeColor="text1"/>
          <w:sz w:val="28"/>
          <w:szCs w:val="28"/>
          <w:highlight w:val="none"/>
          <w14:textFill>
            <w14:solidFill>
              <w14:schemeClr w14:val="tx1"/>
            </w14:solidFill>
          </w14:textFill>
        </w:rPr>
      </w:pPr>
      <w:r>
        <w:rPr>
          <w:rFonts w:hint="eastAsia" w:ascii="Times New Roman" w:hAnsi="Times New Roman" w:cstheme="minorBidi"/>
          <w:bCs w:val="0"/>
          <w:color w:val="000000" w:themeColor="text1"/>
          <w:sz w:val="28"/>
          <w:szCs w:val="28"/>
          <w:highlight w:val="none"/>
          <w14:textFill>
            <w14:solidFill>
              <w14:schemeClr w14:val="tx1"/>
            </w14:solidFill>
          </w14:textFill>
        </w:rPr>
        <w:t>为了进一步提升上海市河道的生态服务功能价值，发挥生态修复工程在河道水质维持、水生生物物种多样性提升和滨水空间体验中的作用，科学指导生态修复工程设计工作，切实将</w:t>
      </w: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生态</w:t>
      </w:r>
      <w:r>
        <w:rPr>
          <w:rFonts w:hint="eastAsia" w:ascii="Times New Roman" w:hAnsi="Times New Roman" w:cstheme="minorBidi"/>
          <w:bCs w:val="0"/>
          <w:color w:val="000000" w:themeColor="text1"/>
          <w:sz w:val="28"/>
          <w:szCs w:val="28"/>
          <w:highlight w:val="none"/>
          <w14:textFill>
            <w14:solidFill>
              <w14:schemeClr w14:val="tx1"/>
            </w14:solidFill>
          </w14:textFill>
        </w:rPr>
        <w:t>理念贯彻到生态修复过程中</w:t>
      </w: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w:t>
      </w:r>
      <w:r>
        <w:rPr>
          <w:rFonts w:hint="eastAsia" w:ascii="Times New Roman" w:hAnsi="Times New Roman" w:cstheme="minorBidi"/>
          <w:bCs w:val="0"/>
          <w:color w:val="000000" w:themeColor="text1"/>
          <w:sz w:val="28"/>
          <w:szCs w:val="28"/>
          <w:highlight w:val="none"/>
          <w14:textFill>
            <w14:solidFill>
              <w14:schemeClr w14:val="tx1"/>
            </w14:solidFill>
          </w14:textFill>
        </w:rPr>
        <w:t>在总结近年来上海市河道生态治理工程试点经验的基础上，转换生态工程设计理念和设计思路，</w:t>
      </w: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以</w:t>
      </w:r>
      <w:r>
        <w:rPr>
          <w:rFonts w:hint="eastAsia" w:ascii="Times New Roman" w:hAnsi="Times New Roman" w:cstheme="minorBidi"/>
          <w:bCs w:val="0"/>
          <w:color w:val="000000" w:themeColor="text1"/>
          <w:sz w:val="28"/>
          <w:szCs w:val="28"/>
          <w:highlight w:val="none"/>
          <w14:textFill>
            <w14:solidFill>
              <w14:schemeClr w14:val="tx1"/>
            </w14:solidFill>
          </w14:textFill>
        </w:rPr>
        <w:t>河道生态系统服务功能提升为目标，启动编制《上海市生态河道治理设计指南》，为上海市河道生态治理修复工程提供更加科学、有效的指导。</w:t>
      </w:r>
    </w:p>
    <w:p w14:paraId="3C421AA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2" w:firstLineChars="200"/>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2.编制目的</w:t>
      </w:r>
    </w:p>
    <w:p w14:paraId="2F332434">
      <w:pPr>
        <w:ind w:firstLine="560" w:firstLineChars="200"/>
        <w:jc w:val="both"/>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本次</w:t>
      </w:r>
      <w:r>
        <w:rPr>
          <w:rFonts w:hint="eastAsia" w:ascii="Times New Roman" w:hAnsi="Times New Roman" w:cstheme="minorBidi"/>
          <w:bCs w:val="0"/>
          <w:color w:val="000000" w:themeColor="text1"/>
          <w:sz w:val="28"/>
          <w:szCs w:val="28"/>
          <w:highlight w:val="none"/>
          <w:lang w:val="en-US" w:eastAsia="zh-CN"/>
          <w14:textFill>
            <w14:solidFill>
              <w14:schemeClr w14:val="tx1"/>
            </w14:solidFill>
          </w14:textFill>
        </w:rPr>
        <w:t>指南制定指导本市河道生态治理工程设计，提高设计质量，持续恢复河道生态结构和功能，制定本标准</w:t>
      </w:r>
      <w:r>
        <w:rPr>
          <w:rFonts w:hint="default" w:ascii="Times New Roman" w:hAnsi="Times New Roman"/>
          <w:b w:val="0"/>
          <w:bCs w:val="0"/>
          <w:color w:val="000000" w:themeColor="text1"/>
          <w:sz w:val="28"/>
          <w:szCs w:val="28"/>
          <w:highlight w:val="none"/>
          <w:lang w:val="en-US" w:eastAsia="zh-CN"/>
          <w14:textFill>
            <w14:solidFill>
              <w14:schemeClr w14:val="tx1"/>
            </w14:solidFill>
          </w14:textFill>
        </w:rPr>
        <w:t>。</w:t>
      </w:r>
    </w:p>
    <w:p w14:paraId="2A758723">
      <w:pPr>
        <w:numPr>
          <w:ilvl w:val="0"/>
          <w:numId w:val="0"/>
        </w:numPr>
        <w:spacing w:line="480" w:lineRule="auto"/>
        <w:ind w:firstLine="562" w:firstLineChars="200"/>
        <w:jc w:val="left"/>
        <w:rPr>
          <w:rFonts w:hint="default" w:ascii="Times New Roman" w:hAnsi="Times New Roman" w:eastAsiaTheme="minorEastAsia" w:cstheme="minorBidi"/>
          <w:b/>
          <w:bCs/>
          <w:color w:val="000000" w:themeColor="text1"/>
          <w:sz w:val="28"/>
          <w:szCs w:val="28"/>
          <w:highlight w:val="none"/>
          <w:lang w:val="en-US" w:eastAsia="zh-CN"/>
          <w14:textFill>
            <w14:solidFill>
              <w14:schemeClr w14:val="tx1"/>
            </w14:solidFill>
          </w14:textFill>
        </w:rPr>
      </w:pPr>
      <w:r>
        <w:rPr>
          <w:rFonts w:hint="eastAsia" w:ascii="Times New Roman" w:hAnsi="Times New Roman" w:cstheme="minorBidi"/>
          <w:b/>
          <w:bCs/>
          <w:color w:val="000000" w:themeColor="text1"/>
          <w:sz w:val="28"/>
          <w:szCs w:val="28"/>
          <w:highlight w:val="none"/>
          <w:lang w:val="en-US" w:eastAsia="zh-CN"/>
          <w14:textFill>
            <w14:solidFill>
              <w14:schemeClr w14:val="tx1"/>
            </w14:solidFill>
          </w14:textFill>
        </w:rPr>
        <w:t>3.编制意义</w:t>
      </w:r>
    </w:p>
    <w:p w14:paraId="20888836">
      <w:pPr>
        <w:keepNext w:val="0"/>
        <w:keepLines w:val="0"/>
        <w:widowControl/>
        <w:suppressLineNumbers w:val="0"/>
        <w:ind w:firstLine="562" w:firstLineChars="200"/>
        <w:jc w:val="both"/>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pPr>
      <w:r>
        <w:rPr>
          <w:rFonts w:hint="eastAsia" w:ascii="Times New Roman" w:hAnsi="Times New Roman" w:eastAsiaTheme="minorEastAsia" w:cstheme="minorBidi"/>
          <w:b/>
          <w:bCs/>
          <w:color w:val="000000" w:themeColor="text1"/>
          <w:kern w:val="2"/>
          <w:sz w:val="28"/>
          <w:szCs w:val="28"/>
          <w:highlight w:val="none"/>
          <w:lang w:val="en-US" w:eastAsia="zh-CN" w:bidi="ar"/>
          <w14:textFill>
            <w14:solidFill>
              <w14:schemeClr w14:val="tx1"/>
            </w14:solidFill>
          </w14:textFill>
        </w:rPr>
        <w:t>新时期河道生态治理的需要。</w:t>
      </w:r>
      <w:r>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t>新时期社会主要矛盾是“人民日益增长的美好生活需要和不平衡不充分的发展之间的矛盾”。上海市水环境治理在良好水环境条件下，应更加注重良好的河道生态环境中滨水居民的感受度和满意度。为更</w:t>
      </w:r>
      <w:r>
        <w:rPr>
          <w:rFonts w:hint="eastAsia" w:ascii="Times New Roman" w:hAnsi="Times New Roman" w:cstheme="minorBidi"/>
          <w:color w:val="000000" w:themeColor="text1"/>
          <w:kern w:val="2"/>
          <w:sz w:val="28"/>
          <w:szCs w:val="28"/>
          <w:highlight w:val="none"/>
          <w:lang w:val="en-US" w:eastAsia="zh-CN" w:bidi="ar"/>
          <w14:textFill>
            <w14:solidFill>
              <w14:schemeClr w14:val="tx1"/>
            </w14:solidFill>
          </w14:textFill>
        </w:rPr>
        <w:t>好地</w:t>
      </w:r>
      <w:r>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t>满足人民对更高品质水生态供给的需求，需</w:t>
      </w:r>
      <w:r>
        <w:rPr>
          <w:rFonts w:hint="eastAsia" w:ascii="Times New Roman" w:hAnsi="Times New Roman" w:cstheme="minorBidi"/>
          <w:color w:val="000000" w:themeColor="text1"/>
          <w:kern w:val="2"/>
          <w:sz w:val="28"/>
          <w:szCs w:val="28"/>
          <w:highlight w:val="none"/>
          <w:lang w:val="en-US" w:eastAsia="zh-CN" w:bidi="ar"/>
          <w14:textFill>
            <w14:solidFill>
              <w14:schemeClr w14:val="tx1"/>
            </w14:solidFill>
          </w14:textFill>
        </w:rPr>
        <w:t>进一步加强</w:t>
      </w:r>
      <w:r>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t>河道生态治理的技术指导，为此</w:t>
      </w:r>
      <w:r>
        <w:rPr>
          <w:rFonts w:hint="eastAsia" w:ascii="Times New Roman" w:hAnsi="Times New Roman" w:cstheme="minorBidi"/>
          <w:color w:val="000000" w:themeColor="text1"/>
          <w:kern w:val="2"/>
          <w:sz w:val="28"/>
          <w:szCs w:val="28"/>
          <w:highlight w:val="none"/>
          <w:lang w:val="en-US" w:eastAsia="zh-CN" w:bidi="ar"/>
          <w14:textFill>
            <w14:solidFill>
              <w14:schemeClr w14:val="tx1"/>
            </w14:solidFill>
          </w14:textFill>
        </w:rPr>
        <w:t>制定本指南</w:t>
      </w:r>
      <w:r>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t>是新时期河道生态治理的需要。</w:t>
      </w:r>
    </w:p>
    <w:p w14:paraId="26396A9B">
      <w:pPr>
        <w:keepNext w:val="0"/>
        <w:keepLines w:val="0"/>
        <w:widowControl/>
        <w:suppressLineNumbers w:val="0"/>
        <w:ind w:firstLine="562" w:firstLineChars="200"/>
        <w:jc w:val="both"/>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pPr>
      <w:r>
        <w:rPr>
          <w:rFonts w:hint="eastAsia" w:ascii="Times New Roman" w:hAnsi="Times New Roman" w:eastAsiaTheme="minorEastAsia" w:cstheme="minorBidi"/>
          <w:b/>
          <w:bCs/>
          <w:color w:val="000000" w:themeColor="text1"/>
          <w:kern w:val="2"/>
          <w:sz w:val="28"/>
          <w:szCs w:val="28"/>
          <w:highlight w:val="none"/>
          <w:lang w:val="en-US" w:eastAsia="zh-CN" w:bidi="ar"/>
          <w14:textFill>
            <w14:solidFill>
              <w14:schemeClr w14:val="tx1"/>
            </w14:solidFill>
          </w14:textFill>
        </w:rPr>
        <w:t>建设美丽上海的需要。</w:t>
      </w:r>
      <w:r>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t>2024年5月9日，上海市发布《关于全面推进美丽上海建设打造人与自然和谐共生的社会主义现代化国际大都市的实施意见》，明确提出上海将基本建成令人向往的生态之城，美丽河湖基本建成。生态、清澈的美丽河湖</w:t>
      </w:r>
      <w:r>
        <w:rPr>
          <w:rFonts w:hint="eastAsia" w:ascii="Times New Roman" w:hAnsi="Times New Roman" w:cstheme="minorBidi"/>
          <w:color w:val="000000" w:themeColor="text1"/>
          <w:kern w:val="2"/>
          <w:sz w:val="28"/>
          <w:szCs w:val="28"/>
          <w:highlight w:val="none"/>
          <w:lang w:val="en-US" w:eastAsia="zh-CN" w:bidi="ar"/>
          <w14:textFill>
            <w14:solidFill>
              <w14:schemeClr w14:val="tx1"/>
            </w14:solidFill>
          </w14:textFill>
        </w:rPr>
        <w:t>是建设美丽上海的基本</w:t>
      </w:r>
      <w:r>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t>要求，为此</w:t>
      </w:r>
      <w:r>
        <w:rPr>
          <w:rFonts w:hint="eastAsia" w:ascii="Times New Roman" w:hAnsi="Times New Roman" w:cstheme="minorBidi"/>
          <w:color w:val="000000" w:themeColor="text1"/>
          <w:kern w:val="2"/>
          <w:sz w:val="28"/>
          <w:szCs w:val="28"/>
          <w:highlight w:val="none"/>
          <w:lang w:val="en-US" w:eastAsia="zh-CN" w:bidi="ar"/>
          <w14:textFill>
            <w14:solidFill>
              <w14:schemeClr w14:val="tx1"/>
            </w14:solidFill>
          </w14:textFill>
        </w:rPr>
        <w:t>制定本指南</w:t>
      </w:r>
      <w:r>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t>是布局未来高品质水品质，建设人与自然和谐共生的美丽上海的需要。</w:t>
      </w:r>
    </w:p>
    <w:p w14:paraId="3653D896">
      <w:pPr>
        <w:keepNext w:val="0"/>
        <w:keepLines w:val="0"/>
        <w:widowControl/>
        <w:suppressLineNumbers w:val="0"/>
        <w:ind w:firstLine="562" w:firstLineChars="200"/>
        <w:jc w:val="both"/>
        <w:rPr>
          <w:rFonts w:hint="eastAsia"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eastAsiaTheme="minorEastAsia" w:cstheme="minorBidi"/>
          <w:b/>
          <w:bCs/>
          <w:color w:val="000000" w:themeColor="text1"/>
          <w:kern w:val="2"/>
          <w:sz w:val="28"/>
          <w:szCs w:val="28"/>
          <w:highlight w:val="none"/>
          <w:lang w:val="en-US" w:eastAsia="zh-CN" w:bidi="ar"/>
          <w14:textFill>
            <w14:solidFill>
              <w14:schemeClr w14:val="tx1"/>
            </w14:solidFill>
          </w14:textFill>
        </w:rPr>
        <w:t>河道水务高质量发展的需要。</w:t>
      </w:r>
      <w:r>
        <w:rPr>
          <w:rFonts w:hint="eastAsia" w:ascii="Times New Roman" w:hAnsi="Times New Roman" w:eastAsiaTheme="minorEastAsia" w:cstheme="minorBidi"/>
          <w:color w:val="000000" w:themeColor="text1"/>
          <w:kern w:val="2"/>
          <w:sz w:val="28"/>
          <w:szCs w:val="28"/>
          <w:highlight w:val="none"/>
          <w:lang w:val="en-US" w:eastAsia="zh-CN" w:bidi="ar"/>
          <w14:textFill>
            <w14:solidFill>
              <w14:schemeClr w14:val="tx1"/>
            </w14:solidFill>
          </w14:textFill>
        </w:rPr>
        <w:t>上海市近年河道整治过程中，建成了一批生态河道的样板工程，如闵行和平村水系，杨浦新江湾城水系，普陀区曹杨环浜，长宁外环西河，青浦“蓝色珠链”，宝山罗泾塘湾村水系、徐汇北横泾等，通过跟踪评估和监测，总结和凝练技术要点，进一步扩大优质案例的宣传示范作用，同时作为行业指导为后续河道水生态建设提供技术指导。</w:t>
      </w:r>
    </w:p>
    <w:p w14:paraId="49A7B55B">
      <w:pPr>
        <w:keepNext w:val="0"/>
        <w:keepLines w:val="0"/>
        <w:pageBreakBefore w:val="0"/>
        <w:widowControl w:val="0"/>
        <w:numPr>
          <w:ilvl w:val="-1"/>
          <w:numId w:val="0"/>
        </w:numPr>
        <w:kinsoku/>
        <w:wordWrap/>
        <w:overflowPunct/>
        <w:topLinePunct w:val="0"/>
        <w:autoSpaceDE/>
        <w:autoSpaceDN/>
        <w:bidi w:val="0"/>
        <w:adjustRightInd/>
        <w:snapToGrid/>
        <w:spacing w:line="480" w:lineRule="auto"/>
        <w:ind w:left="0" w:leftChars="0" w:firstLine="562" w:firstLineChars="200"/>
        <w:jc w:val="left"/>
        <w:textAlignment w:val="auto"/>
        <w:rPr>
          <w:rFonts w:hint="eastAsia"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（三）制定过程</w:t>
      </w:r>
    </w:p>
    <w:p w14:paraId="6E81A3B5">
      <w:pPr>
        <w:ind w:firstLine="560" w:firstLineChars="200"/>
        <w:rPr>
          <w:highlight w:val="none"/>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为高质量完成标准制定任务，2026年3月，启动《指南》制定工作，成立由市水利管理事务中心、上海勘测设计研究院有限公司、上海水生科技股份有限公司等单位技术人员组成的编制组。5月22日，召开工作大纲专家评审会。5月至8月，系统调研并收集相关资料，</w:t>
      </w: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确定《</w:t>
      </w:r>
      <w:r>
        <w:rPr>
          <w:rFonts w:hint="eastAsia" w:ascii="Times New Roman" w:hAnsi="Times New Roman" w:cstheme="minorBidi"/>
          <w:bCs w:val="0"/>
          <w:color w:val="000000" w:themeColor="text1"/>
          <w:sz w:val="28"/>
          <w:szCs w:val="28"/>
          <w:highlight w:val="none"/>
          <w:lang w:val="en-US" w:eastAsia="zh-CN"/>
          <w14:textFill>
            <w14:solidFill>
              <w14:schemeClr w14:val="tx1"/>
            </w14:solidFill>
          </w14:textFill>
        </w:rPr>
        <w:t>指南</w:t>
      </w:r>
      <w:r>
        <w:rPr>
          <w:rFonts w:hint="eastAsia" w:ascii="Times New Roman" w:hAnsi="Times New Roman" w:cstheme="minorBidi"/>
          <w:bCs w:val="0"/>
          <w:color w:val="000000" w:themeColor="text1"/>
          <w:sz w:val="28"/>
          <w:szCs w:val="28"/>
          <w:highlight w:val="none"/>
          <w:lang w:eastAsia="zh-CN"/>
          <w14:textFill>
            <w14:solidFill>
              <w14:schemeClr w14:val="tx1"/>
            </w14:solidFill>
          </w14:textFill>
        </w:rPr>
        <w:t>》内容，</w:t>
      </w: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形成初稿。8月31日，召开初稿专家评审会，根据专家意见补充完善并形成征求意见稿，9月公开征求意见。</w:t>
      </w:r>
    </w:p>
    <w:p w14:paraId="1FDE23F6">
      <w:pPr>
        <w:pStyle w:val="3"/>
        <w:keepNext/>
        <w:keepLines/>
        <w:pageBreakBefore w:val="0"/>
        <w:widowControl w:val="0"/>
        <w:numPr>
          <w:ilvl w:val="0"/>
          <w:numId w:val="1"/>
        </w:numPr>
        <w:kinsoku/>
        <w:wordWrap/>
        <w:overflowPunct/>
        <w:topLinePunct w:val="0"/>
        <w:autoSpaceDE/>
        <w:autoSpaceDN/>
        <w:bidi w:val="0"/>
        <w:adjustRightInd/>
        <w:snapToGrid/>
        <w:spacing w:before="0" w:after="0" w:line="579" w:lineRule="auto"/>
        <w:jc w:val="left"/>
        <w:textAlignment w:val="auto"/>
        <w:rPr>
          <w:rFonts w:hint="eastAsia" w:ascii="Times New Roman" w:hAnsi="Times New Roman"/>
          <w:b/>
          <w:bCs/>
          <w:color w:val="000000" w:themeColor="text1"/>
          <w:sz w:val="30"/>
          <w:szCs w:val="30"/>
          <w:highlight w:val="none"/>
          <w:lang w:val="en-US" w:eastAsia="zh-CN"/>
          <w14:textFill>
            <w14:solidFill>
              <w14:schemeClr w14:val="tx1"/>
            </w14:solidFill>
          </w14:textFill>
        </w:rPr>
      </w:pPr>
      <w:bookmarkStart w:id="4" w:name="_Toc29864"/>
      <w:bookmarkStart w:id="5" w:name="_Toc19484"/>
      <w:bookmarkStart w:id="6" w:name="_Toc17484"/>
      <w:bookmarkStart w:id="7" w:name="_Toc25309"/>
      <w:r>
        <w:rPr>
          <w:rFonts w:hint="eastAsia" w:ascii="Times New Roman" w:hAnsi="Times New Roman"/>
          <w:b/>
          <w:bCs/>
          <w:color w:val="000000" w:themeColor="text1"/>
          <w:sz w:val="30"/>
          <w:szCs w:val="30"/>
          <w:highlight w:val="none"/>
          <w:lang w:val="en-US" w:eastAsia="zh-CN"/>
          <w14:textFill>
            <w14:solidFill>
              <w14:schemeClr w14:val="tx1"/>
            </w14:solidFill>
          </w14:textFill>
        </w:rPr>
        <w:t>编制原则及主要</w:t>
      </w:r>
      <w:r>
        <w:rPr>
          <w:rFonts w:hint="eastAsia"/>
          <w:b/>
          <w:bCs/>
          <w:color w:val="000000" w:themeColor="text1"/>
          <w:sz w:val="30"/>
          <w:szCs w:val="30"/>
          <w:highlight w:val="none"/>
          <w:lang w:val="en-US" w:eastAsia="zh-CN"/>
          <w14:textFill>
            <w14:solidFill>
              <w14:schemeClr w14:val="tx1"/>
            </w14:solidFill>
          </w14:textFill>
        </w:rPr>
        <w:t>制定</w:t>
      </w:r>
      <w:r>
        <w:rPr>
          <w:rFonts w:hint="eastAsia" w:ascii="Times New Roman" w:hAnsi="Times New Roman"/>
          <w:b/>
          <w:bCs/>
          <w:color w:val="000000" w:themeColor="text1"/>
          <w:sz w:val="30"/>
          <w:szCs w:val="30"/>
          <w:highlight w:val="none"/>
          <w:lang w:val="en-US" w:eastAsia="zh-CN"/>
          <w14:textFill>
            <w14:solidFill>
              <w14:schemeClr w14:val="tx1"/>
            </w14:solidFill>
          </w14:textFill>
        </w:rPr>
        <w:t>内容</w:t>
      </w:r>
      <w:bookmarkEnd w:id="4"/>
      <w:bookmarkEnd w:id="5"/>
      <w:bookmarkEnd w:id="6"/>
      <w:bookmarkEnd w:id="7"/>
    </w:p>
    <w:p w14:paraId="4044AB03">
      <w:pPr>
        <w:keepNext w:val="0"/>
        <w:keepLines w:val="0"/>
        <w:pageBreakBefore w:val="0"/>
        <w:widowControl w:val="0"/>
        <w:numPr>
          <w:ilvl w:val="-1"/>
          <w:numId w:val="0"/>
        </w:numPr>
        <w:kinsoku/>
        <w:wordWrap/>
        <w:overflowPunct/>
        <w:topLinePunct w:val="0"/>
        <w:autoSpaceDE/>
        <w:autoSpaceDN/>
        <w:bidi w:val="0"/>
        <w:adjustRightInd/>
        <w:snapToGrid/>
        <w:spacing w:line="480" w:lineRule="auto"/>
        <w:ind w:firstLine="562" w:firstLineChars="200"/>
        <w:jc w:val="left"/>
        <w:textAlignment w:val="auto"/>
        <w:rPr>
          <w:rFonts w:hint="eastAsia"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（一）编制原则</w:t>
      </w:r>
    </w:p>
    <w:p w14:paraId="0095085B">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1．遵循生态优先、绿色发展的要求，以恢复自然稳定的河道生态系统为导向，坚持自然恢复为主、人工修复为辅；</w:t>
      </w:r>
    </w:p>
    <w:p w14:paraId="424EC081">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2．统筹水安全、水资源、水环境、水生态要素和人与自然和谐共生的生态服务功能需求，系统考虑河道上下游、左右岸、水陆域等空间维度和生态系统发育时间序列，系统全面地制定技术标准；</w:t>
      </w:r>
    </w:p>
    <w:p w14:paraId="35B48255">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3．适应经济社会发展同步，因地制宜、节能高效，统筹前期建设与后期管护，技术先进、经济合理、安全环保和节能、维护公众利益、协商一致、广泛参与和公开透明；</w:t>
      </w:r>
    </w:p>
    <w:p w14:paraId="78038CB1">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4．编写注重科学性、合理性、可操作性等原则，应给技术发展预留自由度。</w:t>
      </w:r>
    </w:p>
    <w:p w14:paraId="26B127B2">
      <w:pPr>
        <w:keepNext w:val="0"/>
        <w:keepLines w:val="0"/>
        <w:pageBreakBefore w:val="0"/>
        <w:widowControl w:val="0"/>
        <w:numPr>
          <w:ilvl w:val="-1"/>
          <w:numId w:val="0"/>
        </w:numPr>
        <w:kinsoku/>
        <w:wordWrap/>
        <w:overflowPunct/>
        <w:topLinePunct w:val="0"/>
        <w:autoSpaceDE/>
        <w:autoSpaceDN/>
        <w:bidi w:val="0"/>
        <w:adjustRightInd/>
        <w:snapToGrid/>
        <w:spacing w:line="480" w:lineRule="auto"/>
        <w:ind w:firstLine="562" w:firstLineChars="200"/>
        <w:jc w:val="left"/>
        <w:textAlignment w:val="auto"/>
        <w:rPr>
          <w:rFonts w:hint="eastAsia"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（二）主要制定内容</w:t>
      </w:r>
    </w:p>
    <w:p w14:paraId="41EAEB33">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本标准在制定过程中，编制组根据上海市《关于加强本市美丽幸福河湖建设的指导意见》，深入贯彻习近平生态文明思想和习近平总书记关于治水重要论述精神，践行人民城市理念，统筹高质量发展和高水平安全、高水平保护，服务“美丽上海”建设，围绕人民对美好生活的向往，推动滨水空间开放共享，打造更多满足市民需要、提升市民感受的美丽幸福河湖。本标准通过规范上海市河道生态治理设计程序和技术要点，指导规范开展河道生态治理设计，进而提高设计质量。</w:t>
      </w:r>
    </w:p>
    <w:p w14:paraId="1D9F5E9C">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left"/>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本标准包含“前言、总则、术语、基本规定、设计程序、设计要点”等章节。</w:t>
      </w:r>
    </w:p>
    <w:p w14:paraId="1EBF3AD9">
      <w:pPr>
        <w:keepNext w:val="0"/>
        <w:keepLines w:val="0"/>
        <w:pageBreakBefore w:val="0"/>
        <w:widowControl w:val="0"/>
        <w:numPr>
          <w:ilvl w:val="-1"/>
          <w:numId w:val="0"/>
        </w:numPr>
        <w:kinsoku/>
        <w:wordWrap/>
        <w:overflowPunct/>
        <w:topLinePunct w:val="0"/>
        <w:autoSpaceDE/>
        <w:autoSpaceDN/>
        <w:bidi w:val="0"/>
        <w:adjustRightInd/>
        <w:snapToGrid/>
        <w:spacing w:line="480" w:lineRule="auto"/>
        <w:ind w:firstLine="562" w:firstLineChars="200"/>
        <w:jc w:val="left"/>
        <w:textAlignment w:val="auto"/>
        <w:rPr>
          <w:rFonts w:hint="eastAsia"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1.前言</w:t>
      </w:r>
    </w:p>
    <w:p w14:paraId="735B67B7">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根据上海市水务海洋标准化指导性文件制修订计划安排，按照SL/T 1—2024《水利技术标准编写规程》的有关规定，制定本标准。</w:t>
      </w:r>
    </w:p>
    <w:p w14:paraId="7D67A765">
      <w:pPr>
        <w:keepNext w:val="0"/>
        <w:keepLines w:val="0"/>
        <w:pageBreakBefore w:val="0"/>
        <w:widowControl w:val="0"/>
        <w:numPr>
          <w:ilvl w:val="-1"/>
          <w:numId w:val="0"/>
        </w:numPr>
        <w:kinsoku/>
        <w:wordWrap/>
        <w:overflowPunct/>
        <w:topLinePunct w:val="0"/>
        <w:autoSpaceDE/>
        <w:autoSpaceDN/>
        <w:bidi w:val="0"/>
        <w:adjustRightInd/>
        <w:snapToGrid/>
        <w:spacing w:line="480" w:lineRule="auto"/>
        <w:ind w:firstLine="562" w:firstLineChars="200"/>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2.总则</w:t>
      </w:r>
    </w:p>
    <w:p w14:paraId="069266C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1）制定本指南的目的及适用范围；</w:t>
      </w:r>
    </w:p>
    <w:p w14:paraId="70CCC5C6">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2）根据技术内容需要，引用相关标准；</w:t>
      </w:r>
    </w:p>
    <w:p w14:paraId="1701B925">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3）河道生态治理工程宜采用和推广的技术产品等及应遵循的标准。</w:t>
      </w:r>
    </w:p>
    <w:p w14:paraId="7CA162DD">
      <w:pPr>
        <w:keepNext w:val="0"/>
        <w:keepLines w:val="0"/>
        <w:pageBreakBefore w:val="0"/>
        <w:widowControl w:val="0"/>
        <w:numPr>
          <w:ilvl w:val="-1"/>
          <w:numId w:val="0"/>
        </w:numPr>
        <w:kinsoku/>
        <w:wordWrap/>
        <w:overflowPunct/>
        <w:topLinePunct w:val="0"/>
        <w:autoSpaceDE/>
        <w:autoSpaceDN/>
        <w:bidi w:val="0"/>
        <w:adjustRightInd/>
        <w:snapToGrid/>
        <w:spacing w:line="480" w:lineRule="auto"/>
        <w:ind w:firstLine="562" w:firstLineChars="200"/>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3.术语</w:t>
      </w:r>
    </w:p>
    <w:p w14:paraId="59E67E90">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1）结合本标准规定的技术内容，阐述部分术语定义；</w:t>
      </w:r>
    </w:p>
    <w:p w14:paraId="486F228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2）SL 26界定的术语。</w:t>
      </w:r>
    </w:p>
    <w:p w14:paraId="34A3EC6A">
      <w:pPr>
        <w:keepNext w:val="0"/>
        <w:keepLines w:val="0"/>
        <w:pageBreakBefore w:val="0"/>
        <w:widowControl w:val="0"/>
        <w:numPr>
          <w:ilvl w:val="-1"/>
          <w:numId w:val="0"/>
        </w:numPr>
        <w:kinsoku/>
        <w:wordWrap/>
        <w:overflowPunct/>
        <w:topLinePunct w:val="0"/>
        <w:autoSpaceDE/>
        <w:autoSpaceDN/>
        <w:bidi w:val="0"/>
        <w:adjustRightInd/>
        <w:snapToGrid/>
        <w:spacing w:line="480" w:lineRule="auto"/>
        <w:ind w:firstLine="562" w:firstLineChars="200"/>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4.基本规定</w:t>
      </w:r>
    </w:p>
    <w:p w14:paraId="0FD279C4">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1）开展河道生态治理工程设计前应遵循的基础条件；</w:t>
      </w:r>
    </w:p>
    <w:p w14:paraId="63759FB5">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2）应结合低扰动，自然恢复为主，人工干预为辅以及区域的自然特点及定位等展开设计；</w:t>
      </w:r>
    </w:p>
    <w:p w14:paraId="66AAD5F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3）应依据SL/T 617、SL/T 618、SL/T 619相应编制深度要求，编制河道生态治理工程项目建议书、工程可行性研究报告、初步设计等设计文件。施工图阶段应提供详细可操作的施工图。</w:t>
      </w:r>
    </w:p>
    <w:p w14:paraId="3B3C471D">
      <w:pPr>
        <w:keepNext w:val="0"/>
        <w:keepLines w:val="0"/>
        <w:pageBreakBefore w:val="0"/>
        <w:widowControl w:val="0"/>
        <w:numPr>
          <w:ilvl w:val="-1"/>
          <w:numId w:val="0"/>
        </w:numPr>
        <w:kinsoku/>
        <w:wordWrap/>
        <w:overflowPunct/>
        <w:topLinePunct w:val="0"/>
        <w:autoSpaceDE/>
        <w:autoSpaceDN/>
        <w:bidi w:val="0"/>
        <w:adjustRightInd/>
        <w:snapToGrid/>
        <w:spacing w:line="480" w:lineRule="auto"/>
        <w:ind w:firstLine="562" w:firstLineChars="200"/>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5.设计程序</w:t>
      </w:r>
    </w:p>
    <w:p w14:paraId="583CFFC7">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1）河道生态治理设计内容应包含现状调查与诊断分析、工程目标与任务、工艺论证、总体布局与规模、措施设计、施工组织设计、生态监测与养护管理方案设计、投资和效益评价等内容。</w:t>
      </w:r>
    </w:p>
    <w:p w14:paraId="730BE7AA">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2）对胁迫因子单一、规模较小且不承担区域主要排涝调蓄任务的河道（段），可适当简化设计流程，但工艺和措施设计仍应进行比选论证；涉及防洪排涝能力复核、护岸结构改造、污染底泥处置的工程内容，按工程内容相关设计标准要求开展设计。</w:t>
      </w:r>
    </w:p>
    <w:p w14:paraId="420742CF">
      <w:pPr>
        <w:keepNext w:val="0"/>
        <w:keepLines w:val="0"/>
        <w:pageBreakBefore w:val="0"/>
        <w:widowControl w:val="0"/>
        <w:numPr>
          <w:ilvl w:val="-1"/>
          <w:numId w:val="0"/>
        </w:numPr>
        <w:kinsoku/>
        <w:wordWrap/>
        <w:overflowPunct/>
        <w:topLinePunct w:val="0"/>
        <w:autoSpaceDE/>
        <w:autoSpaceDN/>
        <w:bidi w:val="0"/>
        <w:adjustRightInd/>
        <w:snapToGrid/>
        <w:spacing w:line="480" w:lineRule="auto"/>
        <w:ind w:firstLine="562" w:firstLineChars="200"/>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b/>
          <w:bCs/>
          <w:color w:val="000000" w:themeColor="text1"/>
          <w:sz w:val="28"/>
          <w:szCs w:val="28"/>
          <w:highlight w:val="none"/>
          <w:lang w:val="en-US" w:eastAsia="zh-CN"/>
          <w14:textFill>
            <w14:solidFill>
              <w14:schemeClr w14:val="tx1"/>
            </w14:solidFill>
          </w14:textFill>
        </w:rPr>
        <w:t>6.设计要点</w:t>
      </w:r>
    </w:p>
    <w:p w14:paraId="66A26361">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1）现状调查与诊断分析：合理确定调查范围和调查周期。调查范围应包括工程所在河道管理范围和地表径流汇水范围内的陆域空间，并适度外扩至最近泵、闸、坝、堰等水利控制构筑物；调查周期宜不少于1个完整水文年，确因资料和周期限制无法收集调查的，应至少覆盖一个丰水期和一个枯水期，并论证监测数据的代表性。</w:t>
      </w:r>
    </w:p>
    <w:p w14:paraId="54D2AFF3">
      <w:pPr>
        <w:keepNext w:val="0"/>
        <w:keepLines w:val="0"/>
        <w:pageBreakBefore w:val="0"/>
        <w:widowControl w:val="0"/>
        <w:numPr>
          <w:ilvl w:val="0"/>
          <w:numId w:val="2"/>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工程目标与任务：应依据相关规划和功能定位，按城镇、乡村河道（段），从完善生态系统结构，提升生态服务功能，经济合理、长效可持续的角度，分类合理确定生境、水文、水质、生物群落恢复、清澈度等方面的河道生态治理工程目标。应以解决河道生态问题为导向，综合考虑规划功能定位和生态治理需求，提出生境营造和生物群落恢复等工程任务。</w:t>
      </w:r>
    </w:p>
    <w:p w14:paraId="1B7CB34A">
      <w:pPr>
        <w:keepNext w:val="0"/>
        <w:keepLines w:val="0"/>
        <w:pageBreakBefore w:val="0"/>
        <w:widowControl w:val="0"/>
        <w:numPr>
          <w:ilvl w:val="0"/>
          <w:numId w:val="2"/>
        </w:numPr>
        <w:kinsoku/>
        <w:wordWrap/>
        <w:overflowPunct/>
        <w:topLinePunct w:val="0"/>
        <w:autoSpaceDE/>
        <w:autoSpaceDN/>
        <w:bidi w:val="0"/>
        <w:adjustRightInd/>
        <w:snapToGrid/>
        <w:spacing w:line="480" w:lineRule="auto"/>
        <w:ind w:firstLine="560" w:firstLineChars="20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default" w:ascii="Times New Roman" w:hAnsi="Times New Roman"/>
          <w:b w:val="0"/>
          <w:bCs w:val="0"/>
          <w:color w:val="000000" w:themeColor="text1"/>
          <w:sz w:val="28"/>
          <w:szCs w:val="28"/>
          <w:highlight w:val="none"/>
          <w:lang w:val="en-US" w:eastAsia="zh-CN"/>
          <w14:textFill>
            <w14:solidFill>
              <w14:schemeClr w14:val="tx1"/>
            </w14:solidFill>
          </w14:textFill>
        </w:rPr>
        <w:t>总体布局与规模</w:t>
      </w: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应根据工程目标和任务，从生态性、经济性、可持续性角度进行工艺论证比选，制定科学、合理的技术路线，确保生态治理工程后续布局合理，措施可行，目标可达。工程总体布局应遵循水文、生态特征与规律，针对不同胁迫因子，结合工程任务类型，进行空间布局设计。工程规模论证应充分考虑生物动态生长变化属性，根据生境条件，结合各类措施特征参数，确定设计初始规模。工程措施的比选，宜在广泛调研适用于上海市气候环境特征的技术特征参数基础上，从高效性、安全性、可靠性、经济性、养护难易程度等多个维度进行综合比选。宜通过水文－水质数学模型等技术，验证水文、水质、清澈度等目标的可达性。</w:t>
      </w:r>
    </w:p>
    <w:p w14:paraId="7821784E">
      <w:pPr>
        <w:keepNext w:val="0"/>
        <w:keepLines w:val="0"/>
        <w:pageBreakBefore w:val="0"/>
        <w:widowControl w:val="0"/>
        <w:numPr>
          <w:ilvl w:val="0"/>
          <w:numId w:val="2"/>
        </w:numPr>
        <w:kinsoku/>
        <w:wordWrap/>
        <w:overflowPunct/>
        <w:topLinePunct w:val="0"/>
        <w:autoSpaceDE/>
        <w:autoSpaceDN/>
        <w:bidi w:val="0"/>
        <w:adjustRightInd/>
        <w:snapToGrid/>
        <w:spacing w:line="480" w:lineRule="auto"/>
        <w:ind w:firstLine="560" w:firstLineChars="20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default" w:ascii="Times New Roman" w:hAnsi="Times New Roman"/>
          <w:b w:val="0"/>
          <w:bCs w:val="0"/>
          <w:color w:val="000000" w:themeColor="text1"/>
          <w:sz w:val="28"/>
          <w:szCs w:val="28"/>
          <w:highlight w:val="none"/>
          <w:lang w:val="en-US" w:eastAsia="zh-CN"/>
          <w14:textFill>
            <w14:solidFill>
              <w14:schemeClr w14:val="tx1"/>
            </w14:solidFill>
          </w14:textFill>
        </w:rPr>
        <w:t>措施设计</w:t>
      </w: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：生境营造方面对平面形态优化、断面形式优化、生态护岸结构、水下地形塑造、水文动力调控、水质净化维持做出规定。生物群落恢复方面对边坡陆域绿化、水生植物配置做出规定。</w:t>
      </w:r>
    </w:p>
    <w:p w14:paraId="38273B96">
      <w:pPr>
        <w:keepNext w:val="0"/>
        <w:keepLines w:val="0"/>
        <w:pageBreakBefore w:val="0"/>
        <w:widowControl w:val="0"/>
        <w:numPr>
          <w:ilvl w:val="0"/>
          <w:numId w:val="2"/>
        </w:numPr>
        <w:kinsoku/>
        <w:wordWrap/>
        <w:overflowPunct/>
        <w:topLinePunct w:val="0"/>
        <w:autoSpaceDE/>
        <w:autoSpaceDN/>
        <w:bidi w:val="0"/>
        <w:adjustRightInd/>
        <w:snapToGrid/>
        <w:spacing w:line="480" w:lineRule="auto"/>
        <w:ind w:firstLine="560" w:firstLineChars="20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施工组织设计：应遵循生态系统的季节属性，并考虑汛期施工条件限制。各设计阶段施工组织设计要求按照SL/T 617、SL/T 618、SL/T 619执行。</w:t>
      </w:r>
    </w:p>
    <w:p w14:paraId="799C0A6F">
      <w:pPr>
        <w:keepNext w:val="0"/>
        <w:keepLines w:val="0"/>
        <w:pageBreakBefore w:val="0"/>
        <w:widowControl w:val="0"/>
        <w:numPr>
          <w:ilvl w:val="0"/>
          <w:numId w:val="2"/>
        </w:numPr>
        <w:kinsoku/>
        <w:wordWrap/>
        <w:overflowPunct/>
        <w:topLinePunct w:val="0"/>
        <w:autoSpaceDE/>
        <w:autoSpaceDN/>
        <w:bidi w:val="0"/>
        <w:adjustRightInd/>
        <w:snapToGrid/>
        <w:spacing w:line="480" w:lineRule="auto"/>
        <w:ind w:firstLine="560" w:firstLineChars="20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生态监测和养护管理方案设计：设计阶段应根据治理后工程河道生态系统考核评估和长效管理需求制定河道生态监测方案；应根据河道生态治理工程目标与任务、总体布局，充分考虑生物群落恢复措施生物属性，制定生态养护管理方案。</w:t>
      </w:r>
    </w:p>
    <w:p w14:paraId="1FC56633">
      <w:pPr>
        <w:keepNext w:val="0"/>
        <w:keepLines w:val="0"/>
        <w:pageBreakBefore w:val="0"/>
        <w:widowControl w:val="0"/>
        <w:numPr>
          <w:ilvl w:val="0"/>
          <w:numId w:val="2"/>
        </w:numPr>
        <w:kinsoku/>
        <w:wordWrap/>
        <w:overflowPunct/>
        <w:topLinePunct w:val="0"/>
        <w:autoSpaceDE/>
        <w:autoSpaceDN/>
        <w:bidi w:val="0"/>
        <w:adjustRightInd/>
        <w:snapToGrid/>
        <w:spacing w:line="480" w:lineRule="auto"/>
        <w:ind w:firstLine="560" w:firstLineChars="20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投资和效益评价：措施工程量应按照SL 328的要求进行计算，工程投资应明确资金来源和筹措方式。</w:t>
      </w:r>
    </w:p>
    <w:p w14:paraId="67CDCDC8">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p>
    <w:p w14:paraId="2A87C0A3">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p>
    <w:p w14:paraId="29D7DC4D">
      <w:pP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br w:type="page"/>
      </w:r>
    </w:p>
    <w:p w14:paraId="587D9212">
      <w:pPr>
        <w:pStyle w:val="3"/>
        <w:keepNext/>
        <w:keepLines/>
        <w:pageBreakBefore w:val="0"/>
        <w:widowControl w:val="0"/>
        <w:numPr>
          <w:ilvl w:val="0"/>
          <w:numId w:val="1"/>
        </w:numPr>
        <w:kinsoku/>
        <w:wordWrap/>
        <w:overflowPunct/>
        <w:topLinePunct w:val="0"/>
        <w:autoSpaceDE/>
        <w:autoSpaceDN/>
        <w:bidi w:val="0"/>
        <w:adjustRightInd/>
        <w:snapToGrid/>
        <w:spacing w:before="0" w:after="0" w:line="579" w:lineRule="auto"/>
        <w:textAlignment w:val="auto"/>
        <w:rPr>
          <w:rFonts w:hint="default" w:ascii="Times New Roman" w:hAnsi="Times New Roman"/>
          <w:sz w:val="30"/>
          <w:szCs w:val="30"/>
          <w:highlight w:val="none"/>
          <w:lang w:val="en-US" w:eastAsia="zh-CN"/>
        </w:rPr>
      </w:pPr>
      <w:bookmarkStart w:id="8" w:name="_Toc25296"/>
      <w:bookmarkStart w:id="9" w:name="_Toc24295"/>
      <w:bookmarkStart w:id="10" w:name="_Toc28097"/>
      <w:bookmarkStart w:id="11" w:name="_Toc32451"/>
      <w:bookmarkStart w:id="12" w:name="_Toc7551"/>
      <w:r>
        <w:rPr>
          <w:rFonts w:hint="eastAsia" w:ascii="Times New Roman" w:hAnsi="Times New Roman"/>
          <w:sz w:val="30"/>
          <w:szCs w:val="30"/>
          <w:highlight w:val="none"/>
          <w:lang w:val="en-US" w:eastAsia="zh-CN"/>
        </w:rPr>
        <w:t>与国内外同类标准技术内容的对比情况</w:t>
      </w:r>
      <w:bookmarkEnd w:id="8"/>
      <w:bookmarkEnd w:id="9"/>
      <w:bookmarkEnd w:id="10"/>
      <w:bookmarkEnd w:id="11"/>
      <w:bookmarkEnd w:id="12"/>
    </w:p>
    <w:p w14:paraId="121165E0">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default" w:ascii="Times New Roman" w:hAnsi="Times New Roman"/>
          <w:b/>
          <w:bCs/>
          <w:color w:val="000000" w:themeColor="text1"/>
          <w:sz w:val="28"/>
          <w:szCs w:val="28"/>
          <w:highlight w:val="none"/>
          <w:lang w:val="en-US" w:eastAsia="zh-CN"/>
          <w14:textFill>
            <w14:solidFill>
              <w14:schemeClr w14:val="tx1"/>
            </w14:solidFill>
          </w14:textFill>
        </w:rPr>
        <w:t>（一）国外相关标准分析</w:t>
      </w:r>
    </w:p>
    <w:p w14:paraId="70A790DA">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default" w:ascii="Times New Roman" w:hAnsi="Times New Roman"/>
          <w:b w:val="0"/>
          <w:bCs w:val="0"/>
          <w:color w:val="000000" w:themeColor="text1"/>
          <w:sz w:val="28"/>
          <w:szCs w:val="28"/>
          <w:highlight w:val="none"/>
          <w:lang w:val="en-US" w:eastAsia="zh-CN"/>
          <w14:textFill>
            <w14:solidFill>
              <w14:schemeClr w14:val="tx1"/>
            </w14:solidFill>
          </w14:textFill>
        </w:rPr>
        <w:t>自20世纪70年代以来，随着生态学的发展应用，发达国家对于河流治理已有了新的认识，如河流的生态工程在德国称为“河川生态自然工程”，日本称为“多自然型建设工法”，美国称为“自然河道设计技术”。欧盟以《水框架指令》为核心，配套发布了大量关于河流形态、水文情势和生物质量评估的EN系列标准，强调跨国界的流域综合管理与生态状态的整体提升。70年代，美国通过了一系列有关河湖保护的联邦立法。1972年颁布清洁水法，强化污水处理和控制排放，推行清洁生产，是美国河湖生态保护修复的重要法律依据</w:t>
      </w: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2007年《河溪修复手册》提供了一整套河流修复理论和实践指导。1876年英国颁布河流污染防治法，这是英国历史上第一部防治河流污染的国家立法，也是世界上第一部水环境保护法规，2005年颁布《河流修复技术手册》，以案例方式提供了河流生态修复相关技术的说明。20世纪80年代，日本意识到快速城市化和工业化会对河湖造成损害，认识到保护景观与生物多样性的重要性，90年代开始倡导多自然型河流建设，2008年颁布《中小河流修复技术标准》《中小河流修复技术标准说明》，明确中小河流修复技术标准包括适用范围、设计洪水位、河道岸边线和河宽、横断面形状等内容</w:t>
      </w:r>
      <w:r>
        <w:rPr>
          <w:rFonts w:hint="default" w:ascii="Times New Roman" w:hAnsi="Times New Roman"/>
          <w:b w:val="0"/>
          <w:bCs w:val="0"/>
          <w:color w:val="000000" w:themeColor="text1"/>
          <w:sz w:val="28"/>
          <w:szCs w:val="28"/>
          <w:highlight w:val="none"/>
          <w:lang w:val="en-US" w:eastAsia="zh-CN"/>
          <w14:textFill>
            <w14:solidFill>
              <w14:schemeClr w14:val="tx1"/>
            </w14:solidFill>
          </w14:textFill>
        </w:rPr>
        <w:t>。</w:t>
      </w:r>
    </w:p>
    <w:p w14:paraId="291C528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left"/>
        <w:textAlignment w:val="auto"/>
        <w:rPr>
          <w:rFonts w:hint="default" w:ascii="Times New Roman" w:hAnsi="Times New Roman"/>
          <w:b/>
          <w:bCs/>
          <w:color w:val="000000" w:themeColor="text1"/>
          <w:sz w:val="28"/>
          <w:szCs w:val="28"/>
          <w:highlight w:val="none"/>
          <w:lang w:val="en-US" w:eastAsia="zh-CN"/>
          <w14:textFill>
            <w14:solidFill>
              <w14:schemeClr w14:val="tx1"/>
            </w14:solidFill>
          </w14:textFill>
        </w:rPr>
      </w:pPr>
      <w:r>
        <w:rPr>
          <w:rFonts w:hint="default" w:ascii="Times New Roman" w:hAnsi="Times New Roman"/>
          <w:b/>
          <w:bCs/>
          <w:color w:val="000000" w:themeColor="text1"/>
          <w:sz w:val="28"/>
          <w:szCs w:val="28"/>
          <w:highlight w:val="none"/>
          <w:lang w:val="en-US" w:eastAsia="zh-CN"/>
          <w14:textFill>
            <w14:solidFill>
              <w14:schemeClr w14:val="tx1"/>
            </w14:solidFill>
          </w14:textFill>
        </w:rPr>
        <w:t>（二）国内相关标准分析</w:t>
      </w:r>
    </w:p>
    <w:p w14:paraId="5935902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《水生态健康评价技术指南》（GB/T 43476）：规定了水生态系统健康评价的指标体系、评价方法及分级标准，主要用于评估水生态系统的健康状况。本指南与该标准的核心区别在于功能定位，前者侧重于“评价”，即如何给河流“体检”打分，而本指南则侧重于“设计”。本指南不涉及评分模型，而是将评价结果转化为具体的工程措施，如生境营造、生物投放等，并特别增加了水体清澈度提升的具体设计要求。</w:t>
      </w:r>
    </w:p>
    <w:p w14:paraId="52EB792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《堤防工程设计规范》（GB 50286）：规定了堤防工程的级别、防洪标准、结构设计及稳定计算等技术要求，其核心是保障防洪安全。本指南在遵循GB 50286确保防洪安全的基础上，将重点转向生态功能的恢复。在断面设计上，本指南推荐采用复式断面、生态缓坡等自然形态，并允许在满足安全前提下对硬质护岸进行生态化改造，增加了亲水功能和生物栖息功能，实现了从单一安全目标向安全与生态复合目标的转变。</w:t>
      </w:r>
    </w:p>
    <w:p w14:paraId="09F6BB05">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《河湖生态保护与修复规划导则》（SL 709）：指导河湖生态保护与修复的规划编制，涉及规划目标、总体布局和重点任务，属于宏观规划层面。本指南与SL 709的主要区别在于工作阶段，前者属于规划阶段，而本指南属于工程设计阶段。本指南提供了比规划导则更具落地性的内容，包括具体的工艺参数，如植物种植密度、水深控制等。</w:t>
      </w:r>
    </w:p>
    <w:p w14:paraId="1FB96E81">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《河湖健康评估技术导则》（SL/T 793）：建立了河湖健康评估的指标体系和方法，用于判断河湖在水文、水质、生物等方面的健康状况。本指南的功能定位不同，前者是诊断工具，而本指南是治疗方案。本指南第5.1节虽然引用了健康评估的概念进行现状诊断，但其根本目的是确定胁迫因子（如流速不足、底泥污染），进而指导第5.4节的具体措施设计（如水动力调控、底泥修复），而非仅仅得出一个健康评分。</w:t>
      </w:r>
    </w:p>
    <w:p w14:paraId="4570701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《生态清洁小流域建设技术导则》（SL 534）：侧重于水土流失治理、面源污染控制和生态修复。SL 534主要针对小流域，关注坡面治理，强调保土保水，而本指南针对平原河网，关注河道本体及滨水空间，强调水体流动性和生境多样性。</w:t>
      </w:r>
    </w:p>
    <w:p w14:paraId="7ABA93F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上海市河道规划设计导则》（2019年）：指导上海市河道的规划与景观设计，强调蓝绿融合、空间开放和景观风貌。本指南与该导则的专业侧重不同，2019年导则偏向空间规划和景观风貌，而本指南则偏向水利与生态工程技术。</w:t>
      </w:r>
    </w:p>
    <w:p w14:paraId="3F3EEDE9">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《上海市河道维修养护技术规程》（DB31 SW/Z 027）规定了河道日常维修养护的技术要求，包括保洁、绿化养护和设施维修。本指南与DB31 SW/Z 027在时间维度上形成前后衔接，前者关注建成后的日常运维，而本指南关注建设期的设计与施工。</w:t>
      </w:r>
    </w:p>
    <w:p w14:paraId="425CCA8F">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《上海市河道疏浚底泥处理处置技术指南（试行）》（DB31 SW/Z 018）专门针对河道疏浚底泥的处理、处置及资源化利用提供技术指导。DB31 SW/Z 018主要关注底泥这一单一要素，本指南进一步将底泥处理与水下地形塑造和生境营造相结合，强调利用疏浚土方进行微地形改造以利于植物生长。</w:t>
      </w:r>
    </w:p>
    <w:p w14:paraId="4D7A8AC9">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《上海市河湖健康评价技术指南（试行）》（DB31 SW/Z 001）：结合上海特点，制定了河湖健康评价的具体指标和标准，用于本地化的河湖体检。DB31 SW/Z 001是评价标准，而本指南是针对相关问题具体的行动指南。本指南将部分评价指标转化为具体的设计目标。例如，将评价数据转化为工程语言。</w:t>
      </w:r>
    </w:p>
    <w:p w14:paraId="531277A4">
      <w:pPr>
        <w:pStyle w:val="3"/>
        <w:keepNext/>
        <w:keepLines/>
        <w:pageBreakBefore w:val="0"/>
        <w:widowControl w:val="0"/>
        <w:numPr>
          <w:ilvl w:val="0"/>
          <w:numId w:val="1"/>
        </w:numPr>
        <w:kinsoku/>
        <w:wordWrap/>
        <w:overflowPunct/>
        <w:topLinePunct w:val="0"/>
        <w:autoSpaceDE/>
        <w:autoSpaceDN/>
        <w:bidi w:val="0"/>
        <w:adjustRightInd/>
        <w:snapToGrid/>
        <w:spacing w:before="0" w:after="0" w:line="579" w:lineRule="auto"/>
        <w:textAlignment w:val="auto"/>
        <w:rPr>
          <w:rFonts w:hint="eastAsia" w:ascii="Times New Roman" w:hAnsi="Times New Roman"/>
          <w:sz w:val="30"/>
          <w:szCs w:val="30"/>
          <w:highlight w:val="none"/>
          <w:lang w:val="en-US" w:eastAsia="zh-CN"/>
        </w:rPr>
      </w:pPr>
      <w:bookmarkStart w:id="13" w:name="_Toc18119"/>
      <w:bookmarkStart w:id="14" w:name="_Toc19992"/>
      <w:bookmarkStart w:id="15" w:name="_Toc30454"/>
      <w:bookmarkStart w:id="16" w:name="_Toc18110"/>
      <w:bookmarkStart w:id="17" w:name="_Toc16961"/>
      <w:r>
        <w:rPr>
          <w:rFonts w:hint="eastAsia" w:ascii="Times New Roman" w:hAnsi="Times New Roman"/>
          <w:sz w:val="30"/>
          <w:szCs w:val="30"/>
          <w:highlight w:val="none"/>
          <w:lang w:val="en-US" w:eastAsia="zh-CN"/>
        </w:rPr>
        <w:t>与有关法律、行政法规及相关标准的关系</w:t>
      </w:r>
      <w:bookmarkEnd w:id="13"/>
      <w:bookmarkEnd w:id="14"/>
      <w:bookmarkEnd w:id="15"/>
      <w:bookmarkEnd w:id="16"/>
      <w:bookmarkEnd w:id="17"/>
    </w:p>
    <w:p w14:paraId="6AA91BB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both"/>
        <w:textAlignment w:val="auto"/>
        <w:rPr>
          <w:rFonts w:hint="default" w:ascii="Times New Roman" w:hAnsi="Times New Roman"/>
          <w:color w:val="000000" w:themeColor="text1"/>
          <w:sz w:val="28"/>
          <w:szCs w:val="28"/>
          <w:highlight w:val="none"/>
          <w14:textFill>
            <w14:solidFill>
              <w14:schemeClr w14:val="tx1"/>
            </w14:solidFill>
          </w14:textFill>
        </w:rPr>
      </w:pPr>
      <w:r>
        <w:rPr>
          <w:rFonts w:hint="default" w:ascii="Times New Roman" w:hAnsi="Times New Roman"/>
          <w:color w:val="000000" w:themeColor="text1"/>
          <w:sz w:val="28"/>
          <w:szCs w:val="28"/>
          <w:highlight w:val="none"/>
          <w14:textFill>
            <w14:solidFill>
              <w14:schemeClr w14:val="tx1"/>
            </w14:solidFill>
          </w14:textFill>
        </w:rPr>
        <w:t>本标准与现行</w:t>
      </w:r>
      <w:r>
        <w:rPr>
          <w:rFonts w:hint="eastAsia" w:ascii="Times New Roman" w:hAnsi="Times New Roman"/>
          <w:color w:val="000000" w:themeColor="text1"/>
          <w:sz w:val="28"/>
          <w:szCs w:val="28"/>
          <w:highlight w:val="none"/>
          <w:lang w:eastAsia="zh-CN"/>
          <w14:textFill>
            <w14:solidFill>
              <w14:schemeClr w14:val="tx1"/>
            </w14:solidFill>
          </w14:textFill>
        </w:rPr>
        <w:t>法律法规</w:t>
      </w:r>
      <w:r>
        <w:rPr>
          <w:rFonts w:hint="default" w:ascii="Times New Roman" w:hAnsi="Times New Roman"/>
          <w:color w:val="000000" w:themeColor="text1"/>
          <w:sz w:val="28"/>
          <w:szCs w:val="28"/>
          <w:highlight w:val="none"/>
          <w14:textFill>
            <w14:solidFill>
              <w14:schemeClr w14:val="tx1"/>
            </w14:solidFill>
          </w14:textFill>
        </w:rPr>
        <w:t>、强制性及推荐性国家标准均保持一致，无矛盾或冲突。标准文件结构与格式按照《水利技术标准编写规程》（SL/T1—2024）进行编制。</w:t>
      </w:r>
      <w:r>
        <w:rPr>
          <w:rFonts w:hint="eastAsia" w:ascii="Times New Roman" w:hAnsi="Times New Roman"/>
          <w:color w:val="000000" w:themeColor="text1"/>
          <w:sz w:val="28"/>
          <w:szCs w:val="28"/>
          <w:highlight w:val="none"/>
          <w:lang w:val="en-US" w:eastAsia="zh-CN"/>
          <w14:textFill>
            <w14:solidFill>
              <w14:schemeClr w14:val="tx1"/>
            </w14:solidFill>
          </w14:textFill>
        </w:rPr>
        <w:t>同时，编制过程中参考了</w:t>
      </w:r>
      <w:r>
        <w:rPr>
          <w:rFonts w:hint="default" w:ascii="Times New Roman" w:hAnsi="Times New Roman"/>
          <w:color w:val="000000" w:themeColor="text1"/>
          <w:sz w:val="28"/>
          <w:szCs w:val="28"/>
          <w:highlight w:val="none"/>
          <w14:textFill>
            <w14:solidFill>
              <w14:schemeClr w14:val="tx1"/>
            </w14:solidFill>
          </w14:textFill>
        </w:rPr>
        <w:t>《中华人民共和国生态环境法典》（2026年）</w:t>
      </w:r>
      <w:r>
        <w:rPr>
          <w:rFonts w:hint="eastAsia" w:ascii="Times New Roman" w:hAnsi="Times New Roman"/>
          <w:color w:val="000000" w:themeColor="text1"/>
          <w:sz w:val="28"/>
          <w:szCs w:val="28"/>
          <w:highlight w:val="none"/>
          <w:lang w:eastAsia="zh-CN"/>
          <w14:textFill>
            <w14:solidFill>
              <w14:schemeClr w14:val="tx1"/>
            </w14:solidFill>
          </w14:textFill>
        </w:rPr>
        <w:t>，</w:t>
      </w:r>
      <w:r>
        <w:rPr>
          <w:rFonts w:hint="default" w:ascii="Times New Roman" w:hAnsi="Times New Roman"/>
          <w:color w:val="000000" w:themeColor="text1"/>
          <w:sz w:val="28"/>
          <w:szCs w:val="28"/>
          <w:highlight w:val="none"/>
          <w14:textFill>
            <w14:solidFill>
              <w14:schemeClr w14:val="tx1"/>
            </w14:solidFill>
          </w14:textFill>
        </w:rPr>
        <w:t>《中共中央 国务院关于全面推进美丽中国建设的意见》（2023年）</w:t>
      </w:r>
      <w:r>
        <w:rPr>
          <w:rFonts w:hint="eastAsia" w:ascii="Times New Roman" w:hAnsi="Times New Roman"/>
          <w:color w:val="000000" w:themeColor="text1"/>
          <w:sz w:val="28"/>
          <w:szCs w:val="28"/>
          <w:highlight w:val="none"/>
          <w:lang w:eastAsia="zh-CN"/>
          <w14:textFill>
            <w14:solidFill>
              <w14:schemeClr w14:val="tx1"/>
            </w14:solidFill>
          </w14:textFill>
        </w:rPr>
        <w:t>，</w:t>
      </w:r>
      <w:r>
        <w:rPr>
          <w:rFonts w:hint="default" w:ascii="Times New Roman" w:hAnsi="Times New Roman"/>
          <w:color w:val="000000" w:themeColor="text1"/>
          <w:sz w:val="28"/>
          <w:szCs w:val="28"/>
          <w:highlight w:val="none"/>
          <w14:textFill>
            <w14:solidFill>
              <w14:schemeClr w14:val="tx1"/>
            </w14:solidFill>
          </w14:textFill>
        </w:rPr>
        <w:t>《上海市环境保护条例》（2022年）</w:t>
      </w:r>
      <w:r>
        <w:rPr>
          <w:rFonts w:hint="eastAsia" w:ascii="Times New Roman" w:hAnsi="Times New Roman"/>
          <w:color w:val="000000" w:themeColor="text1"/>
          <w:sz w:val="28"/>
          <w:szCs w:val="28"/>
          <w:highlight w:val="none"/>
          <w:lang w:eastAsia="zh-CN"/>
          <w14:textFill>
            <w14:solidFill>
              <w14:schemeClr w14:val="tx1"/>
            </w14:solidFill>
          </w14:textFill>
        </w:rPr>
        <w:t>，</w:t>
      </w:r>
      <w:r>
        <w:rPr>
          <w:rFonts w:hint="default" w:ascii="Times New Roman" w:hAnsi="Times New Roman"/>
          <w:color w:val="000000" w:themeColor="text1"/>
          <w:sz w:val="28"/>
          <w:szCs w:val="28"/>
          <w:highlight w:val="none"/>
          <w14:textFill>
            <w14:solidFill>
              <w14:schemeClr w14:val="tx1"/>
            </w14:solidFill>
          </w14:textFill>
        </w:rPr>
        <w:t>《上海市河湖水体清澈度提升技术指导意见（试行）》（沪水务〔2025〕103号）</w:t>
      </w:r>
      <w:r>
        <w:rPr>
          <w:rFonts w:hint="eastAsia" w:ascii="Times New Roman" w:hAnsi="Times New Roman"/>
          <w:color w:val="000000" w:themeColor="text1"/>
          <w:sz w:val="28"/>
          <w:szCs w:val="28"/>
          <w:highlight w:val="none"/>
          <w:lang w:eastAsia="zh-CN"/>
          <w14:textFill>
            <w14:solidFill>
              <w14:schemeClr w14:val="tx1"/>
            </w14:solidFill>
          </w14:textFill>
        </w:rPr>
        <w:t>，《上海市河道边坡本土植物应用名录（第一批）》（沪水务〔2026〕98号）</w:t>
      </w:r>
      <w:r>
        <w:rPr>
          <w:rFonts w:hint="eastAsia" w:ascii="Times New Roman" w:hAnsi="Times New Roman"/>
          <w:color w:val="000000" w:themeColor="text1"/>
          <w:sz w:val="28"/>
          <w:szCs w:val="28"/>
          <w:highlight w:val="none"/>
          <w:lang w:val="en-US" w:eastAsia="zh-CN"/>
          <w14:textFill>
            <w14:solidFill>
              <w14:schemeClr w14:val="tx1"/>
            </w14:solidFill>
          </w14:textFill>
        </w:rPr>
        <w:t>和</w:t>
      </w:r>
      <w:r>
        <w:rPr>
          <w:rFonts w:hint="default" w:ascii="Times New Roman" w:hAnsi="Times New Roman"/>
          <w:color w:val="000000" w:themeColor="text1"/>
          <w:sz w:val="28"/>
          <w:szCs w:val="28"/>
          <w:highlight w:val="none"/>
          <w14:textFill>
            <w14:solidFill>
              <w14:schemeClr w14:val="tx1"/>
            </w14:solidFill>
          </w14:textFill>
        </w:rPr>
        <w:t>《上海市水系统治理“十五五”规划》（沪水务〔2026〕130号）等。</w:t>
      </w:r>
    </w:p>
    <w:p w14:paraId="449F25FA">
      <w:pPr>
        <w:pStyle w:val="3"/>
        <w:keepNext/>
        <w:keepLines/>
        <w:pageBreakBefore w:val="0"/>
        <w:widowControl w:val="0"/>
        <w:numPr>
          <w:ilvl w:val="0"/>
          <w:numId w:val="1"/>
        </w:numPr>
        <w:kinsoku/>
        <w:wordWrap/>
        <w:overflowPunct/>
        <w:topLinePunct w:val="0"/>
        <w:autoSpaceDE/>
        <w:autoSpaceDN/>
        <w:bidi w:val="0"/>
        <w:adjustRightInd/>
        <w:snapToGrid/>
        <w:spacing w:before="0" w:after="0" w:line="579" w:lineRule="auto"/>
        <w:textAlignment w:val="auto"/>
        <w:rPr>
          <w:rFonts w:hint="eastAsia" w:ascii="Times New Roman" w:hAnsi="Times New Roman"/>
          <w:sz w:val="30"/>
          <w:szCs w:val="30"/>
          <w:highlight w:val="none"/>
          <w:lang w:val="en-US" w:eastAsia="zh-CN"/>
        </w:rPr>
      </w:pPr>
      <w:bookmarkStart w:id="18" w:name="_Toc22155"/>
      <w:bookmarkStart w:id="19" w:name="_Toc30525"/>
      <w:bookmarkStart w:id="20" w:name="_Toc11946"/>
      <w:bookmarkStart w:id="21" w:name="_Toc14753"/>
      <w:bookmarkStart w:id="22" w:name="_Toc18869"/>
      <w:r>
        <w:rPr>
          <w:rFonts w:hint="eastAsia" w:ascii="Times New Roman" w:hAnsi="Times New Roman"/>
          <w:sz w:val="30"/>
          <w:szCs w:val="30"/>
          <w:highlight w:val="none"/>
          <w:lang w:val="en-US" w:eastAsia="zh-CN"/>
        </w:rPr>
        <w:t>重大分歧意见的处理经过和依据</w:t>
      </w:r>
      <w:bookmarkEnd w:id="18"/>
      <w:bookmarkEnd w:id="19"/>
      <w:bookmarkEnd w:id="20"/>
      <w:bookmarkEnd w:id="21"/>
      <w:bookmarkEnd w:id="22"/>
    </w:p>
    <w:p w14:paraId="631BB973">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firstLineChars="200"/>
        <w:jc w:val="left"/>
        <w:textAlignment w:val="auto"/>
        <w:rPr>
          <w:rFonts w:hint="eastAsia" w:ascii="Times New Roman" w:hAnsi="Times New Roman"/>
          <w:b w:val="0"/>
          <w:bCs w:val="0"/>
          <w:color w:val="000000" w:themeColor="text1"/>
          <w:sz w:val="28"/>
          <w:szCs w:val="28"/>
          <w:highlight w:val="none"/>
          <w:lang w:val="en-US" w:eastAsia="zh-CN"/>
          <w14:textFill>
            <w14:solidFill>
              <w14:schemeClr w14:val="tx1"/>
            </w14:solidFill>
          </w14:textFill>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无。</w:t>
      </w:r>
    </w:p>
    <w:p w14:paraId="345E08CE">
      <w:pPr>
        <w:pStyle w:val="3"/>
        <w:keepNext/>
        <w:keepLines/>
        <w:pageBreakBefore w:val="0"/>
        <w:widowControl w:val="0"/>
        <w:numPr>
          <w:ilvl w:val="0"/>
          <w:numId w:val="1"/>
        </w:numPr>
        <w:kinsoku/>
        <w:wordWrap/>
        <w:overflowPunct/>
        <w:topLinePunct w:val="0"/>
        <w:autoSpaceDE/>
        <w:autoSpaceDN/>
        <w:bidi w:val="0"/>
        <w:adjustRightInd/>
        <w:snapToGrid/>
        <w:spacing w:before="0" w:after="0" w:line="579" w:lineRule="auto"/>
        <w:textAlignment w:val="auto"/>
        <w:rPr>
          <w:rFonts w:hint="eastAsia" w:ascii="Times New Roman" w:hAnsi="Times New Roman"/>
          <w:sz w:val="30"/>
          <w:szCs w:val="30"/>
          <w:highlight w:val="none"/>
          <w:lang w:val="en-US" w:eastAsia="zh-CN"/>
        </w:rPr>
      </w:pPr>
      <w:bookmarkStart w:id="23" w:name="_Toc31775"/>
      <w:bookmarkStart w:id="24" w:name="_Toc6670"/>
      <w:bookmarkStart w:id="25" w:name="_Toc10513"/>
      <w:bookmarkStart w:id="26" w:name="_Toc26197"/>
      <w:bookmarkStart w:id="27" w:name="_Toc11510"/>
      <w:r>
        <w:rPr>
          <w:rFonts w:hint="eastAsia" w:ascii="Times New Roman" w:hAnsi="Times New Roman"/>
          <w:sz w:val="30"/>
          <w:szCs w:val="30"/>
          <w:highlight w:val="none"/>
          <w:lang w:val="en-US" w:eastAsia="zh-CN"/>
        </w:rPr>
        <w:t>实施标准的措施建议</w:t>
      </w:r>
      <w:bookmarkEnd w:id="23"/>
      <w:bookmarkEnd w:id="24"/>
      <w:bookmarkEnd w:id="25"/>
      <w:bookmarkEnd w:id="26"/>
      <w:bookmarkEnd w:id="27"/>
    </w:p>
    <w:p w14:paraId="0250510C">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left"/>
        <w:textAlignment w:val="auto"/>
        <w:rPr>
          <w:rFonts w:hint="default" w:ascii="Times New Roman" w:hAnsi="Times New Roman"/>
          <w:color w:val="000000" w:themeColor="text1"/>
          <w:sz w:val="28"/>
          <w:szCs w:val="28"/>
          <w:highlight w:val="none"/>
          <w14:textFill>
            <w14:solidFill>
              <w14:schemeClr w14:val="tx1"/>
            </w14:solidFill>
          </w14:textFill>
        </w:rPr>
      </w:pPr>
      <w:r>
        <w:rPr>
          <w:rFonts w:hint="default" w:ascii="Times New Roman" w:hAnsi="Times New Roman"/>
          <w:color w:val="000000" w:themeColor="text1"/>
          <w:sz w:val="28"/>
          <w:szCs w:val="28"/>
          <w:highlight w:val="none"/>
          <w14:textFill>
            <w14:solidFill>
              <w14:schemeClr w14:val="tx1"/>
            </w14:solidFill>
          </w14:textFill>
        </w:rPr>
        <w:t>一是建议在本</w:t>
      </w:r>
      <w:r>
        <w:rPr>
          <w:rFonts w:hint="eastAsia" w:ascii="Times New Roman" w:hAnsi="Times New Roman"/>
          <w:color w:val="000000" w:themeColor="text1"/>
          <w:sz w:val="28"/>
          <w:szCs w:val="28"/>
          <w:highlight w:val="none"/>
          <w:lang w:eastAsia="zh-CN"/>
          <w14:textFill>
            <w14:solidFill>
              <w14:schemeClr w14:val="tx1"/>
            </w14:solidFill>
          </w14:textFill>
        </w:rPr>
        <w:t>指南</w:t>
      </w:r>
      <w:r>
        <w:rPr>
          <w:rFonts w:hint="default" w:ascii="Times New Roman" w:hAnsi="Times New Roman"/>
          <w:color w:val="000000" w:themeColor="text1"/>
          <w:sz w:val="28"/>
          <w:szCs w:val="28"/>
          <w:highlight w:val="none"/>
          <w14:textFill>
            <w14:solidFill>
              <w14:schemeClr w14:val="tx1"/>
            </w14:solidFill>
          </w14:textFill>
        </w:rPr>
        <w:t>发布后，各相关部门应建立联动机制，统筹推进标准的贯彻实施。在宣传推广方面，一方面可依托公共媒体平台向社会</w:t>
      </w:r>
      <w:r>
        <w:rPr>
          <w:rFonts w:hint="eastAsia" w:ascii="Times New Roman" w:hAnsi="Times New Roman"/>
          <w:color w:val="000000" w:themeColor="text1"/>
          <w:sz w:val="28"/>
          <w:szCs w:val="28"/>
          <w:highlight w:val="none"/>
          <w:lang w:val="en-US" w:eastAsia="zh-CN"/>
          <w14:textFill>
            <w14:solidFill>
              <w14:schemeClr w14:val="tx1"/>
            </w14:solidFill>
          </w14:textFill>
        </w:rPr>
        <w:t>宣传</w:t>
      </w:r>
      <w:r>
        <w:rPr>
          <w:rFonts w:hint="default" w:ascii="Times New Roman" w:hAnsi="Times New Roman"/>
          <w:color w:val="000000" w:themeColor="text1"/>
          <w:sz w:val="28"/>
          <w:szCs w:val="28"/>
          <w:highlight w:val="none"/>
          <w14:textFill>
            <w14:solidFill>
              <w14:schemeClr w14:val="tx1"/>
            </w14:solidFill>
          </w14:textFill>
        </w:rPr>
        <w:t>河道治理新理念；另一方面，应面向行业内部开展针对性的专项技术培训。通过系统讲解核心设计要点，确保一线从业人员能够精准理解并落实</w:t>
      </w:r>
      <w:r>
        <w:rPr>
          <w:rFonts w:hint="eastAsia" w:ascii="Times New Roman" w:hAnsi="Times New Roman"/>
          <w:color w:val="000000" w:themeColor="text1"/>
          <w:sz w:val="28"/>
          <w:szCs w:val="28"/>
          <w:highlight w:val="none"/>
          <w:lang w:eastAsia="zh-CN"/>
          <w14:textFill>
            <w14:solidFill>
              <w14:schemeClr w14:val="tx1"/>
            </w14:solidFill>
          </w14:textFill>
        </w:rPr>
        <w:t>指南</w:t>
      </w:r>
      <w:r>
        <w:rPr>
          <w:rFonts w:hint="default" w:ascii="Times New Roman" w:hAnsi="Times New Roman"/>
          <w:color w:val="000000" w:themeColor="text1"/>
          <w:sz w:val="28"/>
          <w:szCs w:val="28"/>
          <w:highlight w:val="none"/>
          <w14:textFill>
            <w14:solidFill>
              <w14:schemeClr w14:val="tx1"/>
            </w14:solidFill>
          </w14:textFill>
        </w:rPr>
        <w:t>要求，从而全面提升团队执行标准的主动性与专业素养。</w:t>
      </w:r>
    </w:p>
    <w:p w14:paraId="6913315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60"/>
        <w:jc w:val="left"/>
        <w:textAlignment w:val="auto"/>
        <w:rPr>
          <w:rFonts w:hint="default" w:ascii="Times New Roman" w:hAnsi="Times New Roman"/>
          <w:b w:val="0"/>
          <w:bCs w:val="0"/>
          <w:color w:val="000000" w:themeColor="text1"/>
          <w:sz w:val="28"/>
          <w:szCs w:val="28"/>
          <w:highlight w:val="none"/>
          <w:lang w:val="en-US" w:eastAsia="zh-CN"/>
          <w14:textFill>
            <w14:solidFill>
              <w14:schemeClr w14:val="tx1"/>
            </w14:solidFill>
          </w14:textFill>
        </w:rPr>
      </w:pPr>
      <w:r>
        <w:rPr>
          <w:rFonts w:hint="default" w:ascii="Times New Roman" w:hAnsi="Times New Roman"/>
          <w:color w:val="000000" w:themeColor="text1"/>
          <w:sz w:val="28"/>
          <w:szCs w:val="28"/>
          <w:highlight w:val="none"/>
          <w14:textFill>
            <w14:solidFill>
              <w14:schemeClr w14:val="tx1"/>
            </w14:solidFill>
          </w14:textFill>
        </w:rPr>
        <w:t>二是为保障</w:t>
      </w:r>
      <w:r>
        <w:rPr>
          <w:rFonts w:hint="eastAsia" w:ascii="Times New Roman" w:hAnsi="Times New Roman"/>
          <w:color w:val="000000" w:themeColor="text1"/>
          <w:sz w:val="28"/>
          <w:szCs w:val="28"/>
          <w:highlight w:val="none"/>
          <w:lang w:eastAsia="zh-CN"/>
          <w14:textFill>
            <w14:solidFill>
              <w14:schemeClr w14:val="tx1"/>
            </w14:solidFill>
          </w14:textFill>
        </w:rPr>
        <w:t>指南</w:t>
      </w:r>
      <w:r>
        <w:rPr>
          <w:rFonts w:hint="default" w:ascii="Times New Roman" w:hAnsi="Times New Roman"/>
          <w:color w:val="000000" w:themeColor="text1"/>
          <w:sz w:val="28"/>
          <w:szCs w:val="28"/>
          <w:highlight w:val="none"/>
          <w14:textFill>
            <w14:solidFill>
              <w14:schemeClr w14:val="tx1"/>
            </w14:solidFill>
          </w14:textFill>
        </w:rPr>
        <w:t>的科学性与适用性，建议构建常态化的实施跟踪反馈体系。通过定期收集行业在实际应用中的经验、痛点与优化建议，推动</w:t>
      </w:r>
      <w:r>
        <w:rPr>
          <w:rFonts w:hint="eastAsia" w:ascii="Times New Roman" w:hAnsi="Times New Roman"/>
          <w:color w:val="000000" w:themeColor="text1"/>
          <w:sz w:val="28"/>
          <w:szCs w:val="28"/>
          <w:highlight w:val="none"/>
          <w:lang w:eastAsia="zh-CN"/>
          <w14:textFill>
            <w14:solidFill>
              <w14:schemeClr w14:val="tx1"/>
            </w14:solidFill>
          </w14:textFill>
        </w:rPr>
        <w:t>指南</w:t>
      </w:r>
      <w:r>
        <w:rPr>
          <w:rFonts w:hint="default" w:ascii="Times New Roman" w:hAnsi="Times New Roman"/>
          <w:color w:val="000000" w:themeColor="text1"/>
          <w:sz w:val="28"/>
          <w:szCs w:val="28"/>
          <w:highlight w:val="none"/>
          <w14:textFill>
            <w14:solidFill>
              <w14:schemeClr w14:val="tx1"/>
            </w14:solidFill>
          </w14:textFill>
        </w:rPr>
        <w:t>要求与河道生态治理工程实践的深度融合。</w:t>
      </w:r>
    </w:p>
    <w:p w14:paraId="739AA56B">
      <w:pPr>
        <w:pStyle w:val="3"/>
        <w:keepNext/>
        <w:keepLines/>
        <w:pageBreakBefore w:val="0"/>
        <w:widowControl w:val="0"/>
        <w:numPr>
          <w:ilvl w:val="0"/>
          <w:numId w:val="1"/>
        </w:numPr>
        <w:kinsoku/>
        <w:wordWrap/>
        <w:overflowPunct/>
        <w:topLinePunct w:val="0"/>
        <w:autoSpaceDE/>
        <w:autoSpaceDN/>
        <w:bidi w:val="0"/>
        <w:adjustRightInd/>
        <w:snapToGrid/>
        <w:spacing w:before="0" w:after="0" w:line="579" w:lineRule="auto"/>
        <w:textAlignment w:val="auto"/>
        <w:rPr>
          <w:rFonts w:hint="eastAsia" w:ascii="Times New Roman" w:hAnsi="Times New Roman"/>
          <w:sz w:val="30"/>
          <w:szCs w:val="30"/>
          <w:highlight w:val="none"/>
          <w:lang w:val="en-US" w:eastAsia="zh-CN"/>
        </w:rPr>
      </w:pPr>
      <w:bookmarkStart w:id="28" w:name="_Toc606"/>
      <w:bookmarkStart w:id="29" w:name="_Toc19436"/>
      <w:bookmarkStart w:id="30" w:name="_Toc27594"/>
      <w:bookmarkStart w:id="31" w:name="_Toc23708"/>
      <w:bookmarkStart w:id="32" w:name="_Toc5490"/>
      <w:r>
        <w:rPr>
          <w:rFonts w:hint="eastAsia" w:ascii="Times New Roman" w:hAnsi="Times New Roman"/>
          <w:sz w:val="30"/>
          <w:szCs w:val="30"/>
          <w:highlight w:val="none"/>
          <w:lang w:val="en-US" w:eastAsia="zh-CN"/>
        </w:rPr>
        <w:t>其他应当说明的事项</w:t>
      </w:r>
      <w:bookmarkEnd w:id="28"/>
      <w:bookmarkEnd w:id="29"/>
      <w:bookmarkEnd w:id="30"/>
      <w:bookmarkEnd w:id="31"/>
      <w:bookmarkEnd w:id="32"/>
    </w:p>
    <w:p w14:paraId="273E8A21">
      <w:pPr>
        <w:numPr>
          <w:ilvl w:val="0"/>
          <w:numId w:val="0"/>
        </w:numPr>
        <w:spacing w:line="480" w:lineRule="auto"/>
        <w:ind w:firstLine="560" w:firstLineChars="200"/>
        <w:jc w:val="left"/>
        <w:rPr>
          <w:highlight w:val="none"/>
        </w:rPr>
      </w:pPr>
      <w:r>
        <w:rPr>
          <w:rFonts w:hint="eastAsia" w:ascii="Times New Roman" w:hAnsi="Times New Roman"/>
          <w:b w:val="0"/>
          <w:bCs w:val="0"/>
          <w:color w:val="000000" w:themeColor="text1"/>
          <w:sz w:val="28"/>
          <w:szCs w:val="28"/>
          <w:highlight w:val="none"/>
          <w:lang w:val="en-US" w:eastAsia="zh-CN"/>
          <w14:textFill>
            <w14:solidFill>
              <w14:schemeClr w14:val="tx1"/>
            </w14:solidFill>
          </w14:textFill>
        </w:rPr>
        <w:t>无。</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BF74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6FBF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56FBF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947C">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BF91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CBF91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B0CE5">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184B7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1184B7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3C0013"/>
    <w:multiLevelType w:val="singleLevel"/>
    <w:tmpl w:val="103C0013"/>
    <w:lvl w:ilvl="0" w:tentative="0">
      <w:start w:val="1"/>
      <w:numFmt w:val="chineseCounting"/>
      <w:suff w:val="nothing"/>
      <w:lvlText w:val="%1、"/>
      <w:lvlJc w:val="left"/>
      <w:rPr>
        <w:rFonts w:hint="eastAsia"/>
      </w:rPr>
    </w:lvl>
  </w:abstractNum>
  <w:abstractNum w:abstractNumId="1">
    <w:nsid w:val="4B6DD302"/>
    <w:multiLevelType w:val="singleLevel"/>
    <w:tmpl w:val="4B6DD302"/>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891EE5"/>
    <w:rsid w:val="030B1EAF"/>
    <w:rsid w:val="057A2610"/>
    <w:rsid w:val="081A77BE"/>
    <w:rsid w:val="0A3B0F3F"/>
    <w:rsid w:val="0A661DAB"/>
    <w:rsid w:val="0A6678A8"/>
    <w:rsid w:val="0B2E7C3A"/>
    <w:rsid w:val="0D5E7123"/>
    <w:rsid w:val="0F4B71A7"/>
    <w:rsid w:val="18C675D8"/>
    <w:rsid w:val="1A885E1E"/>
    <w:rsid w:val="1C4C38D4"/>
    <w:rsid w:val="1D0D1573"/>
    <w:rsid w:val="1DE20B81"/>
    <w:rsid w:val="229605BA"/>
    <w:rsid w:val="23FC3FAF"/>
    <w:rsid w:val="259F32B3"/>
    <w:rsid w:val="2604714B"/>
    <w:rsid w:val="264439EB"/>
    <w:rsid w:val="28891EE5"/>
    <w:rsid w:val="28E91F8D"/>
    <w:rsid w:val="2EFE5719"/>
    <w:rsid w:val="345146CE"/>
    <w:rsid w:val="34BE4995"/>
    <w:rsid w:val="370C5E5F"/>
    <w:rsid w:val="3DBF74ED"/>
    <w:rsid w:val="493A5E78"/>
    <w:rsid w:val="500174E0"/>
    <w:rsid w:val="559B0D80"/>
    <w:rsid w:val="569533E6"/>
    <w:rsid w:val="585C33A5"/>
    <w:rsid w:val="5BB73DB5"/>
    <w:rsid w:val="62FD6C58"/>
    <w:rsid w:val="668A2F17"/>
    <w:rsid w:val="66F307E4"/>
    <w:rsid w:val="677F426F"/>
    <w:rsid w:val="67F15118"/>
    <w:rsid w:val="6A5B1C3F"/>
    <w:rsid w:val="6BD33BFF"/>
    <w:rsid w:val="6EF46101"/>
    <w:rsid w:val="740A0CEC"/>
    <w:rsid w:val="7671495D"/>
    <w:rsid w:val="78A43B6E"/>
    <w:rsid w:val="7F2F3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qFormat/>
    <w:uiPriority w:val="0"/>
    <w:pPr>
      <w:keepNext/>
      <w:keepLines/>
      <w:spacing w:after="50" w:afterLines="50" w:line="240" w:lineRule="auto"/>
      <w:jc w:val="center"/>
      <w:outlineLvl w:val="1"/>
    </w:pPr>
    <w:rPr>
      <w:rFonts w:eastAsia="黑体"/>
      <w:b/>
      <w:bCs/>
      <w:szCs w:val="32"/>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2"/>
    <w:basedOn w:val="1"/>
    <w:next w:val="1"/>
    <w:unhideWhenUsed/>
    <w:qFormat/>
    <w:uiPriority w:val="99"/>
    <w:pPr>
      <w:spacing w:after="120" w:line="480" w:lineRule="auto"/>
    </w:pPr>
  </w:style>
  <w:style w:type="paragraph" w:styleId="6">
    <w:name w:val="Body Text"/>
    <w:basedOn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
    <w:name w:val="标准文件_文件名称"/>
    <w:basedOn w:val="13"/>
    <w:next w:val="13"/>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6603</Words>
  <Characters>6848</Characters>
  <Lines>0</Lines>
  <Paragraphs>0</Paragraphs>
  <TotalTime>6</TotalTime>
  <ScaleCrop>false</ScaleCrop>
  <LinksUpToDate>false</LinksUpToDate>
  <CharactersWithSpaces>6894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2026-08-10T01:56:00Z</dcterms:created>
  <dc:creator>黄金</dc:creator>
  <cp:lastModifiedBy>TB0095</cp:lastModifiedBy>
  <dcterms:modified xsi:type="dcterms:W3CDTF">2026-09-09T03:02:26Z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88A083E1F667401A952A7673933C4744_13</vt:lpwstr>
  </property>
  <property fmtid="{D5CDD505-2E9C-101B-9397-08002B2CF9AE}" pid="4" name="KSOTemplateDocerSaveRecord">
    <vt:lpwstr>eyJoZGlkIjoiMzEwNTM5NzYwMDRjMzkwZTVkZjY2ODkwMGIxNGU0OTUiLCJ1c2VySWQiOiIzOTgwNDU4NTMifQ==</vt:lpwstr>
  </property>
</Properties>
</file>