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F4B8A9" w14:textId="77777777" w:rsidR="00811368" w:rsidRDefault="00D652BD">
      <w:pPr>
        <w:spacing w:after="80" w:line="640" w:lineRule="exact"/>
        <w:jc w:val="center"/>
        <w:rPr>
          <w:lang w:eastAsia="zh-CN"/>
        </w:rPr>
      </w:pPr>
      <w:r>
        <w:rPr>
          <w:rFonts w:ascii="Times New Roman" w:eastAsia="黑体" w:hAnsi="Times New Roman"/>
          <w:b/>
          <w:color w:val="000000"/>
          <w:sz w:val="44"/>
          <w:lang w:eastAsia="zh-CN"/>
        </w:rPr>
        <w:t>《河湖健康评价技术指南》</w:t>
      </w:r>
    </w:p>
    <w:p w14:paraId="285D21B5" w14:textId="77777777" w:rsidR="00811368" w:rsidRDefault="00D652BD">
      <w:pPr>
        <w:spacing w:after="240" w:line="640" w:lineRule="exact"/>
        <w:jc w:val="center"/>
        <w:rPr>
          <w:lang w:eastAsia="zh-CN"/>
        </w:rPr>
      </w:pPr>
      <w:r>
        <w:rPr>
          <w:rFonts w:ascii="Times New Roman" w:eastAsia="黑体" w:hAnsi="Times New Roman"/>
          <w:b/>
          <w:color w:val="000000"/>
          <w:sz w:val="44"/>
          <w:lang w:eastAsia="zh-CN"/>
        </w:rPr>
        <w:t>编制说明</w:t>
      </w:r>
    </w:p>
    <w:p w14:paraId="17E2EF54" w14:textId="77777777" w:rsidR="00811368" w:rsidRDefault="00D652BD">
      <w:pPr>
        <w:keepNext/>
        <w:spacing w:before="200" w:after="40"/>
        <w:ind w:left="640"/>
        <w:rPr>
          <w:lang w:eastAsia="zh-CN"/>
        </w:rPr>
      </w:pPr>
      <w:r>
        <w:rPr>
          <w:rFonts w:ascii="Times New Roman" w:eastAsia="黑体" w:hAnsi="Times New Roman"/>
          <w:b/>
          <w:color w:val="000000"/>
          <w:lang w:eastAsia="zh-CN"/>
        </w:rPr>
        <w:t>一、任务来源</w:t>
      </w:r>
    </w:p>
    <w:p w14:paraId="7804236F" w14:textId="696F01AA" w:rsidR="00811368" w:rsidRDefault="00D652BD">
      <w:pPr>
        <w:spacing w:after="0"/>
        <w:ind w:firstLine="640"/>
        <w:jc w:val="both"/>
        <w:rPr>
          <w:lang w:eastAsia="zh-CN"/>
        </w:rPr>
      </w:pPr>
      <w:r>
        <w:rPr>
          <w:rFonts w:ascii="Times New Roman" w:hAnsi="Times New Roman"/>
          <w:color w:val="000000"/>
          <w:lang w:eastAsia="zh-CN"/>
        </w:rPr>
        <w:t>2023</w:t>
      </w:r>
      <w:r>
        <w:rPr>
          <w:rFonts w:ascii="Times New Roman" w:hAnsi="Times New Roman"/>
          <w:color w:val="000000"/>
          <w:lang w:eastAsia="zh-CN"/>
        </w:rPr>
        <w:t>年，上海市发布实施</w:t>
      </w:r>
      <w:r>
        <w:rPr>
          <w:rFonts w:ascii="Times New Roman" w:hAnsi="Times New Roman"/>
          <w:color w:val="000000"/>
          <w:lang w:eastAsia="zh-CN"/>
        </w:rPr>
        <w:t xml:space="preserve">DB31 SW/Z </w:t>
      </w:r>
      <w:r>
        <w:rPr>
          <w:rFonts w:ascii="Times New Roman" w:hAnsi="Times New Roman"/>
          <w:color w:val="000000"/>
          <w:lang w:eastAsia="zh-CN"/>
        </w:rPr>
        <w:t>001—2023</w:t>
      </w:r>
      <w:r>
        <w:rPr>
          <w:rFonts w:ascii="Times New Roman" w:hAnsi="Times New Roman"/>
          <w:color w:val="000000"/>
          <w:lang w:eastAsia="zh-CN"/>
        </w:rPr>
        <w:t>《上海市河湖健康评价技术指南（试行）》（以下简称《原指南》），在</w:t>
      </w:r>
      <w:r w:rsidR="002A24E6">
        <w:rPr>
          <w:rFonts w:ascii="宋体" w:eastAsia="宋体" w:hAnsi="宋体" w:hint="eastAsia"/>
          <w:color w:val="000000"/>
          <w:lang w:eastAsia="zh-CN"/>
        </w:rPr>
        <w:t>水利部</w:t>
      </w:r>
      <w:r>
        <w:rPr>
          <w:rFonts w:ascii="Times New Roman" w:hAnsi="Times New Roman"/>
          <w:color w:val="000000"/>
          <w:lang w:eastAsia="zh-CN"/>
        </w:rPr>
        <w:t>河湖健康评价技术框架基础上，结合上海</w:t>
      </w:r>
      <w:r>
        <w:rPr>
          <w:rFonts w:ascii="Times New Roman" w:hAnsi="Times New Roman"/>
          <w:color w:val="000000"/>
          <w:lang w:eastAsia="zh-CN"/>
        </w:rPr>
        <w:t>河网</w:t>
      </w:r>
      <w:r w:rsidR="002A24E6">
        <w:rPr>
          <w:rFonts w:ascii="宋体" w:eastAsia="宋体" w:hAnsi="宋体" w:hint="eastAsia"/>
          <w:color w:val="000000"/>
          <w:lang w:eastAsia="zh-CN"/>
        </w:rPr>
        <w:t>水系</w:t>
      </w:r>
      <w:r w:rsidR="002A24E6">
        <w:rPr>
          <w:rFonts w:ascii="宋体" w:eastAsia="宋体" w:hAnsi="宋体" w:cs="宋体" w:hint="eastAsia"/>
          <w:color w:val="000000"/>
          <w:lang w:eastAsia="zh-CN"/>
        </w:rPr>
        <w:t>密集</w:t>
      </w:r>
      <w:r>
        <w:rPr>
          <w:rFonts w:ascii="Times New Roman" w:hAnsi="Times New Roman"/>
          <w:color w:val="000000"/>
          <w:lang w:eastAsia="zh-CN"/>
        </w:rPr>
        <w:t>、水闸调控频繁、河湖自然</w:t>
      </w:r>
      <w:r>
        <w:rPr>
          <w:rFonts w:ascii="Times New Roman" w:hAnsi="Times New Roman"/>
          <w:color w:val="000000"/>
          <w:lang w:eastAsia="zh-CN"/>
        </w:rPr>
        <w:t>与社会服务功能并重等特点，建立了本市河流、湖泊健康评价的指标体系和技术方法。</w:t>
      </w:r>
    </w:p>
    <w:p w14:paraId="51D042D3" w14:textId="7D99EADA" w:rsidR="00811368" w:rsidRDefault="00D652BD">
      <w:pPr>
        <w:spacing w:after="0"/>
        <w:ind w:firstLine="640"/>
        <w:jc w:val="both"/>
        <w:rPr>
          <w:lang w:eastAsia="zh-CN"/>
        </w:rPr>
      </w:pPr>
      <w:r>
        <w:rPr>
          <w:rFonts w:ascii="Times New Roman" w:hAnsi="Times New Roman"/>
          <w:color w:val="000000"/>
          <w:lang w:eastAsia="zh-CN"/>
        </w:rPr>
        <w:t>《原指南》实施以来，本市持续开展骨干河湖和重点河湖健康评价</w:t>
      </w:r>
      <w:r>
        <w:rPr>
          <w:rFonts w:ascii="Times New Roman" w:hAnsi="Times New Roman"/>
          <w:color w:val="000000"/>
          <w:lang w:eastAsia="zh-CN"/>
        </w:rPr>
        <w:t>，形成了较为系统的应用基础。实践表明，《原指南》对统一评价口径、推动河湖问题诊断和治理修复发挥了积极作用，</w:t>
      </w:r>
      <w:r>
        <w:rPr>
          <w:rFonts w:ascii="Times New Roman" w:hAnsi="Times New Roman" w:hint="eastAsia"/>
          <w:color w:val="000000"/>
          <w:lang w:eastAsia="zh-CN"/>
        </w:rPr>
        <w:t>为</w:t>
      </w:r>
      <w:r w:rsidR="002A24E6">
        <w:rPr>
          <w:rFonts w:ascii="Times New Roman" w:hAnsi="Times New Roman" w:hint="eastAsia"/>
          <w:color w:val="000000"/>
          <w:lang w:eastAsia="zh-CN"/>
        </w:rPr>
        <w:t xml:space="preserve"> </w:t>
      </w:r>
      <w:r>
        <w:rPr>
          <w:rFonts w:ascii="Times New Roman" w:hAnsi="Times New Roman" w:hint="eastAsia"/>
          <w:color w:val="000000"/>
          <w:lang w:eastAsia="zh-CN"/>
        </w:rPr>
        <w:t>“一河</w:t>
      </w:r>
      <w:proofErr w:type="gramStart"/>
      <w:r>
        <w:rPr>
          <w:rFonts w:ascii="Times New Roman" w:hAnsi="Times New Roman" w:hint="eastAsia"/>
          <w:color w:val="000000"/>
          <w:lang w:eastAsia="zh-CN"/>
        </w:rPr>
        <w:t>一</w:t>
      </w:r>
      <w:proofErr w:type="gramEnd"/>
      <w:r>
        <w:rPr>
          <w:rFonts w:ascii="Times New Roman" w:hAnsi="Times New Roman" w:hint="eastAsia"/>
          <w:color w:val="000000"/>
          <w:lang w:eastAsia="zh-CN"/>
        </w:rPr>
        <w:t>策”编制、水环境综合治理和生态修复提供了重要技术依据</w:t>
      </w:r>
      <w:r>
        <w:rPr>
          <w:rFonts w:ascii="Times New Roman" w:hAnsi="Times New Roman"/>
          <w:color w:val="000000"/>
          <w:lang w:eastAsia="zh-CN"/>
        </w:rPr>
        <w:t>。</w:t>
      </w:r>
      <w:r>
        <w:rPr>
          <w:rFonts w:ascii="Times New Roman" w:hAnsi="Times New Roman" w:hint="eastAsia"/>
          <w:color w:val="000000"/>
          <w:lang w:eastAsia="zh-CN"/>
        </w:rPr>
        <w:t>按照本市地方标准化指导性技术文件管理有关规定，试行文件有效期一般为三年，该指南已于</w:t>
      </w:r>
      <w:r>
        <w:rPr>
          <w:rFonts w:ascii="Times New Roman" w:hAnsi="Times New Roman" w:hint="eastAsia"/>
          <w:color w:val="000000"/>
          <w:lang w:eastAsia="zh-CN"/>
        </w:rPr>
        <w:t>2026</w:t>
      </w:r>
      <w:r>
        <w:rPr>
          <w:rFonts w:ascii="Times New Roman" w:hAnsi="Times New Roman" w:hint="eastAsia"/>
          <w:color w:val="000000"/>
          <w:lang w:eastAsia="zh-CN"/>
        </w:rPr>
        <w:t>年到期，需履行修订程序。</w:t>
      </w:r>
    </w:p>
    <w:p w14:paraId="3DA068E7" w14:textId="72AC08A2" w:rsidR="00811368" w:rsidRDefault="00D652BD">
      <w:pPr>
        <w:spacing w:after="0"/>
        <w:ind w:firstLine="640"/>
        <w:jc w:val="both"/>
        <w:rPr>
          <w:rFonts w:ascii="Times New Roman" w:hAnsi="Times New Roman"/>
          <w:color w:val="000000"/>
          <w:lang w:eastAsia="zh-CN"/>
        </w:rPr>
      </w:pPr>
      <w:r>
        <w:rPr>
          <w:rFonts w:ascii="Times New Roman" w:hAnsi="Times New Roman"/>
          <w:color w:val="000000"/>
          <w:lang w:eastAsia="zh-CN"/>
        </w:rPr>
        <w:t>2025</w:t>
      </w:r>
      <w:r>
        <w:rPr>
          <w:rFonts w:ascii="Times New Roman" w:hAnsi="Times New Roman"/>
          <w:color w:val="000000"/>
          <w:lang w:eastAsia="zh-CN"/>
        </w:rPr>
        <w:t>年，水利部发布</w:t>
      </w:r>
      <w:r>
        <w:rPr>
          <w:rFonts w:ascii="Times New Roman" w:hAnsi="Times New Roman"/>
          <w:color w:val="000000"/>
          <w:lang w:eastAsia="zh-CN"/>
        </w:rPr>
        <w:t>SL/T 793—2025</w:t>
      </w:r>
      <w:r>
        <w:rPr>
          <w:rFonts w:ascii="Times New Roman" w:hAnsi="Times New Roman"/>
          <w:color w:val="000000"/>
          <w:lang w:eastAsia="zh-CN"/>
        </w:rPr>
        <w:t>《河湖健康评价规范》，并于</w:t>
      </w:r>
      <w:r>
        <w:rPr>
          <w:rFonts w:ascii="Times New Roman" w:hAnsi="Times New Roman"/>
          <w:color w:val="000000"/>
          <w:lang w:eastAsia="zh-CN"/>
        </w:rPr>
        <w:t>2026</w:t>
      </w:r>
      <w:r>
        <w:rPr>
          <w:rFonts w:ascii="Times New Roman" w:hAnsi="Times New Roman"/>
          <w:color w:val="000000"/>
          <w:lang w:eastAsia="zh-CN"/>
        </w:rPr>
        <w:t>年</w:t>
      </w:r>
      <w:r>
        <w:rPr>
          <w:rFonts w:ascii="Times New Roman" w:hAnsi="Times New Roman"/>
          <w:color w:val="000000"/>
          <w:lang w:eastAsia="zh-CN"/>
        </w:rPr>
        <w:t>3</w:t>
      </w:r>
      <w:r>
        <w:rPr>
          <w:rFonts w:ascii="Times New Roman" w:hAnsi="Times New Roman"/>
          <w:color w:val="000000"/>
          <w:lang w:eastAsia="zh-CN"/>
        </w:rPr>
        <w:t>月</w:t>
      </w:r>
      <w:r>
        <w:rPr>
          <w:rFonts w:ascii="Times New Roman" w:hAnsi="Times New Roman"/>
          <w:color w:val="000000"/>
          <w:lang w:eastAsia="zh-CN"/>
        </w:rPr>
        <w:t>23</w:t>
      </w:r>
      <w:r>
        <w:rPr>
          <w:rFonts w:ascii="Times New Roman" w:hAnsi="Times New Roman"/>
          <w:color w:val="000000"/>
          <w:lang w:eastAsia="zh-CN"/>
        </w:rPr>
        <w:t>日起实施。</w:t>
      </w:r>
      <w:r>
        <w:rPr>
          <w:rFonts w:ascii="Times New Roman" w:hAnsi="Times New Roman" w:hint="eastAsia"/>
          <w:color w:val="000000"/>
          <w:lang w:eastAsia="zh-CN"/>
        </w:rPr>
        <w:t>该规范是在《河湖健康评估技术导则》（</w:t>
      </w:r>
      <w:r>
        <w:rPr>
          <w:rFonts w:ascii="Times New Roman" w:hAnsi="Times New Roman" w:hint="eastAsia"/>
          <w:color w:val="000000"/>
          <w:lang w:eastAsia="zh-CN"/>
        </w:rPr>
        <w:t>SL/T 793</w:t>
      </w:r>
      <w:r>
        <w:rPr>
          <w:rFonts w:ascii="Times New Roman" w:hAnsi="Times New Roman" w:hint="eastAsia"/>
          <w:color w:val="000000"/>
          <w:lang w:eastAsia="zh-CN"/>
        </w:rPr>
        <w:t>—</w:t>
      </w:r>
      <w:r>
        <w:rPr>
          <w:rFonts w:ascii="Times New Roman" w:hAnsi="Times New Roman" w:hint="eastAsia"/>
          <w:color w:val="000000"/>
          <w:lang w:eastAsia="zh-CN"/>
        </w:rPr>
        <w:t>2020</w:t>
      </w:r>
      <w:r>
        <w:rPr>
          <w:rFonts w:ascii="Times New Roman" w:hAnsi="Times New Roman" w:hint="eastAsia"/>
          <w:color w:val="000000"/>
          <w:lang w:eastAsia="zh-CN"/>
        </w:rPr>
        <w:t>）的基础上修订而成的水利行业标准，共含</w:t>
      </w:r>
      <w:r>
        <w:rPr>
          <w:rFonts w:ascii="Times New Roman" w:hAnsi="Times New Roman" w:hint="eastAsia"/>
          <w:color w:val="000000"/>
          <w:lang w:eastAsia="zh-CN"/>
        </w:rPr>
        <w:t>9</w:t>
      </w:r>
      <w:r>
        <w:rPr>
          <w:rFonts w:ascii="Times New Roman" w:hAnsi="Times New Roman" w:hint="eastAsia"/>
          <w:color w:val="000000"/>
          <w:lang w:eastAsia="zh-CN"/>
        </w:rPr>
        <w:t>章、</w:t>
      </w:r>
      <w:r>
        <w:rPr>
          <w:rFonts w:ascii="Times New Roman" w:hAnsi="Times New Roman" w:hint="eastAsia"/>
          <w:color w:val="000000"/>
          <w:lang w:eastAsia="zh-CN"/>
        </w:rPr>
        <w:t>7</w:t>
      </w:r>
      <w:r>
        <w:rPr>
          <w:rFonts w:ascii="Times New Roman" w:hAnsi="Times New Roman" w:hint="eastAsia"/>
          <w:color w:val="000000"/>
          <w:lang w:eastAsia="zh-CN"/>
        </w:rPr>
        <w:t>个附录</w:t>
      </w:r>
      <w:r w:rsidR="002E0DA4">
        <w:rPr>
          <w:rFonts w:ascii="宋体" w:eastAsia="宋体" w:hAnsi="宋体" w:hint="eastAsia"/>
          <w:color w:val="000000"/>
          <w:lang w:eastAsia="zh-CN"/>
        </w:rPr>
        <w:t>，</w:t>
      </w:r>
      <w:r>
        <w:rPr>
          <w:rFonts w:ascii="Times New Roman" w:hAnsi="Times New Roman" w:hint="eastAsia"/>
          <w:color w:val="000000"/>
          <w:lang w:eastAsia="zh-CN"/>
        </w:rPr>
        <w:t>主要内容包括总体要求、河湖分类与评价指标体系、指标确定方法</w:t>
      </w:r>
      <w:proofErr w:type="gramStart"/>
      <w:r>
        <w:rPr>
          <w:rFonts w:ascii="Times New Roman" w:hAnsi="Times New Roman" w:hint="eastAsia"/>
          <w:color w:val="000000"/>
          <w:lang w:eastAsia="zh-CN"/>
        </w:rPr>
        <w:t>与赋分标准</w:t>
      </w:r>
      <w:proofErr w:type="gramEnd"/>
      <w:r>
        <w:rPr>
          <w:rFonts w:ascii="Times New Roman" w:hAnsi="Times New Roman" w:hint="eastAsia"/>
          <w:color w:val="000000"/>
          <w:lang w:eastAsia="zh-CN"/>
        </w:rPr>
        <w:t>、河湖健康调查、河湖健康评价、报告</w:t>
      </w:r>
      <w:r>
        <w:rPr>
          <w:rFonts w:ascii="Times New Roman" w:hAnsi="Times New Roman" w:hint="eastAsia"/>
          <w:color w:val="000000"/>
          <w:lang w:eastAsia="zh-CN"/>
        </w:rPr>
        <w:t>编制要求等，适用于河流（不包括入海河口）、湖泊的健康评价</w:t>
      </w:r>
      <w:r w:rsidR="002E0DA4">
        <w:rPr>
          <w:rFonts w:ascii="宋体" w:eastAsia="宋体" w:hAnsi="宋体" w:hint="eastAsia"/>
          <w:color w:val="000000"/>
          <w:lang w:eastAsia="zh-CN"/>
        </w:rPr>
        <w:t>，为本次</w:t>
      </w:r>
      <w:r>
        <w:rPr>
          <w:rFonts w:ascii="Times New Roman" w:hAnsi="Times New Roman" w:hint="eastAsia"/>
          <w:color w:val="000000"/>
          <w:lang w:eastAsia="zh-CN"/>
        </w:rPr>
        <w:t>指南修订工作提供重要支撑和参考。</w:t>
      </w:r>
    </w:p>
    <w:p w14:paraId="4DE52E00" w14:textId="693A58CF" w:rsidR="00811368" w:rsidRDefault="00D652BD">
      <w:pPr>
        <w:spacing w:after="0"/>
        <w:ind w:firstLine="640"/>
        <w:jc w:val="both"/>
        <w:rPr>
          <w:rFonts w:ascii="Times New Roman" w:hAnsi="Times New Roman"/>
          <w:color w:val="000000"/>
          <w:lang w:eastAsia="zh-CN"/>
        </w:rPr>
      </w:pPr>
      <w:r>
        <w:rPr>
          <w:rFonts w:ascii="Times New Roman" w:hAnsi="Times New Roman"/>
          <w:color w:val="000000"/>
          <w:lang w:eastAsia="zh-CN"/>
        </w:rPr>
        <w:t>本文件按照</w:t>
      </w:r>
      <w:r>
        <w:rPr>
          <w:rFonts w:ascii="Times New Roman" w:hAnsi="Times New Roman"/>
          <w:color w:val="000000"/>
          <w:lang w:eastAsia="zh-CN"/>
        </w:rPr>
        <w:t>GB/T 1.1—2020</w:t>
      </w:r>
      <w:r>
        <w:rPr>
          <w:rFonts w:ascii="Times New Roman" w:hAnsi="Times New Roman"/>
          <w:color w:val="000000"/>
          <w:lang w:eastAsia="zh-CN"/>
        </w:rPr>
        <w:t>《标准化工作导则</w:t>
      </w:r>
      <w:r>
        <w:rPr>
          <w:rFonts w:ascii="Times New Roman" w:hAnsi="Times New Roman"/>
          <w:color w:val="000000"/>
          <w:lang w:eastAsia="zh-CN"/>
        </w:rPr>
        <w:t xml:space="preserve"> </w:t>
      </w:r>
      <w:r>
        <w:rPr>
          <w:rFonts w:ascii="Times New Roman" w:hAnsi="Times New Roman"/>
          <w:color w:val="000000"/>
          <w:lang w:eastAsia="zh-CN"/>
        </w:rPr>
        <w:t>第</w:t>
      </w:r>
      <w:r>
        <w:rPr>
          <w:rFonts w:ascii="Times New Roman" w:hAnsi="Times New Roman"/>
          <w:color w:val="000000"/>
          <w:lang w:eastAsia="zh-CN"/>
        </w:rPr>
        <w:t>1</w:t>
      </w:r>
      <w:r>
        <w:rPr>
          <w:rFonts w:ascii="Times New Roman" w:hAnsi="Times New Roman"/>
          <w:color w:val="000000"/>
          <w:lang w:eastAsia="zh-CN"/>
        </w:rPr>
        <w:t>部分：标准化文件的结构和起草规则》的规定起草，对</w:t>
      </w:r>
      <w:r>
        <w:rPr>
          <w:rFonts w:ascii="Times New Roman" w:hAnsi="Times New Roman"/>
          <w:color w:val="000000"/>
          <w:lang w:eastAsia="zh-CN"/>
        </w:rPr>
        <w:t>DB31 SW/Z 001—</w:t>
      </w:r>
      <w:r>
        <w:rPr>
          <w:rFonts w:ascii="Times New Roman" w:hAnsi="Times New Roman"/>
          <w:color w:val="000000"/>
          <w:lang w:eastAsia="zh-CN"/>
        </w:rPr>
        <w:lastRenderedPageBreak/>
        <w:t>2023</w:t>
      </w:r>
      <w:r>
        <w:rPr>
          <w:rFonts w:ascii="Times New Roman" w:hAnsi="Times New Roman"/>
          <w:color w:val="000000"/>
          <w:lang w:eastAsia="zh-CN"/>
        </w:rPr>
        <w:t>《上海市河湖健康评价技术指南（试行）》进行修订，并更名为《河湖健康评价技术指南》</w:t>
      </w:r>
      <w:r w:rsidR="00EB237A">
        <w:rPr>
          <w:rFonts w:ascii="Times New Roman" w:hAnsi="Times New Roman"/>
          <w:color w:val="000000"/>
          <w:lang w:eastAsia="zh-CN"/>
        </w:rPr>
        <w:t>（以下简称《指南》）</w:t>
      </w:r>
      <w:r>
        <w:rPr>
          <w:rFonts w:ascii="Times New Roman" w:hAnsi="Times New Roman"/>
          <w:color w:val="000000"/>
          <w:lang w:eastAsia="zh-CN"/>
        </w:rPr>
        <w:t>。本文件由上海市水</w:t>
      </w:r>
      <w:proofErr w:type="gramStart"/>
      <w:r>
        <w:rPr>
          <w:rFonts w:ascii="Times New Roman" w:hAnsi="Times New Roman"/>
          <w:color w:val="000000"/>
          <w:lang w:eastAsia="zh-CN"/>
        </w:rPr>
        <w:t>务</w:t>
      </w:r>
      <w:proofErr w:type="gramEnd"/>
      <w:r>
        <w:rPr>
          <w:rFonts w:ascii="Times New Roman" w:hAnsi="Times New Roman"/>
          <w:color w:val="000000"/>
          <w:lang w:eastAsia="zh-CN"/>
        </w:rPr>
        <w:t>局提出并归口，起草单位为上海市水利管理事务中心（上海市河湖管理事务中心）、华东师范大学、上海建科环境技术有限公司、上海市环境监测技术装备有限公司。</w:t>
      </w:r>
    </w:p>
    <w:p w14:paraId="6C2285CC" w14:textId="77777777" w:rsidR="00811368" w:rsidRDefault="00D652BD">
      <w:pPr>
        <w:spacing w:after="0"/>
        <w:ind w:firstLine="640"/>
        <w:jc w:val="both"/>
        <w:rPr>
          <w:rFonts w:eastAsia="黑体" w:hint="eastAsia"/>
          <w:lang w:eastAsia="zh-CN"/>
        </w:rPr>
      </w:pPr>
      <w:r>
        <w:rPr>
          <w:rFonts w:ascii="Times New Roman" w:eastAsia="黑体" w:hAnsi="Times New Roman"/>
          <w:b/>
          <w:color w:val="000000"/>
          <w:lang w:eastAsia="zh-CN"/>
        </w:rPr>
        <w:t>二、修订的目的和</w:t>
      </w:r>
      <w:r>
        <w:rPr>
          <w:rFonts w:ascii="Times New Roman" w:eastAsia="黑体" w:hAnsi="Times New Roman"/>
          <w:b/>
          <w:color w:val="000000"/>
          <w:lang w:eastAsia="zh-CN"/>
        </w:rPr>
        <w:t>意</w:t>
      </w:r>
      <w:r>
        <w:rPr>
          <w:rFonts w:ascii="Times New Roman" w:eastAsia="黑体" w:hAnsi="Times New Roman" w:hint="eastAsia"/>
          <w:b/>
          <w:color w:val="000000"/>
          <w:lang w:eastAsia="zh-CN"/>
        </w:rPr>
        <w:t>义</w:t>
      </w:r>
    </w:p>
    <w:p w14:paraId="0373CE1C" w14:textId="77777777" w:rsidR="00811368" w:rsidRDefault="00D652BD">
      <w:pPr>
        <w:spacing w:after="0"/>
        <w:ind w:firstLine="640"/>
        <w:jc w:val="both"/>
        <w:rPr>
          <w:rFonts w:ascii="Times New Roman" w:hAnsi="Times New Roman"/>
          <w:color w:val="000000"/>
          <w:lang w:eastAsia="zh-CN"/>
        </w:rPr>
      </w:pPr>
      <w:r>
        <w:rPr>
          <w:rFonts w:ascii="Times New Roman" w:hAnsi="Times New Roman" w:hint="eastAsia"/>
          <w:color w:val="000000"/>
          <w:lang w:eastAsia="zh-CN"/>
        </w:rPr>
        <w:t>河湖健康评价是系统掌握河湖状况、识别突出问题、检验治理成效和制定保护治理措施的重要技术手段，建立与上海河</w:t>
      </w:r>
      <w:proofErr w:type="gramStart"/>
      <w:r>
        <w:rPr>
          <w:rFonts w:ascii="Times New Roman" w:hAnsi="Times New Roman" w:hint="eastAsia"/>
          <w:color w:val="000000"/>
          <w:lang w:eastAsia="zh-CN"/>
        </w:rPr>
        <w:t>湖特点</w:t>
      </w:r>
      <w:proofErr w:type="gramEnd"/>
      <w:r>
        <w:rPr>
          <w:rFonts w:ascii="Times New Roman" w:hAnsi="Times New Roman" w:hint="eastAsia"/>
          <w:color w:val="000000"/>
          <w:lang w:eastAsia="zh-CN"/>
        </w:rPr>
        <w:t>和管理要求相适应的评价技术体系，是落实河湖长制、推进河湖系统治理和提高河湖管理精细化水平的一项基础工作。</w:t>
      </w:r>
    </w:p>
    <w:p w14:paraId="0CB6CA56" w14:textId="4AF60CF6" w:rsidR="00811368" w:rsidRDefault="00D652BD">
      <w:pPr>
        <w:spacing w:after="0"/>
        <w:ind w:firstLine="640"/>
        <w:jc w:val="both"/>
        <w:rPr>
          <w:rFonts w:ascii="Times New Roman" w:hAnsi="Times New Roman"/>
          <w:color w:val="000000"/>
          <w:lang w:eastAsia="zh-CN"/>
        </w:rPr>
      </w:pPr>
      <w:r>
        <w:rPr>
          <w:rFonts w:ascii="Times New Roman" w:hAnsi="Times New Roman" w:hint="eastAsia"/>
          <w:color w:val="000000"/>
          <w:lang w:eastAsia="zh-CN"/>
        </w:rPr>
        <w:t>DB31 SW/Z 001</w:t>
      </w:r>
      <w:r>
        <w:rPr>
          <w:rFonts w:ascii="Times New Roman" w:hAnsi="Times New Roman" w:hint="eastAsia"/>
          <w:color w:val="000000"/>
          <w:lang w:eastAsia="zh-CN"/>
        </w:rPr>
        <w:t>—</w:t>
      </w:r>
      <w:r>
        <w:rPr>
          <w:rFonts w:ascii="Times New Roman" w:hAnsi="Times New Roman" w:hint="eastAsia"/>
          <w:color w:val="000000"/>
          <w:lang w:eastAsia="zh-CN"/>
        </w:rPr>
        <w:t>2023</w:t>
      </w:r>
      <w:r>
        <w:rPr>
          <w:rFonts w:ascii="Times New Roman" w:hAnsi="Times New Roman" w:hint="eastAsia"/>
          <w:color w:val="000000"/>
          <w:lang w:eastAsia="zh-CN"/>
        </w:rPr>
        <w:t>《上海市河湖健康评价技术指南（试行）》自</w:t>
      </w:r>
      <w:r>
        <w:rPr>
          <w:rFonts w:ascii="Times New Roman" w:hAnsi="Times New Roman" w:hint="eastAsia"/>
          <w:color w:val="000000"/>
          <w:lang w:eastAsia="zh-CN"/>
        </w:rPr>
        <w:t>2023</w:t>
      </w:r>
      <w:r>
        <w:rPr>
          <w:rFonts w:ascii="Times New Roman" w:hAnsi="Times New Roman" w:hint="eastAsia"/>
          <w:color w:val="000000"/>
          <w:lang w:eastAsia="zh-CN"/>
        </w:rPr>
        <w:t>年</w:t>
      </w:r>
      <w:r>
        <w:rPr>
          <w:rFonts w:ascii="Times New Roman" w:hAnsi="Times New Roman" w:hint="eastAsia"/>
          <w:color w:val="000000"/>
          <w:lang w:eastAsia="zh-CN"/>
        </w:rPr>
        <w:t>2</w:t>
      </w:r>
      <w:r>
        <w:rPr>
          <w:rFonts w:ascii="Times New Roman" w:hAnsi="Times New Roman" w:hint="eastAsia"/>
          <w:color w:val="000000"/>
          <w:lang w:eastAsia="zh-CN"/>
        </w:rPr>
        <w:t>月实施以来，构建了由安全流畅、亲水景美、水质洁净、生物多样和社会服务组成的评价框架，为本市河流、湖泊健康评价提供了统一的技术依据。</w:t>
      </w:r>
    </w:p>
    <w:p w14:paraId="5B7D07A1" w14:textId="0B844073" w:rsidR="00811368" w:rsidRDefault="00D652BD">
      <w:pPr>
        <w:spacing w:after="0"/>
        <w:ind w:firstLine="640"/>
        <w:jc w:val="both"/>
        <w:rPr>
          <w:rFonts w:ascii="Times New Roman" w:hAnsi="Times New Roman"/>
          <w:color w:val="000000"/>
          <w:lang w:eastAsia="zh-CN"/>
        </w:rPr>
      </w:pPr>
      <w:r>
        <w:rPr>
          <w:rFonts w:ascii="Times New Roman" w:hAnsi="Times New Roman" w:hint="eastAsia"/>
          <w:color w:val="000000"/>
          <w:lang w:eastAsia="zh-CN"/>
        </w:rPr>
        <w:t>近年来，上海河湖治理取得明</w:t>
      </w:r>
      <w:r>
        <w:rPr>
          <w:rFonts w:ascii="宋体" w:eastAsia="宋体" w:hAnsi="宋体" w:cs="宋体" w:hint="eastAsia"/>
          <w:color w:val="000000"/>
          <w:lang w:eastAsia="zh-CN"/>
        </w:rPr>
        <w:t>显</w:t>
      </w:r>
      <w:r>
        <w:rPr>
          <w:rFonts w:ascii="___WRD_EMBED_SUB_962" w:eastAsia="___WRD_EMBED_SUB_962" w:hAnsi="___WRD_EMBED_SUB_962" w:cs="___WRD_EMBED_SUB_962" w:hint="eastAsia"/>
          <w:color w:val="000000"/>
          <w:lang w:eastAsia="zh-CN"/>
        </w:rPr>
        <w:t>进展。根据《</w:t>
      </w:r>
      <w:r>
        <w:rPr>
          <w:rFonts w:ascii="Times New Roman" w:hAnsi="Times New Roman" w:hint="eastAsia"/>
          <w:color w:val="000000"/>
          <w:lang w:eastAsia="zh-CN"/>
        </w:rPr>
        <w:t>202</w:t>
      </w:r>
      <w:r w:rsidR="00EB237A">
        <w:rPr>
          <w:rFonts w:ascii="Times New Roman" w:hAnsi="Times New Roman"/>
          <w:color w:val="000000"/>
          <w:lang w:eastAsia="zh-CN"/>
        </w:rPr>
        <w:t>5</w:t>
      </w:r>
      <w:r>
        <w:rPr>
          <w:rFonts w:ascii="Times New Roman" w:hAnsi="Times New Roman" w:hint="eastAsia"/>
          <w:color w:val="000000"/>
          <w:lang w:eastAsia="zh-CN"/>
        </w:rPr>
        <w:t>上海市生态环境状况公报》，</w:t>
      </w:r>
      <w:r w:rsidR="00EB237A" w:rsidRPr="00EB237A">
        <w:rPr>
          <w:rFonts w:ascii="Times New Roman" w:hAnsi="Times New Roman" w:hint="eastAsia"/>
          <w:color w:val="000000"/>
          <w:lang w:eastAsia="zh-CN"/>
        </w:rPr>
        <w:t>全市主要河湖断面水质优Ⅲ类占比为</w:t>
      </w:r>
      <w:r w:rsidR="00EB237A" w:rsidRPr="00EB237A">
        <w:rPr>
          <w:rFonts w:ascii="Times New Roman" w:hAnsi="Times New Roman"/>
          <w:color w:val="000000"/>
          <w:lang w:eastAsia="zh-CN"/>
        </w:rPr>
        <w:t>99.3%</w:t>
      </w:r>
      <w:r w:rsidR="00EB237A" w:rsidRPr="00EB237A">
        <w:rPr>
          <w:rFonts w:ascii="Times New Roman" w:hAnsi="Times New Roman" w:hint="eastAsia"/>
          <w:color w:val="000000"/>
          <w:lang w:eastAsia="zh-CN"/>
        </w:rPr>
        <w:t>，无Ⅴ类和</w:t>
      </w:r>
      <w:proofErr w:type="gramStart"/>
      <w:r w:rsidR="00EB237A" w:rsidRPr="00EB237A">
        <w:rPr>
          <w:rFonts w:ascii="Times New Roman" w:hAnsi="Times New Roman" w:hint="eastAsia"/>
          <w:color w:val="000000"/>
          <w:lang w:eastAsia="zh-CN"/>
        </w:rPr>
        <w:t>劣Ⅴ</w:t>
      </w:r>
      <w:proofErr w:type="gramEnd"/>
      <w:r w:rsidR="00EB237A" w:rsidRPr="00EB237A">
        <w:rPr>
          <w:rFonts w:ascii="Times New Roman" w:hAnsi="Times New Roman" w:hint="eastAsia"/>
          <w:color w:val="000000"/>
          <w:lang w:eastAsia="zh-CN"/>
        </w:rPr>
        <w:t>类断面</w:t>
      </w:r>
      <w:r>
        <w:rPr>
          <w:rFonts w:ascii="Times New Roman" w:hAnsi="Times New Roman" w:hint="eastAsia"/>
          <w:color w:val="000000"/>
          <w:lang w:eastAsia="zh-CN"/>
        </w:rPr>
        <w:t>。</w:t>
      </w:r>
      <w:r>
        <w:rPr>
          <w:rFonts w:ascii="Times New Roman" w:hAnsi="Times New Roman" w:hint="eastAsia"/>
          <w:color w:val="000000"/>
          <w:lang w:eastAsia="zh-CN"/>
        </w:rPr>
        <w:t>随着水环境质量持续改善，本市河湖治理目标正在由消除黑臭、改善水质，进一步转向</w:t>
      </w:r>
      <w:proofErr w:type="gramStart"/>
      <w:r>
        <w:rPr>
          <w:rFonts w:ascii="Times New Roman" w:hAnsi="Times New Roman" w:hint="eastAsia"/>
          <w:color w:val="000000"/>
          <w:lang w:eastAsia="zh-CN"/>
        </w:rPr>
        <w:t>维护水</w:t>
      </w:r>
      <w:proofErr w:type="gramEnd"/>
      <w:r>
        <w:rPr>
          <w:rFonts w:ascii="Times New Roman" w:hAnsi="Times New Roman" w:hint="eastAsia"/>
          <w:color w:val="000000"/>
          <w:lang w:eastAsia="zh-CN"/>
        </w:rPr>
        <w:t>生态系统健康、提升滨水空间品质和满足公众亲水需求。《关于加强本市美丽幸福河湖建设的令》提出，到</w:t>
      </w:r>
      <w:r>
        <w:rPr>
          <w:rFonts w:ascii="Times New Roman" w:hAnsi="Times New Roman" w:hint="eastAsia"/>
          <w:color w:val="000000"/>
          <w:lang w:eastAsia="zh-CN"/>
        </w:rPr>
        <w:t>2027</w:t>
      </w:r>
      <w:r>
        <w:rPr>
          <w:rFonts w:ascii="Times New Roman" w:hAnsi="Times New Roman" w:hint="eastAsia"/>
          <w:color w:val="000000"/>
          <w:lang w:eastAsia="zh-CN"/>
        </w:rPr>
        <w:t>年建设不少于</w:t>
      </w:r>
      <w:r>
        <w:rPr>
          <w:rFonts w:ascii="Times New Roman" w:hAnsi="Times New Roman" w:hint="eastAsia"/>
          <w:color w:val="000000"/>
          <w:lang w:eastAsia="zh-CN"/>
        </w:rPr>
        <w:t>25</w:t>
      </w:r>
      <w:r>
        <w:rPr>
          <w:rFonts w:ascii="Times New Roman" w:hAnsi="Times New Roman" w:hint="eastAsia"/>
          <w:color w:val="000000"/>
          <w:lang w:eastAsia="zh-CN"/>
        </w:rPr>
        <w:t>个示范美丽幸福河湖，将</w:t>
      </w:r>
      <w:r>
        <w:rPr>
          <w:rFonts w:ascii="Times New Roman" w:hAnsi="Times New Roman" w:hint="eastAsia"/>
          <w:color w:val="000000"/>
          <w:lang w:eastAsia="zh-CN"/>
        </w:rPr>
        <w:t>50%</w:t>
      </w:r>
      <w:r>
        <w:rPr>
          <w:rFonts w:ascii="Times New Roman" w:hAnsi="Times New Roman" w:hint="eastAsia"/>
          <w:color w:val="000000"/>
          <w:lang w:eastAsia="zh-CN"/>
        </w:rPr>
        <w:t>的区管及以上河湖和</w:t>
      </w:r>
      <w:r>
        <w:rPr>
          <w:rFonts w:ascii="Times New Roman" w:hAnsi="Times New Roman" w:hint="eastAsia"/>
          <w:color w:val="000000"/>
          <w:lang w:eastAsia="zh-CN"/>
        </w:rPr>
        <w:t>35%</w:t>
      </w:r>
      <w:r>
        <w:rPr>
          <w:rFonts w:ascii="Times New Roman" w:hAnsi="Times New Roman" w:hint="eastAsia"/>
          <w:color w:val="000000"/>
          <w:lang w:eastAsia="zh-CN"/>
        </w:rPr>
        <w:t>的镇村级河湖建成具有上海特色的美丽幸福河湖。新的治理目标要求河湖健康评价不仅反映水质状况，还应当更加准确地评价水域岸线、水量水质、水生生物和社会服务功能，为美丽幸福河湖建设提供可量化、可比较的判断依据。</w:t>
      </w:r>
    </w:p>
    <w:p w14:paraId="669A82C7" w14:textId="77777777" w:rsidR="00811368" w:rsidRDefault="00D652BD">
      <w:pPr>
        <w:spacing w:after="0"/>
        <w:ind w:firstLine="640"/>
        <w:jc w:val="both"/>
        <w:rPr>
          <w:rFonts w:ascii="Times New Roman" w:hAnsi="Times New Roman"/>
          <w:color w:val="000000"/>
          <w:lang w:eastAsia="zh-CN"/>
        </w:rPr>
      </w:pPr>
      <w:r>
        <w:rPr>
          <w:rFonts w:ascii="Times New Roman" w:hAnsi="Times New Roman" w:hint="eastAsia"/>
          <w:color w:val="000000"/>
          <w:lang w:eastAsia="zh-CN"/>
        </w:rPr>
        <w:lastRenderedPageBreak/>
        <w:t>与此同时，国家和长三角区域的河湖健康评价技术要求已经发生变化。水利部修订发布的</w:t>
      </w:r>
      <w:r>
        <w:rPr>
          <w:rFonts w:ascii="Times New Roman" w:hAnsi="Times New Roman" w:hint="eastAsia"/>
          <w:color w:val="000000"/>
          <w:lang w:eastAsia="zh-CN"/>
        </w:rPr>
        <w:t>SL/T 793</w:t>
      </w:r>
      <w:r>
        <w:rPr>
          <w:rFonts w:ascii="Times New Roman" w:hAnsi="Times New Roman" w:hint="eastAsia"/>
          <w:color w:val="000000"/>
          <w:lang w:eastAsia="zh-CN"/>
        </w:rPr>
        <w:t>—</w:t>
      </w:r>
      <w:r>
        <w:rPr>
          <w:rFonts w:ascii="Times New Roman" w:hAnsi="Times New Roman" w:hint="eastAsia"/>
          <w:color w:val="000000"/>
          <w:lang w:eastAsia="zh-CN"/>
        </w:rPr>
        <w:t>2025</w:t>
      </w:r>
      <w:r>
        <w:rPr>
          <w:rFonts w:ascii="Times New Roman" w:hAnsi="Times New Roman" w:hint="eastAsia"/>
          <w:color w:val="000000"/>
          <w:lang w:eastAsia="zh-CN"/>
        </w:rPr>
        <w:t>《河湖健康评价规范》于</w:t>
      </w:r>
      <w:r>
        <w:rPr>
          <w:rFonts w:ascii="Times New Roman" w:hAnsi="Times New Roman" w:hint="eastAsia"/>
          <w:color w:val="000000"/>
          <w:lang w:eastAsia="zh-CN"/>
        </w:rPr>
        <w:t>2026</w:t>
      </w:r>
      <w:r>
        <w:rPr>
          <w:rFonts w:ascii="Times New Roman" w:hAnsi="Times New Roman" w:hint="eastAsia"/>
          <w:color w:val="000000"/>
          <w:lang w:eastAsia="zh-CN"/>
        </w:rPr>
        <w:t>年</w:t>
      </w:r>
      <w:r>
        <w:rPr>
          <w:rFonts w:ascii="Times New Roman" w:hAnsi="Times New Roman" w:hint="eastAsia"/>
          <w:color w:val="000000"/>
          <w:lang w:eastAsia="zh-CN"/>
        </w:rPr>
        <w:t>3</w:t>
      </w:r>
      <w:r>
        <w:rPr>
          <w:rFonts w:ascii="Times New Roman" w:hAnsi="Times New Roman" w:hint="eastAsia"/>
          <w:color w:val="000000"/>
          <w:lang w:eastAsia="zh-CN"/>
        </w:rPr>
        <w:t>月</w:t>
      </w:r>
      <w:r>
        <w:rPr>
          <w:rFonts w:ascii="Times New Roman" w:hAnsi="Times New Roman" w:hint="eastAsia"/>
          <w:color w:val="000000"/>
          <w:lang w:eastAsia="zh-CN"/>
        </w:rPr>
        <w:t>23</w:t>
      </w:r>
      <w:r>
        <w:rPr>
          <w:rFonts w:ascii="Times New Roman" w:hAnsi="Times New Roman" w:hint="eastAsia"/>
          <w:color w:val="000000"/>
          <w:lang w:eastAsia="zh-CN"/>
        </w:rPr>
        <w:t>日起实施，对河湖分类、评价指标体系、指标确定与赋分、健康调查、综合评价和报告编制</w:t>
      </w:r>
      <w:proofErr w:type="gramStart"/>
      <w:r>
        <w:rPr>
          <w:rFonts w:ascii="Times New Roman" w:hAnsi="Times New Roman" w:hint="eastAsia"/>
          <w:color w:val="000000"/>
          <w:lang w:eastAsia="zh-CN"/>
        </w:rPr>
        <w:t>作出</w:t>
      </w:r>
      <w:proofErr w:type="gramEnd"/>
      <w:r>
        <w:rPr>
          <w:rFonts w:ascii="Times New Roman" w:hAnsi="Times New Roman" w:hint="eastAsia"/>
          <w:color w:val="000000"/>
          <w:lang w:eastAsia="zh-CN"/>
        </w:rPr>
        <w:t>了新的规定。</w:t>
      </w:r>
      <w:r>
        <w:rPr>
          <w:rFonts w:ascii="Times New Roman" w:hAnsi="Times New Roman" w:hint="eastAsia"/>
          <w:color w:val="000000"/>
          <w:lang w:eastAsia="zh-CN"/>
        </w:rPr>
        <w:t>2025</w:t>
      </w:r>
      <w:r>
        <w:rPr>
          <w:rFonts w:ascii="Times New Roman" w:hAnsi="Times New Roman" w:hint="eastAsia"/>
          <w:color w:val="000000"/>
          <w:lang w:eastAsia="zh-CN"/>
        </w:rPr>
        <w:t>年印发的</w:t>
      </w:r>
      <w:r>
        <w:rPr>
          <w:rFonts w:ascii="Times New Roman" w:hAnsi="Times New Roman" w:hint="eastAsia"/>
          <w:color w:val="000000"/>
          <w:lang w:eastAsia="zh-CN"/>
        </w:rPr>
        <w:t>《长三角生态绿色一体化发展示范区跨界河湖健康评价技术指南（试行）》进一步统一了跨</w:t>
      </w:r>
      <w:proofErr w:type="gramStart"/>
      <w:r>
        <w:rPr>
          <w:rFonts w:ascii="Times New Roman" w:hAnsi="Times New Roman" w:hint="eastAsia"/>
          <w:color w:val="000000"/>
          <w:lang w:eastAsia="zh-CN"/>
        </w:rPr>
        <w:t>界河湖评价</w:t>
      </w:r>
      <w:proofErr w:type="gramEnd"/>
      <w:r>
        <w:rPr>
          <w:rFonts w:ascii="Times New Roman" w:hAnsi="Times New Roman" w:hint="eastAsia"/>
          <w:color w:val="000000"/>
          <w:lang w:eastAsia="zh-CN"/>
        </w:rPr>
        <w:t>指标、调查监测要求和评价方法。与上述文件相比，上海现行指南在准则层设置、指标分类、部分指标计算方法、评价分级和报告编制等方面存在差异，需要及时做好技术衔接。</w:t>
      </w:r>
    </w:p>
    <w:p w14:paraId="5097FD95" w14:textId="77777777" w:rsidR="00811368" w:rsidRDefault="00D652BD">
      <w:pPr>
        <w:spacing w:after="0"/>
        <w:ind w:firstLine="640"/>
        <w:jc w:val="both"/>
        <w:rPr>
          <w:rFonts w:ascii="Times New Roman" w:hAnsi="Times New Roman"/>
          <w:color w:val="000000"/>
          <w:lang w:eastAsia="zh-CN"/>
        </w:rPr>
      </w:pPr>
      <w:r>
        <w:rPr>
          <w:rFonts w:ascii="Times New Roman" w:hAnsi="Times New Roman" w:hint="eastAsia"/>
          <w:color w:val="000000"/>
          <w:lang w:eastAsia="zh-CN"/>
        </w:rPr>
        <w:t>本次修订旨在以国家</w:t>
      </w:r>
      <w:proofErr w:type="gramStart"/>
      <w:r>
        <w:rPr>
          <w:rFonts w:ascii="Times New Roman" w:hAnsi="Times New Roman" w:hint="eastAsia"/>
          <w:color w:val="000000"/>
          <w:lang w:eastAsia="zh-CN"/>
        </w:rPr>
        <w:t>现行行业</w:t>
      </w:r>
      <w:proofErr w:type="gramEnd"/>
      <w:r>
        <w:rPr>
          <w:rFonts w:ascii="Times New Roman" w:hAnsi="Times New Roman" w:hint="eastAsia"/>
          <w:color w:val="000000"/>
          <w:lang w:eastAsia="zh-CN"/>
        </w:rPr>
        <w:t>标准为基础，吸收长三角跨</w:t>
      </w:r>
      <w:proofErr w:type="gramStart"/>
      <w:r>
        <w:rPr>
          <w:rFonts w:ascii="Times New Roman" w:hAnsi="Times New Roman" w:hint="eastAsia"/>
          <w:color w:val="000000"/>
          <w:lang w:eastAsia="zh-CN"/>
        </w:rPr>
        <w:t>界河湖评价</w:t>
      </w:r>
      <w:proofErr w:type="gramEnd"/>
      <w:r>
        <w:rPr>
          <w:rFonts w:ascii="Times New Roman" w:hAnsi="Times New Roman" w:hint="eastAsia"/>
          <w:color w:val="000000"/>
          <w:lang w:eastAsia="zh-CN"/>
        </w:rPr>
        <w:t>和本市河湖健康评价实践经验，同时保留上海平原河网密布、闸泵调控影响明显、河湖功能复合以及滨水空间利用程度较高等地域特点。修订重点包括完善评价工作流程，调整评价指标及权重，区分必选指标、特色指标和备选指标，</w:t>
      </w:r>
      <w:r>
        <w:rPr>
          <w:rFonts w:ascii="Times New Roman" w:hAnsi="Times New Roman" w:hint="eastAsia"/>
          <w:color w:val="000000"/>
          <w:lang w:eastAsia="zh-CN"/>
        </w:rPr>
        <w:t>优化指标计算</w:t>
      </w:r>
      <w:proofErr w:type="gramStart"/>
      <w:r>
        <w:rPr>
          <w:rFonts w:ascii="Times New Roman" w:hAnsi="Times New Roman" w:hint="eastAsia"/>
          <w:color w:val="000000"/>
          <w:lang w:eastAsia="zh-CN"/>
        </w:rPr>
        <w:t>与赋分方法</w:t>
      </w:r>
      <w:proofErr w:type="gramEnd"/>
      <w:r>
        <w:rPr>
          <w:rFonts w:ascii="Times New Roman" w:hAnsi="Times New Roman" w:hint="eastAsia"/>
          <w:color w:val="000000"/>
          <w:lang w:eastAsia="zh-CN"/>
        </w:rPr>
        <w:t>，细化调查监测要求，并补充评价报告编制规定。</w:t>
      </w:r>
    </w:p>
    <w:p w14:paraId="71E82F8B" w14:textId="77777777" w:rsidR="00811368" w:rsidRDefault="00D652BD">
      <w:pPr>
        <w:spacing w:after="0"/>
        <w:ind w:firstLine="640"/>
        <w:jc w:val="both"/>
        <w:rPr>
          <w:lang w:eastAsia="zh-CN"/>
        </w:rPr>
      </w:pPr>
      <w:r>
        <w:rPr>
          <w:rFonts w:ascii="Times New Roman" w:hAnsi="Times New Roman" w:hint="eastAsia"/>
          <w:color w:val="000000"/>
          <w:lang w:eastAsia="zh-CN"/>
        </w:rPr>
        <w:t>通过本次修订，可以进一步提高本市河湖健康评价的科学性、规范性、可操作性和评价结果的可比性，形成从调查监测、综合评价、问题诊断到对策建议的</w:t>
      </w:r>
      <w:proofErr w:type="gramStart"/>
      <w:r>
        <w:rPr>
          <w:rFonts w:ascii="Times New Roman" w:hAnsi="Times New Roman" w:hint="eastAsia"/>
          <w:color w:val="000000"/>
          <w:lang w:eastAsia="zh-CN"/>
        </w:rPr>
        <w:t>完整技术</w:t>
      </w:r>
      <w:proofErr w:type="gramEnd"/>
      <w:r>
        <w:rPr>
          <w:rFonts w:ascii="Times New Roman" w:hAnsi="Times New Roman" w:hint="eastAsia"/>
          <w:color w:val="000000"/>
          <w:lang w:eastAsia="zh-CN"/>
        </w:rPr>
        <w:t>链条。评价成果可为河湖健康档案建设、“一河（湖）</w:t>
      </w:r>
      <w:proofErr w:type="gramStart"/>
      <w:r>
        <w:rPr>
          <w:rFonts w:ascii="Times New Roman" w:hAnsi="Times New Roman" w:hint="eastAsia"/>
          <w:color w:val="000000"/>
          <w:lang w:eastAsia="zh-CN"/>
        </w:rPr>
        <w:t>一</w:t>
      </w:r>
      <w:proofErr w:type="gramEnd"/>
      <w:r>
        <w:rPr>
          <w:rFonts w:ascii="Times New Roman" w:hAnsi="Times New Roman" w:hint="eastAsia"/>
          <w:color w:val="000000"/>
          <w:lang w:eastAsia="zh-CN"/>
        </w:rPr>
        <w:t>策”编制、河湖生态保护修复、河湖长履职和美丽幸福河湖建设提供技术支撑，也有助于上海与长三角其他地区在跨</w:t>
      </w:r>
      <w:proofErr w:type="gramStart"/>
      <w:r>
        <w:rPr>
          <w:rFonts w:ascii="Times New Roman" w:hAnsi="Times New Roman" w:hint="eastAsia"/>
          <w:color w:val="000000"/>
          <w:lang w:eastAsia="zh-CN"/>
        </w:rPr>
        <w:t>界河湖评价</w:t>
      </w:r>
      <w:proofErr w:type="gramEnd"/>
      <w:r>
        <w:rPr>
          <w:rFonts w:ascii="Times New Roman" w:hAnsi="Times New Roman" w:hint="eastAsia"/>
          <w:color w:val="000000"/>
          <w:lang w:eastAsia="zh-CN"/>
        </w:rPr>
        <w:t>和共保联治工作中实现评价依据相互衔接。</w:t>
      </w:r>
    </w:p>
    <w:p w14:paraId="7374CF58" w14:textId="77777777" w:rsidR="00811368" w:rsidRDefault="00D652BD">
      <w:pPr>
        <w:keepNext/>
        <w:spacing w:before="200" w:after="40"/>
        <w:ind w:left="640"/>
        <w:rPr>
          <w:lang w:eastAsia="zh-CN"/>
        </w:rPr>
      </w:pPr>
      <w:r>
        <w:rPr>
          <w:rFonts w:ascii="Times New Roman" w:eastAsia="黑体" w:hAnsi="Times New Roman"/>
          <w:b/>
          <w:color w:val="000000"/>
          <w:lang w:eastAsia="zh-CN"/>
        </w:rPr>
        <w:lastRenderedPageBreak/>
        <w:t>三、编制过程</w:t>
      </w:r>
    </w:p>
    <w:p w14:paraId="634359E1" w14:textId="77777777" w:rsidR="00811368" w:rsidRDefault="00D652BD">
      <w:pPr>
        <w:keepNext/>
        <w:spacing w:before="120" w:after="20"/>
        <w:ind w:left="640"/>
        <w:rPr>
          <w:lang w:eastAsia="zh-CN"/>
        </w:rPr>
      </w:pPr>
      <w:r>
        <w:rPr>
          <w:rFonts w:ascii="Times New Roman" w:eastAsia="黑体" w:hAnsi="Times New Roman"/>
          <w:b/>
          <w:color w:val="000000"/>
          <w:lang w:eastAsia="zh-CN"/>
        </w:rPr>
        <w:t>（一）试行应用和前期研究阶段</w:t>
      </w:r>
    </w:p>
    <w:p w14:paraId="29DBF0C5" w14:textId="77777777" w:rsidR="00811368" w:rsidRDefault="00D652BD">
      <w:pPr>
        <w:spacing w:after="0"/>
        <w:ind w:firstLine="640"/>
        <w:jc w:val="both"/>
        <w:rPr>
          <w:lang w:eastAsia="zh-CN"/>
        </w:rPr>
      </w:pPr>
      <w:r>
        <w:rPr>
          <w:rFonts w:ascii="Times New Roman" w:hAnsi="Times New Roman"/>
          <w:color w:val="000000"/>
          <w:lang w:eastAsia="zh-CN"/>
        </w:rPr>
        <w:t>2023</w:t>
      </w:r>
      <w:r>
        <w:rPr>
          <w:rFonts w:ascii="Times New Roman" w:hAnsi="Times New Roman"/>
          <w:color w:val="000000"/>
          <w:lang w:eastAsia="zh-CN"/>
        </w:rPr>
        <w:t>年至</w:t>
      </w:r>
      <w:r>
        <w:rPr>
          <w:rFonts w:ascii="Times New Roman" w:hAnsi="Times New Roman"/>
          <w:color w:val="000000"/>
          <w:lang w:eastAsia="zh-CN"/>
        </w:rPr>
        <w:t>2025</w:t>
      </w:r>
      <w:r>
        <w:rPr>
          <w:rFonts w:ascii="Times New Roman" w:hAnsi="Times New Roman"/>
          <w:color w:val="000000"/>
          <w:lang w:eastAsia="zh-CN"/>
        </w:rPr>
        <w:t>年，编制</w:t>
      </w:r>
      <w:proofErr w:type="gramStart"/>
      <w:r>
        <w:rPr>
          <w:rFonts w:ascii="Times New Roman" w:hAnsi="Times New Roman"/>
          <w:color w:val="000000"/>
          <w:lang w:eastAsia="zh-CN"/>
        </w:rPr>
        <w:t>组持续</w:t>
      </w:r>
      <w:proofErr w:type="gramEnd"/>
      <w:r>
        <w:rPr>
          <w:rFonts w:ascii="Times New Roman" w:hAnsi="Times New Roman"/>
          <w:color w:val="000000"/>
          <w:lang w:eastAsia="zh-CN"/>
        </w:rPr>
        <w:t>跟踪《原指南》在本市</w:t>
      </w:r>
      <w:r>
        <w:rPr>
          <w:rFonts w:ascii="Times New Roman" w:hAnsi="Times New Roman"/>
          <w:color w:val="000000"/>
          <w:lang w:eastAsia="zh-CN"/>
        </w:rPr>
        <w:t>河湖健康评价中的应用情况，梳理河湖分段分区、指标选取、外业调查、数据获取、</w:t>
      </w:r>
      <w:proofErr w:type="gramStart"/>
      <w:r>
        <w:rPr>
          <w:rFonts w:ascii="Times New Roman" w:hAnsi="Times New Roman"/>
          <w:color w:val="000000"/>
          <w:lang w:eastAsia="zh-CN"/>
        </w:rPr>
        <w:t>计算赋分和</w:t>
      </w:r>
      <w:proofErr w:type="gramEnd"/>
      <w:r>
        <w:rPr>
          <w:rFonts w:ascii="Times New Roman" w:hAnsi="Times New Roman"/>
          <w:color w:val="000000"/>
          <w:lang w:eastAsia="zh-CN"/>
        </w:rPr>
        <w:t>评价报告编制中反映的问题，并结合本市骨干河道、湖泊和中小河道评价实践，总结可继续沿用的技术内容和需要调整的条款。</w:t>
      </w:r>
    </w:p>
    <w:p w14:paraId="75B07BD9" w14:textId="77777777" w:rsidR="00811368" w:rsidRDefault="00D652BD">
      <w:pPr>
        <w:spacing w:after="0"/>
        <w:ind w:firstLine="640"/>
        <w:jc w:val="both"/>
        <w:rPr>
          <w:lang w:eastAsia="zh-CN"/>
        </w:rPr>
      </w:pPr>
      <w:r>
        <w:rPr>
          <w:rFonts w:ascii="Times New Roman" w:hAnsi="Times New Roman"/>
          <w:color w:val="000000"/>
          <w:lang w:eastAsia="zh-CN"/>
        </w:rPr>
        <w:t>编制组同步收集研究</w:t>
      </w:r>
      <w:r>
        <w:rPr>
          <w:rFonts w:ascii="Times New Roman" w:hAnsi="Times New Roman"/>
          <w:color w:val="000000"/>
          <w:lang w:eastAsia="zh-CN"/>
        </w:rPr>
        <w:t>SL/T 793—2025</w:t>
      </w:r>
      <w:r>
        <w:rPr>
          <w:rFonts w:ascii="Times New Roman" w:hAnsi="Times New Roman"/>
          <w:color w:val="000000"/>
          <w:lang w:eastAsia="zh-CN"/>
        </w:rPr>
        <w:t>、</w:t>
      </w:r>
      <w:r>
        <w:rPr>
          <w:rFonts w:ascii="Times New Roman" w:hAnsi="Times New Roman"/>
          <w:color w:val="000000"/>
          <w:lang w:eastAsia="zh-CN"/>
        </w:rPr>
        <w:t>HJ 1295—2023</w:t>
      </w:r>
      <w:r>
        <w:rPr>
          <w:rFonts w:ascii="Times New Roman" w:hAnsi="Times New Roman"/>
          <w:color w:val="000000"/>
          <w:lang w:eastAsia="zh-CN"/>
        </w:rPr>
        <w:t>、</w:t>
      </w:r>
      <w:r>
        <w:rPr>
          <w:rFonts w:ascii="Times New Roman" w:hAnsi="Times New Roman"/>
          <w:color w:val="000000"/>
          <w:lang w:eastAsia="zh-CN"/>
        </w:rPr>
        <w:t>HJ 1296—2023</w:t>
      </w:r>
      <w:r>
        <w:rPr>
          <w:rFonts w:ascii="Times New Roman" w:hAnsi="Times New Roman"/>
          <w:color w:val="000000"/>
          <w:lang w:eastAsia="zh-CN"/>
        </w:rPr>
        <w:t>等相关标准，以及欧盟、美国、澳大利亚、日本等国家和地区的河湖生态评价、监测和治理技术资料，分析国内外评价目标、指标体系、参考基准、监测组织和结果应用的差异。</w:t>
      </w:r>
    </w:p>
    <w:p w14:paraId="0E8C1C36" w14:textId="77777777" w:rsidR="00811368" w:rsidRDefault="00D652BD">
      <w:pPr>
        <w:keepNext/>
        <w:spacing w:before="120" w:after="20"/>
        <w:ind w:left="640"/>
        <w:rPr>
          <w:lang w:eastAsia="zh-CN"/>
        </w:rPr>
      </w:pPr>
      <w:r>
        <w:rPr>
          <w:rFonts w:ascii="Times New Roman" w:eastAsia="黑体" w:hAnsi="Times New Roman"/>
          <w:b/>
          <w:color w:val="000000"/>
          <w:lang w:eastAsia="zh-CN"/>
        </w:rPr>
        <w:t>（二）修订起草阶段</w:t>
      </w:r>
    </w:p>
    <w:p w14:paraId="3022F825" w14:textId="77777777" w:rsidR="00811368" w:rsidRDefault="00D652BD">
      <w:pPr>
        <w:spacing w:after="0"/>
        <w:ind w:firstLine="640"/>
        <w:jc w:val="both"/>
        <w:rPr>
          <w:lang w:eastAsia="zh-CN"/>
        </w:rPr>
      </w:pPr>
      <w:r>
        <w:rPr>
          <w:rFonts w:ascii="Times New Roman" w:hAnsi="Times New Roman"/>
          <w:color w:val="000000"/>
          <w:lang w:eastAsia="zh-CN"/>
        </w:rPr>
        <w:t>2026</w:t>
      </w:r>
      <w:r>
        <w:rPr>
          <w:rFonts w:ascii="Times New Roman" w:hAnsi="Times New Roman"/>
          <w:color w:val="000000"/>
          <w:lang w:eastAsia="zh-CN"/>
        </w:rPr>
        <w:t>年，编制组以《原指南》为基础，依据</w:t>
      </w:r>
      <w:r>
        <w:rPr>
          <w:rFonts w:ascii="Times New Roman" w:hAnsi="Times New Roman"/>
          <w:color w:val="000000"/>
          <w:lang w:eastAsia="zh-CN"/>
        </w:rPr>
        <w:t>SL/T 793—2025</w:t>
      </w:r>
      <w:r>
        <w:rPr>
          <w:rFonts w:ascii="Times New Roman" w:hAnsi="Times New Roman"/>
          <w:color w:val="000000"/>
          <w:lang w:eastAsia="zh-CN"/>
        </w:rPr>
        <w:t>对文件结构和评价框架进行重构，重点研究准则层设置、指标类型划分、河流与湖泊差异化指标、指标计算赋分、调查监测频次以及评价分级等内容。在此基础上，编制组形成《指南》草案，并对主要指标开展技术复核和适用性分析。</w:t>
      </w:r>
    </w:p>
    <w:p w14:paraId="48966394" w14:textId="77777777" w:rsidR="00811368" w:rsidRDefault="00D652BD">
      <w:pPr>
        <w:keepNext/>
        <w:spacing w:before="120" w:after="20"/>
        <w:ind w:left="640"/>
        <w:rPr>
          <w:lang w:eastAsia="zh-CN"/>
        </w:rPr>
      </w:pPr>
      <w:r>
        <w:rPr>
          <w:rFonts w:ascii="Times New Roman" w:eastAsia="黑体" w:hAnsi="Times New Roman"/>
          <w:b/>
          <w:color w:val="000000"/>
          <w:lang w:eastAsia="zh-CN"/>
        </w:rPr>
        <w:t>（三）草案评审阶段</w:t>
      </w:r>
    </w:p>
    <w:p w14:paraId="4C771130" w14:textId="77777777" w:rsidR="00811368" w:rsidRDefault="00D652BD">
      <w:pPr>
        <w:spacing w:after="0"/>
        <w:ind w:firstLine="640"/>
        <w:jc w:val="both"/>
        <w:rPr>
          <w:lang w:eastAsia="zh-CN"/>
        </w:rPr>
      </w:pPr>
      <w:r>
        <w:rPr>
          <w:rFonts w:ascii="Times New Roman" w:hAnsi="Times New Roman"/>
          <w:color w:val="000000"/>
          <w:lang w:eastAsia="zh-CN"/>
        </w:rPr>
        <w:t>2026</w:t>
      </w:r>
      <w:r>
        <w:rPr>
          <w:rFonts w:ascii="Times New Roman" w:hAnsi="Times New Roman"/>
          <w:color w:val="000000"/>
          <w:lang w:eastAsia="zh-CN"/>
        </w:rPr>
        <w:t>年</w:t>
      </w:r>
      <w:r>
        <w:rPr>
          <w:rFonts w:ascii="Times New Roman" w:hAnsi="Times New Roman"/>
          <w:color w:val="000000"/>
          <w:lang w:eastAsia="zh-CN"/>
        </w:rPr>
        <w:t>9</w:t>
      </w:r>
      <w:r>
        <w:rPr>
          <w:rFonts w:ascii="Times New Roman" w:hAnsi="Times New Roman"/>
          <w:color w:val="000000"/>
          <w:lang w:eastAsia="zh-CN"/>
        </w:rPr>
        <w:t>月，上海市水利管理事务中心（上海市河湖管理事务中心）组织召开《指南》草案专家评审会，上海市水</w:t>
      </w:r>
      <w:proofErr w:type="gramStart"/>
      <w:r>
        <w:rPr>
          <w:rFonts w:ascii="Times New Roman" w:hAnsi="Times New Roman"/>
          <w:color w:val="000000"/>
          <w:lang w:eastAsia="zh-CN"/>
        </w:rPr>
        <w:t>务局科</w:t>
      </w:r>
      <w:proofErr w:type="gramEnd"/>
      <w:r>
        <w:rPr>
          <w:rFonts w:ascii="Times New Roman" w:hAnsi="Times New Roman"/>
          <w:color w:val="000000"/>
          <w:lang w:eastAsia="zh-CN"/>
        </w:rPr>
        <w:t>信处、河长处参加会议。专家组听取编制组汇报，审阅相关材料并进行讨论质询，认为草案格式符合</w:t>
      </w:r>
      <w:r>
        <w:rPr>
          <w:rFonts w:ascii="Times New Roman" w:hAnsi="Times New Roman"/>
          <w:color w:val="000000"/>
          <w:lang w:eastAsia="zh-CN"/>
        </w:rPr>
        <w:t>GB/T 1.1—</w:t>
      </w:r>
      <w:r>
        <w:rPr>
          <w:rFonts w:ascii="Times New Roman" w:hAnsi="Times New Roman"/>
          <w:color w:val="000000"/>
          <w:lang w:eastAsia="zh-CN"/>
        </w:rPr>
        <w:t>2020</w:t>
      </w:r>
      <w:r>
        <w:rPr>
          <w:rFonts w:ascii="Times New Roman" w:hAnsi="Times New Roman"/>
          <w:color w:val="000000"/>
          <w:lang w:eastAsia="zh-CN"/>
        </w:rPr>
        <w:t>要求，编制依据充分，内容完整，技术合理可行，具有较强可操作性，已达到征求意见稿深度，同意按有关规定公开征求意见。</w:t>
      </w:r>
    </w:p>
    <w:p w14:paraId="0EDB31E9" w14:textId="77777777" w:rsidR="00811368" w:rsidRDefault="00D652BD">
      <w:pPr>
        <w:keepNext/>
        <w:spacing w:before="120" w:after="20"/>
        <w:ind w:left="640"/>
        <w:rPr>
          <w:lang w:eastAsia="zh-CN"/>
        </w:rPr>
      </w:pPr>
      <w:r>
        <w:rPr>
          <w:rFonts w:ascii="Times New Roman" w:eastAsia="黑体" w:hAnsi="Times New Roman"/>
          <w:b/>
          <w:color w:val="000000"/>
          <w:lang w:eastAsia="zh-CN"/>
        </w:rPr>
        <w:lastRenderedPageBreak/>
        <w:t>（四）征求意见阶段</w:t>
      </w:r>
    </w:p>
    <w:p w14:paraId="0A167876" w14:textId="77777777" w:rsidR="00811368" w:rsidRDefault="00D652BD">
      <w:pPr>
        <w:spacing w:after="0"/>
        <w:ind w:firstLine="640"/>
        <w:jc w:val="both"/>
        <w:rPr>
          <w:lang w:eastAsia="zh-CN"/>
        </w:rPr>
      </w:pPr>
      <w:r>
        <w:rPr>
          <w:rFonts w:ascii="Times New Roman" w:hAnsi="Times New Roman"/>
          <w:color w:val="000000"/>
          <w:lang w:eastAsia="zh-CN"/>
        </w:rPr>
        <w:t>编制组根据草案评审意见对标准名称、指标体系、指标计算和文字表述等内容进一步修改完善，于</w:t>
      </w:r>
      <w:r>
        <w:rPr>
          <w:rFonts w:ascii="Times New Roman" w:hAnsi="Times New Roman"/>
          <w:color w:val="000000"/>
          <w:lang w:eastAsia="zh-CN"/>
        </w:rPr>
        <w:t>2026</w:t>
      </w:r>
      <w:r>
        <w:rPr>
          <w:rFonts w:ascii="Times New Roman" w:hAnsi="Times New Roman"/>
          <w:color w:val="000000"/>
          <w:lang w:eastAsia="zh-CN"/>
        </w:rPr>
        <w:t>年</w:t>
      </w:r>
      <w:r>
        <w:rPr>
          <w:rFonts w:ascii="Times New Roman" w:hAnsi="Times New Roman"/>
          <w:color w:val="000000"/>
          <w:lang w:eastAsia="zh-CN"/>
        </w:rPr>
        <w:t>10</w:t>
      </w:r>
      <w:r>
        <w:rPr>
          <w:rFonts w:ascii="Times New Roman" w:hAnsi="Times New Roman"/>
          <w:color w:val="000000"/>
          <w:lang w:eastAsia="zh-CN"/>
        </w:rPr>
        <w:t>月形成《指南》（征求意见稿），进入公开和定向征求意见阶段。征求意见结束后，编制组将逐条研究处理意见，形成意见汇总处理表，并按程序完成技术审查、报批和发布工作。</w:t>
      </w:r>
    </w:p>
    <w:p w14:paraId="1B17FEEB" w14:textId="77777777" w:rsidR="00811368" w:rsidRDefault="00D652BD">
      <w:pPr>
        <w:keepNext/>
        <w:spacing w:before="200" w:after="40"/>
        <w:ind w:left="640"/>
        <w:rPr>
          <w:lang w:eastAsia="zh-CN"/>
        </w:rPr>
      </w:pPr>
      <w:r>
        <w:rPr>
          <w:rFonts w:ascii="Times New Roman" w:eastAsia="黑体" w:hAnsi="Times New Roman"/>
          <w:b/>
          <w:color w:val="000000"/>
          <w:lang w:eastAsia="zh-CN"/>
        </w:rPr>
        <w:t>四、编制原则</w:t>
      </w:r>
    </w:p>
    <w:p w14:paraId="029B2BC1" w14:textId="77777777" w:rsidR="00811368" w:rsidRDefault="00D652BD">
      <w:pPr>
        <w:keepNext/>
        <w:spacing w:before="120" w:after="20"/>
        <w:ind w:left="640"/>
        <w:rPr>
          <w:lang w:eastAsia="zh-CN"/>
        </w:rPr>
      </w:pPr>
      <w:r>
        <w:rPr>
          <w:rFonts w:ascii="Times New Roman" w:eastAsia="黑体" w:hAnsi="Times New Roman"/>
          <w:b/>
          <w:color w:val="000000"/>
          <w:lang w:eastAsia="zh-CN"/>
        </w:rPr>
        <w:t>（一）协调衔接原则</w:t>
      </w:r>
    </w:p>
    <w:p w14:paraId="15EA4F4D" w14:textId="77777777" w:rsidR="00811368" w:rsidRDefault="00D652BD">
      <w:pPr>
        <w:spacing w:after="0"/>
        <w:ind w:firstLine="640"/>
        <w:jc w:val="both"/>
        <w:rPr>
          <w:lang w:eastAsia="zh-CN"/>
        </w:rPr>
      </w:pPr>
      <w:r>
        <w:rPr>
          <w:rFonts w:ascii="Times New Roman" w:hAnsi="Times New Roman"/>
          <w:color w:val="000000"/>
          <w:lang w:eastAsia="zh-CN"/>
        </w:rPr>
        <w:t>以</w:t>
      </w:r>
      <w:r>
        <w:rPr>
          <w:rFonts w:ascii="Times New Roman" w:hAnsi="Times New Roman"/>
          <w:color w:val="000000"/>
          <w:lang w:eastAsia="zh-CN"/>
        </w:rPr>
        <w:t>SL/T 793—2025</w:t>
      </w:r>
      <w:r>
        <w:rPr>
          <w:rFonts w:ascii="Times New Roman" w:hAnsi="Times New Roman"/>
          <w:color w:val="000000"/>
          <w:lang w:eastAsia="zh-CN"/>
        </w:rPr>
        <w:t>为主要技术依据，与</w:t>
      </w:r>
      <w:r>
        <w:rPr>
          <w:rFonts w:ascii="Times New Roman" w:hAnsi="Times New Roman"/>
          <w:color w:val="000000"/>
          <w:lang w:eastAsia="zh-CN"/>
        </w:rPr>
        <w:t>GB 3838</w:t>
      </w:r>
      <w:r>
        <w:rPr>
          <w:rFonts w:ascii="Times New Roman" w:hAnsi="Times New Roman"/>
          <w:color w:val="000000"/>
          <w:lang w:eastAsia="zh-CN"/>
        </w:rPr>
        <w:t>、</w:t>
      </w:r>
      <w:r>
        <w:rPr>
          <w:rFonts w:ascii="Times New Roman" w:hAnsi="Times New Roman"/>
          <w:color w:val="000000"/>
          <w:lang w:eastAsia="zh-CN"/>
        </w:rPr>
        <w:t>SL 219</w:t>
      </w:r>
      <w:r>
        <w:rPr>
          <w:rFonts w:ascii="Times New Roman" w:hAnsi="Times New Roman"/>
          <w:color w:val="000000"/>
          <w:lang w:eastAsia="zh-CN"/>
        </w:rPr>
        <w:t>、</w:t>
      </w:r>
      <w:r>
        <w:rPr>
          <w:rFonts w:ascii="Times New Roman" w:hAnsi="Times New Roman"/>
          <w:color w:val="000000"/>
          <w:lang w:eastAsia="zh-CN"/>
        </w:rPr>
        <w:t>SL 395</w:t>
      </w:r>
      <w:r>
        <w:rPr>
          <w:rFonts w:ascii="Times New Roman" w:hAnsi="Times New Roman"/>
          <w:color w:val="000000"/>
          <w:lang w:eastAsia="zh-CN"/>
        </w:rPr>
        <w:t>、</w:t>
      </w:r>
      <w:r>
        <w:rPr>
          <w:rFonts w:ascii="Times New Roman" w:hAnsi="Times New Roman"/>
          <w:color w:val="000000"/>
          <w:lang w:eastAsia="zh-CN"/>
        </w:rPr>
        <w:t>HJ 1295</w:t>
      </w:r>
      <w:r>
        <w:rPr>
          <w:rFonts w:ascii="Times New Roman" w:hAnsi="Times New Roman"/>
          <w:color w:val="000000"/>
          <w:lang w:eastAsia="zh-CN"/>
        </w:rPr>
        <w:t>、</w:t>
      </w:r>
      <w:r>
        <w:rPr>
          <w:rFonts w:ascii="Times New Roman" w:hAnsi="Times New Roman"/>
          <w:color w:val="000000"/>
          <w:lang w:eastAsia="zh-CN"/>
        </w:rPr>
        <w:t>HJ 1296</w:t>
      </w:r>
      <w:r>
        <w:rPr>
          <w:rFonts w:ascii="Times New Roman" w:hAnsi="Times New Roman"/>
          <w:color w:val="000000"/>
          <w:lang w:eastAsia="zh-CN"/>
        </w:rPr>
        <w:t>等标准相衔接，在评价对象、指标概念、监测方法、计算规则和结果分级方面保持协调。对本市已经形成稳定应</w:t>
      </w:r>
      <w:r>
        <w:rPr>
          <w:rFonts w:ascii="Times New Roman" w:hAnsi="Times New Roman"/>
          <w:color w:val="000000"/>
          <w:lang w:eastAsia="zh-CN"/>
        </w:rPr>
        <w:t>用基础的指标和方法予以保留，减少标准修订对既有评价工作的不必要影响。</w:t>
      </w:r>
    </w:p>
    <w:p w14:paraId="58F0FBB0" w14:textId="77777777" w:rsidR="00811368" w:rsidRDefault="00D652BD">
      <w:pPr>
        <w:keepNext/>
        <w:spacing w:before="120" w:after="20"/>
        <w:ind w:left="640"/>
        <w:rPr>
          <w:lang w:eastAsia="zh-CN"/>
        </w:rPr>
      </w:pPr>
      <w:r>
        <w:rPr>
          <w:rFonts w:ascii="Times New Roman" w:eastAsia="黑体" w:hAnsi="Times New Roman"/>
          <w:b/>
          <w:color w:val="000000"/>
          <w:lang w:eastAsia="zh-CN"/>
        </w:rPr>
        <w:t>（二）科学系统原则</w:t>
      </w:r>
    </w:p>
    <w:p w14:paraId="2FF4810E" w14:textId="77777777" w:rsidR="00811368" w:rsidRDefault="00D652BD">
      <w:pPr>
        <w:spacing w:after="0"/>
        <w:ind w:firstLine="640"/>
        <w:jc w:val="both"/>
        <w:rPr>
          <w:lang w:eastAsia="zh-CN"/>
        </w:rPr>
      </w:pPr>
      <w:r>
        <w:rPr>
          <w:rFonts w:ascii="Times New Roman" w:hAnsi="Times New Roman"/>
          <w:color w:val="000000"/>
          <w:lang w:eastAsia="zh-CN"/>
        </w:rPr>
        <w:t>围绕河湖生态系统状况和社会服务功能，综合考虑水岸空间、水量水质、水生生物和社会服务四个方面，兼顾河流与湖泊在水动力、形态结构和生物群落上的差异。指标选取注重代表性、敏感性和相互独立性，评价方法尽可能采用可量化、可复核的监测和调查数据。</w:t>
      </w:r>
    </w:p>
    <w:p w14:paraId="5207C210" w14:textId="77777777" w:rsidR="00811368" w:rsidRDefault="00D652BD">
      <w:pPr>
        <w:keepNext/>
        <w:spacing w:before="120" w:after="20"/>
        <w:ind w:left="640"/>
        <w:rPr>
          <w:lang w:eastAsia="zh-CN"/>
        </w:rPr>
      </w:pPr>
      <w:r>
        <w:rPr>
          <w:rFonts w:ascii="Times New Roman" w:eastAsia="黑体" w:hAnsi="Times New Roman"/>
          <w:b/>
          <w:color w:val="000000"/>
          <w:lang w:eastAsia="zh-CN"/>
        </w:rPr>
        <w:t>（三）因地制宜原则</w:t>
      </w:r>
    </w:p>
    <w:p w14:paraId="0EACC0B3" w14:textId="77777777" w:rsidR="00811368" w:rsidRDefault="00D652BD">
      <w:pPr>
        <w:spacing w:after="0"/>
        <w:ind w:firstLine="640"/>
        <w:jc w:val="both"/>
        <w:rPr>
          <w:lang w:eastAsia="zh-CN"/>
        </w:rPr>
      </w:pPr>
      <w:r>
        <w:rPr>
          <w:rFonts w:ascii="Times New Roman" w:hAnsi="Times New Roman"/>
          <w:color w:val="000000"/>
          <w:lang w:eastAsia="zh-CN"/>
        </w:rPr>
        <w:t>立足上海</w:t>
      </w:r>
      <w:proofErr w:type="gramStart"/>
      <w:r>
        <w:rPr>
          <w:rFonts w:ascii="Times New Roman" w:hAnsi="Times New Roman"/>
          <w:color w:val="000000"/>
          <w:lang w:eastAsia="zh-CN"/>
        </w:rPr>
        <w:t>平原感潮河网</w:t>
      </w:r>
      <w:proofErr w:type="gramEnd"/>
      <w:r>
        <w:rPr>
          <w:rFonts w:ascii="Times New Roman" w:hAnsi="Times New Roman"/>
          <w:color w:val="000000"/>
          <w:lang w:eastAsia="zh-CN"/>
        </w:rPr>
        <w:t>、闸控水系和超大城市河湖功能复合的特点，强化水流通畅、水域岸线完整、岸线自然状况、水体清澈程度、防洪排涝和岸线贯通等内容。对长江、黄浦江、</w:t>
      </w:r>
      <w:proofErr w:type="gramStart"/>
      <w:r>
        <w:rPr>
          <w:rFonts w:ascii="Times New Roman" w:hAnsi="Times New Roman"/>
          <w:color w:val="000000"/>
          <w:lang w:eastAsia="zh-CN"/>
        </w:rPr>
        <w:t>淀</w:t>
      </w:r>
      <w:proofErr w:type="gramEnd"/>
      <w:r>
        <w:rPr>
          <w:rFonts w:ascii="Times New Roman" w:hAnsi="Times New Roman"/>
          <w:color w:val="000000"/>
          <w:lang w:eastAsia="zh-CN"/>
        </w:rPr>
        <w:t>山湖</w:t>
      </w:r>
      <w:r>
        <w:rPr>
          <w:rFonts w:ascii="Times New Roman" w:hAnsi="Times New Roman"/>
          <w:color w:val="000000"/>
          <w:lang w:eastAsia="zh-CN"/>
        </w:rPr>
        <w:lastRenderedPageBreak/>
        <w:t>等</w:t>
      </w:r>
      <w:r>
        <w:rPr>
          <w:rFonts w:ascii="Times New Roman" w:hAnsi="Times New Roman"/>
          <w:color w:val="000000"/>
          <w:lang w:eastAsia="zh-CN"/>
        </w:rPr>
        <w:t>具有典型功能的河湖设置特色指标，对一般河湖保留适当的备选指标，避免一套指标机械适用于所有河湖。</w:t>
      </w:r>
    </w:p>
    <w:p w14:paraId="14694130" w14:textId="77777777" w:rsidR="00811368" w:rsidRDefault="00D652BD">
      <w:pPr>
        <w:keepNext/>
        <w:spacing w:before="120" w:after="20"/>
        <w:ind w:left="640"/>
        <w:rPr>
          <w:lang w:eastAsia="zh-CN"/>
        </w:rPr>
      </w:pPr>
      <w:r>
        <w:rPr>
          <w:rFonts w:ascii="Times New Roman" w:eastAsia="黑体" w:hAnsi="Times New Roman"/>
          <w:b/>
          <w:color w:val="000000"/>
          <w:lang w:eastAsia="zh-CN"/>
        </w:rPr>
        <w:t>（四）可操作原则</w:t>
      </w:r>
    </w:p>
    <w:p w14:paraId="24F67DB8" w14:textId="77777777" w:rsidR="00811368" w:rsidRDefault="00D652BD">
      <w:pPr>
        <w:spacing w:after="0"/>
        <w:ind w:firstLine="640"/>
        <w:jc w:val="both"/>
        <w:rPr>
          <w:lang w:eastAsia="zh-CN"/>
        </w:rPr>
      </w:pPr>
      <w:r>
        <w:rPr>
          <w:rFonts w:ascii="Times New Roman" w:hAnsi="Times New Roman"/>
          <w:color w:val="000000"/>
          <w:lang w:eastAsia="zh-CN"/>
        </w:rPr>
        <w:t>优先使用政府统计、常规水文水质监测、河湖管理和既有调查成果，明确数据获取方式、调查频次、评价周期和</w:t>
      </w:r>
      <w:proofErr w:type="gramStart"/>
      <w:r>
        <w:rPr>
          <w:rFonts w:ascii="Times New Roman" w:hAnsi="Times New Roman"/>
          <w:color w:val="000000"/>
          <w:lang w:eastAsia="zh-CN"/>
        </w:rPr>
        <w:t>赋分</w:t>
      </w:r>
      <w:proofErr w:type="gramEnd"/>
      <w:r>
        <w:rPr>
          <w:rFonts w:ascii="Times New Roman" w:hAnsi="Times New Roman"/>
          <w:color w:val="000000"/>
          <w:lang w:eastAsia="zh-CN"/>
        </w:rPr>
        <w:t>方法。通过设置必选指标、特色指标和备选指标，兼顾评价结果的可比性与不同河湖的实际差异，控制重复调查和评价成本。</w:t>
      </w:r>
    </w:p>
    <w:p w14:paraId="1F41C6ED" w14:textId="77777777" w:rsidR="00811368" w:rsidRDefault="00D652BD">
      <w:pPr>
        <w:keepNext/>
        <w:spacing w:before="120" w:after="20"/>
        <w:ind w:left="640"/>
        <w:rPr>
          <w:lang w:eastAsia="zh-CN"/>
        </w:rPr>
      </w:pPr>
      <w:r>
        <w:rPr>
          <w:rFonts w:ascii="Times New Roman" w:eastAsia="黑体" w:hAnsi="Times New Roman"/>
          <w:b/>
          <w:color w:val="000000"/>
          <w:lang w:eastAsia="zh-CN"/>
        </w:rPr>
        <w:t>（五）问题导向原则</w:t>
      </w:r>
    </w:p>
    <w:p w14:paraId="397925B9" w14:textId="77777777" w:rsidR="00811368" w:rsidRDefault="00D652BD">
      <w:pPr>
        <w:spacing w:after="0"/>
        <w:ind w:firstLine="640"/>
        <w:jc w:val="both"/>
        <w:rPr>
          <w:lang w:eastAsia="zh-CN"/>
        </w:rPr>
      </w:pPr>
      <w:r>
        <w:rPr>
          <w:rFonts w:ascii="Times New Roman" w:hAnsi="Times New Roman"/>
          <w:color w:val="000000"/>
          <w:lang w:eastAsia="zh-CN"/>
        </w:rPr>
        <w:t>评价结果既反映河湖总体健康水平，也应能够识别影响健康状态的关键因素。修订后的分级标准设置关键指标降级规则，避免综合平均掩盖水域岸线、水质或生态流量方面的突出问题，使</w:t>
      </w:r>
      <w:r>
        <w:rPr>
          <w:rFonts w:ascii="Times New Roman" w:hAnsi="Times New Roman"/>
          <w:color w:val="000000"/>
          <w:lang w:eastAsia="zh-CN"/>
        </w:rPr>
        <w:t>评价结论能够直接服务后续治理和管理。</w:t>
      </w:r>
    </w:p>
    <w:p w14:paraId="77A909D0" w14:textId="77777777" w:rsidR="00811368" w:rsidRDefault="00D652BD">
      <w:pPr>
        <w:keepNext/>
        <w:spacing w:before="200" w:after="40"/>
        <w:ind w:left="640"/>
        <w:rPr>
          <w:lang w:eastAsia="zh-CN"/>
        </w:rPr>
      </w:pPr>
      <w:r>
        <w:rPr>
          <w:rFonts w:ascii="Times New Roman" w:eastAsia="黑体" w:hAnsi="Times New Roman"/>
          <w:b/>
          <w:color w:val="000000"/>
          <w:lang w:eastAsia="zh-CN"/>
        </w:rPr>
        <w:t>五、主要技术内容</w:t>
      </w:r>
    </w:p>
    <w:p w14:paraId="2AEA6813" w14:textId="77777777" w:rsidR="00811368" w:rsidRDefault="00D652BD">
      <w:pPr>
        <w:keepNext/>
        <w:spacing w:before="120" w:after="20"/>
        <w:ind w:left="640"/>
        <w:rPr>
          <w:lang w:eastAsia="zh-CN"/>
        </w:rPr>
      </w:pPr>
      <w:r>
        <w:rPr>
          <w:rFonts w:ascii="Times New Roman" w:eastAsia="黑体" w:hAnsi="Times New Roman"/>
          <w:b/>
          <w:color w:val="000000"/>
          <w:lang w:eastAsia="zh-CN"/>
        </w:rPr>
        <w:t>（一）文件结构</w:t>
      </w:r>
    </w:p>
    <w:p w14:paraId="7DA76FF3" w14:textId="77777777" w:rsidR="00811368" w:rsidRDefault="00D652BD">
      <w:pPr>
        <w:spacing w:after="0"/>
        <w:ind w:firstLine="640"/>
        <w:jc w:val="both"/>
        <w:rPr>
          <w:lang w:eastAsia="zh-CN"/>
        </w:rPr>
      </w:pPr>
      <w:r>
        <w:rPr>
          <w:rFonts w:ascii="Times New Roman" w:hAnsi="Times New Roman"/>
          <w:color w:val="000000"/>
          <w:lang w:eastAsia="zh-CN"/>
        </w:rPr>
        <w:t>《指南》共</w:t>
      </w:r>
      <w:r>
        <w:rPr>
          <w:rFonts w:ascii="Times New Roman" w:hAnsi="Times New Roman"/>
          <w:color w:val="000000"/>
          <w:lang w:eastAsia="zh-CN"/>
        </w:rPr>
        <w:t>9</w:t>
      </w:r>
      <w:r>
        <w:rPr>
          <w:rFonts w:ascii="Times New Roman" w:hAnsi="Times New Roman"/>
          <w:color w:val="000000"/>
          <w:lang w:eastAsia="zh-CN"/>
        </w:rPr>
        <w:t>章、</w:t>
      </w:r>
      <w:r>
        <w:rPr>
          <w:rFonts w:ascii="Times New Roman" w:hAnsi="Times New Roman"/>
          <w:color w:val="000000"/>
          <w:lang w:eastAsia="zh-CN"/>
        </w:rPr>
        <w:t>1</w:t>
      </w:r>
      <w:r>
        <w:rPr>
          <w:rFonts w:ascii="Times New Roman" w:hAnsi="Times New Roman"/>
          <w:color w:val="000000"/>
          <w:lang w:eastAsia="zh-CN"/>
        </w:rPr>
        <w:t>个资料性附录和参考文献，主要内容如下：</w:t>
      </w:r>
    </w:p>
    <w:p w14:paraId="1B7EAF52" w14:textId="77777777" w:rsidR="00811368" w:rsidRDefault="00D652BD">
      <w:pPr>
        <w:spacing w:after="0"/>
        <w:ind w:firstLine="640"/>
        <w:jc w:val="both"/>
        <w:rPr>
          <w:lang w:eastAsia="zh-CN"/>
        </w:rPr>
      </w:pPr>
      <w:r>
        <w:rPr>
          <w:rFonts w:ascii="Times New Roman" w:hAnsi="Times New Roman"/>
          <w:color w:val="000000"/>
          <w:lang w:eastAsia="zh-CN"/>
        </w:rPr>
        <w:t>第</w:t>
      </w:r>
      <w:r>
        <w:rPr>
          <w:rFonts w:ascii="Times New Roman" w:hAnsi="Times New Roman"/>
          <w:color w:val="000000"/>
          <w:lang w:eastAsia="zh-CN"/>
        </w:rPr>
        <w:t>1</w:t>
      </w:r>
      <w:r>
        <w:rPr>
          <w:rFonts w:ascii="Times New Roman" w:hAnsi="Times New Roman"/>
          <w:color w:val="000000"/>
          <w:lang w:eastAsia="zh-CN"/>
        </w:rPr>
        <w:t>章范围，规定河湖健康评价的内容和适用对象；</w:t>
      </w:r>
    </w:p>
    <w:p w14:paraId="6618A1F2" w14:textId="77777777" w:rsidR="00811368" w:rsidRDefault="00D652BD">
      <w:pPr>
        <w:spacing w:after="0"/>
        <w:ind w:firstLine="640"/>
        <w:jc w:val="both"/>
        <w:rPr>
          <w:lang w:eastAsia="zh-CN"/>
        </w:rPr>
      </w:pPr>
      <w:r>
        <w:rPr>
          <w:rFonts w:ascii="Times New Roman" w:hAnsi="Times New Roman"/>
          <w:color w:val="000000"/>
          <w:lang w:eastAsia="zh-CN"/>
        </w:rPr>
        <w:t>第</w:t>
      </w:r>
      <w:r>
        <w:rPr>
          <w:rFonts w:ascii="Times New Roman" w:hAnsi="Times New Roman"/>
          <w:color w:val="000000"/>
          <w:lang w:eastAsia="zh-CN"/>
        </w:rPr>
        <w:t>2</w:t>
      </w:r>
      <w:r>
        <w:rPr>
          <w:rFonts w:ascii="Times New Roman" w:hAnsi="Times New Roman"/>
          <w:color w:val="000000"/>
          <w:lang w:eastAsia="zh-CN"/>
        </w:rPr>
        <w:t>章规范性引用文件，列出评价工作直接引用的国家标准、行业标准和生态环境标准；</w:t>
      </w:r>
    </w:p>
    <w:p w14:paraId="5A09B3DA" w14:textId="77777777" w:rsidR="00811368" w:rsidRDefault="00D652BD">
      <w:pPr>
        <w:spacing w:after="0"/>
        <w:ind w:firstLine="640"/>
        <w:jc w:val="both"/>
        <w:rPr>
          <w:lang w:eastAsia="zh-CN"/>
        </w:rPr>
      </w:pPr>
      <w:r>
        <w:rPr>
          <w:rFonts w:ascii="Times New Roman" w:hAnsi="Times New Roman"/>
          <w:color w:val="000000"/>
          <w:lang w:eastAsia="zh-CN"/>
        </w:rPr>
        <w:t>第</w:t>
      </w:r>
      <w:r>
        <w:rPr>
          <w:rFonts w:ascii="Times New Roman" w:hAnsi="Times New Roman"/>
          <w:color w:val="000000"/>
          <w:lang w:eastAsia="zh-CN"/>
        </w:rPr>
        <w:t>3</w:t>
      </w:r>
      <w:r>
        <w:rPr>
          <w:rFonts w:ascii="Times New Roman" w:hAnsi="Times New Roman"/>
          <w:color w:val="000000"/>
          <w:lang w:eastAsia="zh-CN"/>
        </w:rPr>
        <w:t>章术语和定义，明确河湖健康评价和参考点等术语；</w:t>
      </w:r>
    </w:p>
    <w:p w14:paraId="4145A476" w14:textId="77777777" w:rsidR="00811368" w:rsidRDefault="00D652BD">
      <w:pPr>
        <w:spacing w:after="0"/>
        <w:ind w:firstLine="640"/>
        <w:jc w:val="both"/>
        <w:rPr>
          <w:lang w:eastAsia="zh-CN"/>
        </w:rPr>
      </w:pPr>
      <w:r>
        <w:rPr>
          <w:rFonts w:ascii="Times New Roman" w:hAnsi="Times New Roman"/>
          <w:color w:val="000000"/>
          <w:lang w:eastAsia="zh-CN"/>
        </w:rPr>
        <w:t>第</w:t>
      </w:r>
      <w:r>
        <w:rPr>
          <w:rFonts w:ascii="Times New Roman" w:hAnsi="Times New Roman"/>
          <w:color w:val="000000"/>
          <w:lang w:eastAsia="zh-CN"/>
        </w:rPr>
        <w:t>4</w:t>
      </w:r>
      <w:r>
        <w:rPr>
          <w:rFonts w:ascii="Times New Roman" w:hAnsi="Times New Roman"/>
          <w:color w:val="000000"/>
          <w:lang w:eastAsia="zh-CN"/>
        </w:rPr>
        <w:t>章工作流程，规定大纲编制、指标确定、调查监测、分析评价和报告编制等环节；</w:t>
      </w:r>
    </w:p>
    <w:p w14:paraId="27C31CC8" w14:textId="77777777" w:rsidR="00811368" w:rsidRDefault="00D652BD">
      <w:pPr>
        <w:spacing w:after="0"/>
        <w:ind w:firstLine="640"/>
        <w:jc w:val="both"/>
        <w:rPr>
          <w:lang w:eastAsia="zh-CN"/>
        </w:rPr>
      </w:pPr>
      <w:r>
        <w:rPr>
          <w:rFonts w:ascii="Times New Roman" w:hAnsi="Times New Roman"/>
          <w:color w:val="000000"/>
          <w:lang w:eastAsia="zh-CN"/>
        </w:rPr>
        <w:t>第</w:t>
      </w:r>
      <w:r>
        <w:rPr>
          <w:rFonts w:ascii="Times New Roman" w:hAnsi="Times New Roman"/>
          <w:color w:val="000000"/>
          <w:lang w:eastAsia="zh-CN"/>
        </w:rPr>
        <w:t>5</w:t>
      </w:r>
      <w:r>
        <w:rPr>
          <w:rFonts w:ascii="Times New Roman" w:hAnsi="Times New Roman"/>
          <w:color w:val="000000"/>
          <w:lang w:eastAsia="zh-CN"/>
        </w:rPr>
        <w:t>章评价指标及权重，构建河流、湖泊评价指标体系，明确准则层权重和指标类型；</w:t>
      </w:r>
    </w:p>
    <w:p w14:paraId="0333FD4D" w14:textId="77777777" w:rsidR="00811368" w:rsidRDefault="00D652BD">
      <w:pPr>
        <w:spacing w:after="0"/>
        <w:ind w:firstLine="640"/>
        <w:jc w:val="both"/>
        <w:rPr>
          <w:lang w:eastAsia="zh-CN"/>
        </w:rPr>
      </w:pPr>
      <w:r>
        <w:rPr>
          <w:rFonts w:ascii="Times New Roman" w:hAnsi="Times New Roman"/>
          <w:color w:val="000000"/>
          <w:lang w:eastAsia="zh-CN"/>
        </w:rPr>
        <w:lastRenderedPageBreak/>
        <w:t>第</w:t>
      </w:r>
      <w:r>
        <w:rPr>
          <w:rFonts w:ascii="Times New Roman" w:hAnsi="Times New Roman"/>
          <w:color w:val="000000"/>
          <w:lang w:eastAsia="zh-CN"/>
        </w:rPr>
        <w:t>6</w:t>
      </w:r>
      <w:proofErr w:type="gramStart"/>
      <w:r>
        <w:rPr>
          <w:rFonts w:ascii="Times New Roman" w:hAnsi="Times New Roman"/>
          <w:color w:val="000000"/>
          <w:lang w:eastAsia="zh-CN"/>
        </w:rPr>
        <w:t>章指标</w:t>
      </w:r>
      <w:proofErr w:type="gramEnd"/>
      <w:r>
        <w:rPr>
          <w:rFonts w:ascii="Times New Roman" w:hAnsi="Times New Roman"/>
          <w:color w:val="000000"/>
          <w:lang w:eastAsia="zh-CN"/>
        </w:rPr>
        <w:t>计算及赋分，规定各项指标的计算方法、</w:t>
      </w:r>
      <w:r>
        <w:rPr>
          <w:rFonts w:ascii="Times New Roman" w:hAnsi="Times New Roman"/>
          <w:color w:val="000000"/>
          <w:lang w:eastAsia="zh-CN"/>
        </w:rPr>
        <w:t>阈值和</w:t>
      </w:r>
      <w:proofErr w:type="gramStart"/>
      <w:r>
        <w:rPr>
          <w:rFonts w:ascii="Times New Roman" w:hAnsi="Times New Roman"/>
          <w:color w:val="000000"/>
          <w:lang w:eastAsia="zh-CN"/>
        </w:rPr>
        <w:t>赋分</w:t>
      </w:r>
      <w:proofErr w:type="gramEnd"/>
      <w:r>
        <w:rPr>
          <w:rFonts w:ascii="Times New Roman" w:hAnsi="Times New Roman"/>
          <w:color w:val="000000"/>
          <w:lang w:eastAsia="zh-CN"/>
        </w:rPr>
        <w:t>标准；</w:t>
      </w:r>
    </w:p>
    <w:p w14:paraId="7C8921E0" w14:textId="77777777" w:rsidR="00811368" w:rsidRDefault="00D652BD">
      <w:pPr>
        <w:spacing w:after="0"/>
        <w:ind w:firstLine="640"/>
        <w:jc w:val="both"/>
        <w:rPr>
          <w:lang w:eastAsia="zh-CN"/>
        </w:rPr>
      </w:pPr>
      <w:r>
        <w:rPr>
          <w:rFonts w:ascii="Times New Roman" w:hAnsi="Times New Roman"/>
          <w:color w:val="000000"/>
          <w:lang w:eastAsia="zh-CN"/>
        </w:rPr>
        <w:t>第</w:t>
      </w:r>
      <w:r>
        <w:rPr>
          <w:rFonts w:ascii="Times New Roman" w:hAnsi="Times New Roman"/>
          <w:color w:val="000000"/>
          <w:lang w:eastAsia="zh-CN"/>
        </w:rPr>
        <w:t>7</w:t>
      </w:r>
      <w:r>
        <w:rPr>
          <w:rFonts w:ascii="Times New Roman" w:hAnsi="Times New Roman"/>
          <w:color w:val="000000"/>
          <w:lang w:eastAsia="zh-CN"/>
        </w:rPr>
        <w:t>章调查监测，明确分段分区、点位设置、数据获取方法和监测频次；</w:t>
      </w:r>
    </w:p>
    <w:p w14:paraId="33E58357" w14:textId="77777777" w:rsidR="00811368" w:rsidRDefault="00D652BD">
      <w:pPr>
        <w:spacing w:after="0"/>
        <w:ind w:firstLine="640"/>
        <w:jc w:val="both"/>
        <w:rPr>
          <w:lang w:eastAsia="zh-CN"/>
        </w:rPr>
      </w:pPr>
      <w:r>
        <w:rPr>
          <w:rFonts w:ascii="Times New Roman" w:hAnsi="Times New Roman"/>
          <w:color w:val="000000"/>
          <w:lang w:eastAsia="zh-CN"/>
        </w:rPr>
        <w:t>第</w:t>
      </w:r>
      <w:r>
        <w:rPr>
          <w:rFonts w:ascii="Times New Roman" w:hAnsi="Times New Roman"/>
          <w:color w:val="000000"/>
          <w:lang w:eastAsia="zh-CN"/>
        </w:rPr>
        <w:t>8</w:t>
      </w:r>
      <w:r>
        <w:rPr>
          <w:rFonts w:ascii="Times New Roman" w:hAnsi="Times New Roman"/>
          <w:color w:val="000000"/>
          <w:lang w:eastAsia="zh-CN"/>
        </w:rPr>
        <w:t>章河湖健康指数，规定准则层和目标层计算方法、河段或湖区汇总方法以及健康分级；</w:t>
      </w:r>
    </w:p>
    <w:p w14:paraId="06EC7FD8" w14:textId="77777777" w:rsidR="00811368" w:rsidRDefault="00D652BD">
      <w:pPr>
        <w:spacing w:after="0"/>
        <w:ind w:firstLine="640"/>
        <w:jc w:val="both"/>
        <w:rPr>
          <w:lang w:eastAsia="zh-CN"/>
        </w:rPr>
      </w:pPr>
      <w:r>
        <w:rPr>
          <w:rFonts w:ascii="Times New Roman" w:hAnsi="Times New Roman"/>
          <w:color w:val="000000"/>
          <w:lang w:eastAsia="zh-CN"/>
        </w:rPr>
        <w:t>第</w:t>
      </w:r>
      <w:r>
        <w:rPr>
          <w:rFonts w:ascii="Times New Roman" w:hAnsi="Times New Roman"/>
          <w:color w:val="000000"/>
          <w:lang w:eastAsia="zh-CN"/>
        </w:rPr>
        <w:t>9</w:t>
      </w:r>
      <w:proofErr w:type="gramStart"/>
      <w:r>
        <w:rPr>
          <w:rFonts w:ascii="Times New Roman" w:hAnsi="Times New Roman"/>
          <w:color w:val="000000"/>
          <w:lang w:eastAsia="zh-CN"/>
        </w:rPr>
        <w:t>章报告</w:t>
      </w:r>
      <w:proofErr w:type="gramEnd"/>
      <w:r>
        <w:rPr>
          <w:rFonts w:ascii="Times New Roman" w:hAnsi="Times New Roman"/>
          <w:color w:val="000000"/>
          <w:lang w:eastAsia="zh-CN"/>
        </w:rPr>
        <w:t>编制，明确评价报告主要内容和调查监测数据提交要求；</w:t>
      </w:r>
    </w:p>
    <w:p w14:paraId="39F12FC6" w14:textId="77777777" w:rsidR="00811368" w:rsidRDefault="00D652BD">
      <w:pPr>
        <w:spacing w:after="0"/>
        <w:ind w:firstLine="640"/>
        <w:jc w:val="both"/>
        <w:rPr>
          <w:lang w:eastAsia="zh-CN"/>
        </w:rPr>
      </w:pPr>
      <w:r>
        <w:rPr>
          <w:rFonts w:ascii="Times New Roman" w:hAnsi="Times New Roman"/>
          <w:color w:val="000000"/>
          <w:lang w:eastAsia="zh-CN"/>
        </w:rPr>
        <w:t>附录</w:t>
      </w:r>
      <w:r>
        <w:rPr>
          <w:rFonts w:ascii="Times New Roman" w:hAnsi="Times New Roman"/>
          <w:color w:val="000000"/>
          <w:lang w:eastAsia="zh-CN"/>
        </w:rPr>
        <w:t>A</w:t>
      </w:r>
      <w:r>
        <w:rPr>
          <w:rFonts w:ascii="Times New Roman" w:hAnsi="Times New Roman"/>
          <w:color w:val="000000"/>
          <w:lang w:eastAsia="zh-CN"/>
        </w:rPr>
        <w:t>为资料性附录，提供河湖健康评价公众调查表样。</w:t>
      </w:r>
    </w:p>
    <w:p w14:paraId="74C2A282" w14:textId="77777777" w:rsidR="00811368" w:rsidRDefault="00D652BD">
      <w:pPr>
        <w:keepNext/>
        <w:spacing w:before="120" w:after="20"/>
        <w:ind w:left="640"/>
        <w:rPr>
          <w:lang w:eastAsia="zh-CN"/>
        </w:rPr>
      </w:pPr>
      <w:r>
        <w:rPr>
          <w:rFonts w:ascii="Times New Roman" w:eastAsia="黑体" w:hAnsi="Times New Roman"/>
          <w:b/>
          <w:color w:val="000000"/>
          <w:lang w:eastAsia="zh-CN"/>
        </w:rPr>
        <w:t>（二）主要修订内容</w:t>
      </w:r>
    </w:p>
    <w:p w14:paraId="69E13E6C" w14:textId="77777777" w:rsidR="00811368" w:rsidRDefault="00D652BD">
      <w:pPr>
        <w:spacing w:after="0"/>
        <w:ind w:firstLine="640"/>
        <w:jc w:val="both"/>
        <w:rPr>
          <w:lang w:eastAsia="zh-CN"/>
        </w:rPr>
      </w:pPr>
      <w:r>
        <w:rPr>
          <w:rFonts w:ascii="Times New Roman" w:hAnsi="Times New Roman"/>
          <w:color w:val="000000"/>
          <w:lang w:eastAsia="zh-CN"/>
        </w:rPr>
        <w:t>本次修订在保持河湖健康评价兼顾生态系统状况与社会服务功能基本定位的基础上，重点对文件结构、评价框架、指标设置、计算赋分、调查监测和成果要求进行调整。具体如下：</w:t>
      </w:r>
    </w:p>
    <w:p w14:paraId="0124B657" w14:textId="77777777" w:rsidR="00811368" w:rsidRDefault="00D652BD">
      <w:pPr>
        <w:keepNext/>
        <w:spacing w:before="60" w:after="0"/>
        <w:ind w:left="640"/>
        <w:rPr>
          <w:lang w:eastAsia="zh-CN"/>
        </w:rPr>
      </w:pPr>
      <w:r>
        <w:rPr>
          <w:rFonts w:ascii="Times New Roman" w:hAnsi="Times New Roman"/>
          <w:b/>
          <w:color w:val="000000"/>
          <w:lang w:eastAsia="zh-CN"/>
        </w:rPr>
        <w:t>1.</w:t>
      </w:r>
      <w:r>
        <w:rPr>
          <w:rFonts w:ascii="Times New Roman" w:hAnsi="Times New Roman"/>
          <w:b/>
          <w:color w:val="000000"/>
          <w:lang w:eastAsia="zh-CN"/>
        </w:rPr>
        <w:t>文件名称和结构</w:t>
      </w:r>
    </w:p>
    <w:p w14:paraId="7873D9CE" w14:textId="77777777" w:rsidR="00811368" w:rsidRDefault="00D652BD">
      <w:pPr>
        <w:spacing w:after="0"/>
        <w:ind w:firstLine="640"/>
        <w:jc w:val="both"/>
        <w:rPr>
          <w:lang w:eastAsia="zh-CN"/>
        </w:rPr>
      </w:pPr>
      <w:r>
        <w:rPr>
          <w:rFonts w:ascii="Times New Roman" w:hAnsi="Times New Roman"/>
          <w:color w:val="000000"/>
          <w:lang w:eastAsia="zh-CN"/>
        </w:rPr>
        <w:t>文件名称由《上海市河湖健康评价技术指南（试行）》调整为《河湖健康评价技术指南》，取消</w:t>
      </w:r>
      <w:r>
        <w:rPr>
          <w:rFonts w:ascii="Times New Roman" w:hAnsi="Times New Roman"/>
          <w:color w:val="000000"/>
          <w:lang w:eastAsia="zh-CN"/>
        </w:rPr>
        <w:t>“</w:t>
      </w:r>
      <w:r>
        <w:rPr>
          <w:rFonts w:ascii="Times New Roman" w:hAnsi="Times New Roman"/>
          <w:color w:val="000000"/>
          <w:lang w:eastAsia="zh-CN"/>
        </w:rPr>
        <w:t>试行</w:t>
      </w:r>
      <w:r>
        <w:rPr>
          <w:rFonts w:ascii="Times New Roman" w:hAnsi="Times New Roman"/>
          <w:color w:val="000000"/>
          <w:lang w:eastAsia="zh-CN"/>
        </w:rPr>
        <w:t>”</w:t>
      </w:r>
      <w:r>
        <w:rPr>
          <w:rFonts w:ascii="Times New Roman" w:hAnsi="Times New Roman"/>
          <w:color w:val="000000"/>
          <w:lang w:eastAsia="zh-CN"/>
        </w:rPr>
        <w:t>表述。文件结构由原来的</w:t>
      </w:r>
      <w:r>
        <w:rPr>
          <w:rFonts w:ascii="Times New Roman" w:hAnsi="Times New Roman"/>
          <w:color w:val="000000"/>
          <w:lang w:eastAsia="zh-CN"/>
        </w:rPr>
        <w:t>6</w:t>
      </w:r>
      <w:proofErr w:type="gramStart"/>
      <w:r>
        <w:rPr>
          <w:rFonts w:ascii="Times New Roman" w:hAnsi="Times New Roman"/>
          <w:color w:val="000000"/>
          <w:lang w:eastAsia="zh-CN"/>
        </w:rPr>
        <w:t>章调整</w:t>
      </w:r>
      <w:proofErr w:type="gramEnd"/>
      <w:r>
        <w:rPr>
          <w:rFonts w:ascii="Times New Roman" w:hAnsi="Times New Roman"/>
          <w:color w:val="000000"/>
          <w:lang w:eastAsia="zh-CN"/>
        </w:rPr>
        <w:t>为</w:t>
      </w:r>
      <w:r>
        <w:rPr>
          <w:rFonts w:ascii="Times New Roman" w:hAnsi="Times New Roman"/>
          <w:color w:val="000000"/>
          <w:lang w:eastAsia="zh-CN"/>
        </w:rPr>
        <w:t>9</w:t>
      </w:r>
      <w:r>
        <w:rPr>
          <w:rFonts w:ascii="Times New Roman" w:hAnsi="Times New Roman"/>
          <w:color w:val="000000"/>
          <w:lang w:eastAsia="zh-CN"/>
        </w:rPr>
        <w:t>章，新增规范性引用文件、工作流程和报告编制，并将指标计算、调查监测和健康指数等内容分别设置章节，使评价工作从前期准备、调查监测、分析评价到成果编制的技术链条更加完整。</w:t>
      </w:r>
    </w:p>
    <w:p w14:paraId="0F77A881" w14:textId="77777777" w:rsidR="00811368" w:rsidRDefault="00D652BD">
      <w:pPr>
        <w:keepNext/>
        <w:spacing w:before="60" w:after="0"/>
        <w:ind w:left="640"/>
        <w:rPr>
          <w:lang w:eastAsia="zh-CN"/>
        </w:rPr>
      </w:pPr>
      <w:r>
        <w:rPr>
          <w:rFonts w:ascii="Times New Roman" w:hAnsi="Times New Roman"/>
          <w:b/>
          <w:color w:val="000000"/>
          <w:lang w:eastAsia="zh-CN"/>
        </w:rPr>
        <w:t>2.</w:t>
      </w:r>
      <w:r>
        <w:rPr>
          <w:rFonts w:ascii="Times New Roman" w:hAnsi="Times New Roman"/>
          <w:b/>
          <w:color w:val="000000"/>
          <w:lang w:eastAsia="zh-CN"/>
        </w:rPr>
        <w:t>评价框架和权重</w:t>
      </w:r>
    </w:p>
    <w:p w14:paraId="7C8814D5" w14:textId="77777777" w:rsidR="00811368" w:rsidRDefault="00D652BD">
      <w:pPr>
        <w:spacing w:after="0"/>
        <w:ind w:firstLine="640"/>
        <w:jc w:val="both"/>
        <w:rPr>
          <w:lang w:eastAsia="zh-CN"/>
        </w:rPr>
      </w:pPr>
      <w:r>
        <w:rPr>
          <w:rFonts w:ascii="Times New Roman" w:hAnsi="Times New Roman"/>
          <w:color w:val="000000"/>
          <w:lang w:eastAsia="zh-CN"/>
        </w:rPr>
        <w:t>准则层由安全流畅、</w:t>
      </w:r>
      <w:r>
        <w:rPr>
          <w:rFonts w:ascii="Times New Roman" w:hAnsi="Times New Roman"/>
          <w:color w:val="000000"/>
          <w:lang w:eastAsia="zh-CN"/>
        </w:rPr>
        <w:t>亲水景美、水质洁净、生物多样、社会服务</w:t>
      </w:r>
      <w:r>
        <w:rPr>
          <w:rFonts w:ascii="Times New Roman" w:hAnsi="Times New Roman"/>
          <w:color w:val="000000"/>
          <w:lang w:eastAsia="zh-CN"/>
        </w:rPr>
        <w:t>5</w:t>
      </w:r>
      <w:r>
        <w:rPr>
          <w:rFonts w:ascii="Times New Roman" w:hAnsi="Times New Roman"/>
          <w:color w:val="000000"/>
          <w:lang w:eastAsia="zh-CN"/>
        </w:rPr>
        <w:t>类，调整为水岸空间、水量水质、水生生物、社会服务</w:t>
      </w:r>
      <w:r>
        <w:rPr>
          <w:rFonts w:ascii="Times New Roman" w:hAnsi="Times New Roman"/>
          <w:color w:val="000000"/>
          <w:lang w:eastAsia="zh-CN"/>
        </w:rPr>
        <w:t>4</w:t>
      </w:r>
      <w:r>
        <w:rPr>
          <w:rFonts w:ascii="Times New Roman" w:hAnsi="Times New Roman"/>
          <w:color w:val="000000"/>
          <w:lang w:eastAsia="zh-CN"/>
        </w:rPr>
        <w:t>类，以减少原有准则层之间的内容交叉，并与</w:t>
      </w:r>
      <w:r>
        <w:rPr>
          <w:rFonts w:ascii="Times New Roman" w:hAnsi="Times New Roman"/>
          <w:color w:val="000000"/>
          <w:lang w:eastAsia="zh-CN"/>
        </w:rPr>
        <w:t>SL/T 793—2025</w:t>
      </w:r>
      <w:r>
        <w:rPr>
          <w:rFonts w:ascii="Times New Roman" w:hAnsi="Times New Roman"/>
          <w:color w:val="000000"/>
          <w:lang w:eastAsia="zh-CN"/>
        </w:rPr>
        <w:t>的总体框架相协调。河流和湖泊</w:t>
      </w:r>
      <w:r>
        <w:rPr>
          <w:rFonts w:ascii="Times New Roman" w:hAnsi="Times New Roman"/>
          <w:color w:val="000000"/>
          <w:lang w:eastAsia="zh-CN"/>
        </w:rPr>
        <w:t>4</w:t>
      </w:r>
      <w:r>
        <w:rPr>
          <w:rFonts w:ascii="Times New Roman" w:hAnsi="Times New Roman"/>
          <w:color w:val="000000"/>
          <w:lang w:eastAsia="zh-CN"/>
        </w:rPr>
        <w:t>个准则层的权重统一调整为</w:t>
      </w:r>
      <w:r>
        <w:rPr>
          <w:rFonts w:ascii="Times New Roman" w:hAnsi="Times New Roman"/>
          <w:color w:val="000000"/>
          <w:lang w:eastAsia="zh-CN"/>
        </w:rPr>
        <w:t>0.30</w:t>
      </w:r>
      <w:r>
        <w:rPr>
          <w:rFonts w:ascii="Times New Roman" w:hAnsi="Times New Roman"/>
          <w:color w:val="000000"/>
          <w:lang w:eastAsia="zh-CN"/>
        </w:rPr>
        <w:t>、</w:t>
      </w:r>
      <w:r>
        <w:rPr>
          <w:rFonts w:ascii="Times New Roman" w:hAnsi="Times New Roman"/>
          <w:color w:val="000000"/>
          <w:lang w:eastAsia="zh-CN"/>
        </w:rPr>
        <w:lastRenderedPageBreak/>
        <w:t>0.30</w:t>
      </w:r>
      <w:r>
        <w:rPr>
          <w:rFonts w:ascii="Times New Roman" w:hAnsi="Times New Roman"/>
          <w:color w:val="000000"/>
          <w:lang w:eastAsia="zh-CN"/>
        </w:rPr>
        <w:t>、</w:t>
      </w:r>
      <w:r>
        <w:rPr>
          <w:rFonts w:ascii="Times New Roman" w:hAnsi="Times New Roman"/>
          <w:color w:val="000000"/>
          <w:lang w:eastAsia="zh-CN"/>
        </w:rPr>
        <w:t>0.20</w:t>
      </w:r>
      <w:r>
        <w:rPr>
          <w:rFonts w:ascii="Times New Roman" w:hAnsi="Times New Roman"/>
          <w:color w:val="000000"/>
          <w:lang w:eastAsia="zh-CN"/>
        </w:rPr>
        <w:t>、</w:t>
      </w:r>
      <w:r>
        <w:rPr>
          <w:rFonts w:ascii="Times New Roman" w:hAnsi="Times New Roman"/>
          <w:color w:val="000000"/>
          <w:lang w:eastAsia="zh-CN"/>
        </w:rPr>
        <w:t>0.20</w:t>
      </w:r>
      <w:r>
        <w:rPr>
          <w:rFonts w:ascii="Times New Roman" w:hAnsi="Times New Roman"/>
          <w:color w:val="000000"/>
          <w:lang w:eastAsia="zh-CN"/>
        </w:rPr>
        <w:t>，突出水岸空间和水量水质对河湖健康的基础作用。</w:t>
      </w:r>
    </w:p>
    <w:p w14:paraId="0B942385" w14:textId="77777777" w:rsidR="00811368" w:rsidRDefault="00D652BD">
      <w:pPr>
        <w:keepNext/>
        <w:spacing w:before="60" w:after="0"/>
        <w:ind w:left="640"/>
        <w:rPr>
          <w:lang w:eastAsia="zh-CN"/>
        </w:rPr>
      </w:pPr>
      <w:r>
        <w:rPr>
          <w:rFonts w:ascii="Times New Roman" w:hAnsi="Times New Roman"/>
          <w:b/>
          <w:color w:val="000000"/>
          <w:lang w:eastAsia="zh-CN"/>
        </w:rPr>
        <w:t>3.</w:t>
      </w:r>
      <w:r>
        <w:rPr>
          <w:rFonts w:ascii="Times New Roman" w:hAnsi="Times New Roman"/>
          <w:b/>
          <w:color w:val="000000"/>
          <w:lang w:eastAsia="zh-CN"/>
        </w:rPr>
        <w:t>指标类型和评价内容</w:t>
      </w:r>
    </w:p>
    <w:p w14:paraId="4D236DC6" w14:textId="77777777" w:rsidR="00811368" w:rsidRDefault="00D652BD">
      <w:pPr>
        <w:spacing w:after="0"/>
        <w:ind w:firstLine="640"/>
        <w:jc w:val="both"/>
        <w:rPr>
          <w:lang w:eastAsia="zh-CN"/>
        </w:rPr>
      </w:pPr>
      <w:r>
        <w:rPr>
          <w:rFonts w:ascii="Times New Roman" w:hAnsi="Times New Roman"/>
          <w:color w:val="000000"/>
          <w:lang w:eastAsia="zh-CN"/>
        </w:rPr>
        <w:t>指标类型由必选指标、备选指标以及可增设特色指标，进一步明确为必选指标、特色指标和备选指标</w:t>
      </w:r>
      <w:r>
        <w:rPr>
          <w:rFonts w:ascii="Times New Roman" w:hAnsi="Times New Roman"/>
          <w:color w:val="000000"/>
          <w:lang w:eastAsia="zh-CN"/>
        </w:rPr>
        <w:t>3</w:t>
      </w:r>
      <w:r>
        <w:rPr>
          <w:rFonts w:ascii="Times New Roman" w:hAnsi="Times New Roman"/>
          <w:color w:val="000000"/>
          <w:lang w:eastAsia="zh-CN"/>
        </w:rPr>
        <w:t>类。水岸空间方面，整合水域岸线完整性评价，强化水流通畅性、河湖连通性等内容；水量水质方面，增加水体清澈</w:t>
      </w:r>
      <w:r>
        <w:rPr>
          <w:rFonts w:ascii="Times New Roman" w:hAnsi="Times New Roman"/>
          <w:color w:val="000000"/>
          <w:lang w:eastAsia="zh-CN"/>
        </w:rPr>
        <w:t>程度，优化生态流量、水体自净能力和底泥污</w:t>
      </w:r>
      <w:proofErr w:type="gramStart"/>
      <w:r>
        <w:rPr>
          <w:rFonts w:ascii="Times New Roman" w:hAnsi="Times New Roman"/>
          <w:color w:val="000000"/>
          <w:lang w:eastAsia="zh-CN"/>
        </w:rPr>
        <w:t>染状况</w:t>
      </w:r>
      <w:proofErr w:type="gramEnd"/>
      <w:r>
        <w:rPr>
          <w:rFonts w:ascii="Times New Roman" w:hAnsi="Times New Roman"/>
          <w:color w:val="000000"/>
          <w:lang w:eastAsia="zh-CN"/>
        </w:rPr>
        <w:t>等指标；水生生物方面，与</w:t>
      </w:r>
      <w:r>
        <w:rPr>
          <w:rFonts w:ascii="Times New Roman" w:hAnsi="Times New Roman"/>
          <w:color w:val="000000"/>
          <w:lang w:eastAsia="zh-CN"/>
        </w:rPr>
        <w:t>HJ 1295—2023</w:t>
      </w:r>
      <w:r>
        <w:rPr>
          <w:rFonts w:ascii="Times New Roman" w:hAnsi="Times New Roman"/>
          <w:color w:val="000000"/>
          <w:lang w:eastAsia="zh-CN"/>
        </w:rPr>
        <w:t>、</w:t>
      </w:r>
      <w:r>
        <w:rPr>
          <w:rFonts w:ascii="Times New Roman" w:hAnsi="Times New Roman"/>
          <w:color w:val="000000"/>
          <w:lang w:eastAsia="zh-CN"/>
        </w:rPr>
        <w:t>HJ 1296—2023</w:t>
      </w:r>
      <w:r>
        <w:rPr>
          <w:rFonts w:ascii="Times New Roman" w:hAnsi="Times New Roman"/>
          <w:color w:val="000000"/>
          <w:lang w:eastAsia="zh-CN"/>
        </w:rPr>
        <w:t>等标准衔接，补充鱼类、底栖动物、外来物种、水生植物</w:t>
      </w:r>
      <w:proofErr w:type="gramStart"/>
      <w:r>
        <w:rPr>
          <w:rFonts w:ascii="Times New Roman" w:hAnsi="Times New Roman"/>
          <w:color w:val="000000"/>
          <w:lang w:eastAsia="zh-CN"/>
        </w:rPr>
        <w:t>、着</w:t>
      </w:r>
      <w:proofErr w:type="gramEnd"/>
      <w:r>
        <w:rPr>
          <w:rFonts w:ascii="Times New Roman" w:hAnsi="Times New Roman"/>
          <w:color w:val="000000"/>
          <w:lang w:eastAsia="zh-CN"/>
        </w:rPr>
        <w:t>生藻类、水鸟等评价内容；社会服务方面，将公众满意度和防洪（汛）达标率作为必选指标，并根据河湖功能设置岸线贯通、供水、排涝和通航等指标。</w:t>
      </w:r>
    </w:p>
    <w:p w14:paraId="63371134" w14:textId="77777777" w:rsidR="00811368" w:rsidRDefault="00D652BD">
      <w:pPr>
        <w:keepNext/>
        <w:spacing w:before="60" w:after="0"/>
        <w:ind w:left="640"/>
        <w:rPr>
          <w:lang w:eastAsia="zh-CN"/>
        </w:rPr>
      </w:pPr>
      <w:r>
        <w:rPr>
          <w:rFonts w:ascii="Times New Roman" w:hAnsi="Times New Roman"/>
          <w:b/>
          <w:color w:val="000000"/>
          <w:lang w:eastAsia="zh-CN"/>
        </w:rPr>
        <w:t>4.</w:t>
      </w:r>
      <w:proofErr w:type="gramStart"/>
      <w:r>
        <w:rPr>
          <w:rFonts w:ascii="Times New Roman" w:hAnsi="Times New Roman"/>
          <w:b/>
          <w:color w:val="000000"/>
          <w:lang w:eastAsia="zh-CN"/>
        </w:rPr>
        <w:t>计算赋分和</w:t>
      </w:r>
      <w:proofErr w:type="gramEnd"/>
      <w:r>
        <w:rPr>
          <w:rFonts w:ascii="Times New Roman" w:hAnsi="Times New Roman"/>
          <w:b/>
          <w:color w:val="000000"/>
          <w:lang w:eastAsia="zh-CN"/>
        </w:rPr>
        <w:t>调查监测</w:t>
      </w:r>
    </w:p>
    <w:p w14:paraId="529BF4A5" w14:textId="77777777" w:rsidR="00811368" w:rsidRDefault="00D652BD">
      <w:pPr>
        <w:spacing w:after="0"/>
        <w:ind w:firstLine="640"/>
        <w:jc w:val="both"/>
        <w:rPr>
          <w:lang w:eastAsia="zh-CN"/>
        </w:rPr>
      </w:pPr>
      <w:r>
        <w:rPr>
          <w:rFonts w:ascii="Times New Roman" w:hAnsi="Times New Roman"/>
          <w:color w:val="000000"/>
          <w:lang w:eastAsia="zh-CN"/>
        </w:rPr>
        <w:t>结合上海平原河网、闸泵调控和城市河湖复合功能特点，对水域岸线完整性、水流通畅性、湖泊水面面积保有率、水体自净能力等指标的计算和</w:t>
      </w:r>
      <w:proofErr w:type="gramStart"/>
      <w:r>
        <w:rPr>
          <w:rFonts w:ascii="Times New Roman" w:hAnsi="Times New Roman"/>
          <w:color w:val="000000"/>
          <w:lang w:eastAsia="zh-CN"/>
        </w:rPr>
        <w:t>赋分</w:t>
      </w:r>
      <w:proofErr w:type="gramEnd"/>
      <w:r>
        <w:rPr>
          <w:rFonts w:ascii="Times New Roman" w:hAnsi="Times New Roman"/>
          <w:color w:val="000000"/>
          <w:lang w:eastAsia="zh-CN"/>
        </w:rPr>
        <w:t>方法进行优化。进一步明确河流分段、湖泊分区、调查</w:t>
      </w:r>
      <w:r>
        <w:rPr>
          <w:rFonts w:ascii="Times New Roman" w:hAnsi="Times New Roman"/>
          <w:color w:val="000000"/>
          <w:lang w:eastAsia="zh-CN"/>
        </w:rPr>
        <w:t>监测河段和点</w:t>
      </w:r>
      <w:proofErr w:type="gramStart"/>
      <w:r>
        <w:rPr>
          <w:rFonts w:ascii="Times New Roman" w:hAnsi="Times New Roman"/>
          <w:color w:val="000000"/>
          <w:lang w:eastAsia="zh-CN"/>
        </w:rPr>
        <w:t>位设置</w:t>
      </w:r>
      <w:proofErr w:type="gramEnd"/>
      <w:r>
        <w:rPr>
          <w:rFonts w:ascii="Times New Roman" w:hAnsi="Times New Roman"/>
          <w:color w:val="000000"/>
          <w:lang w:eastAsia="zh-CN"/>
        </w:rPr>
        <w:t>要求，细化政府统计、常规监测、遥感解译、现场调查和室内鉴定等数据获取方式及相应频次，提高评价工作的规范性和可操作性。</w:t>
      </w:r>
    </w:p>
    <w:p w14:paraId="44054857" w14:textId="77777777" w:rsidR="00811368" w:rsidRDefault="00D652BD">
      <w:pPr>
        <w:keepNext/>
        <w:spacing w:before="60" w:after="0"/>
        <w:ind w:left="640"/>
        <w:rPr>
          <w:lang w:eastAsia="zh-CN"/>
        </w:rPr>
      </w:pPr>
      <w:r>
        <w:rPr>
          <w:rFonts w:ascii="Times New Roman" w:hAnsi="Times New Roman"/>
          <w:b/>
          <w:color w:val="000000"/>
          <w:lang w:eastAsia="zh-CN"/>
        </w:rPr>
        <w:t>5.</w:t>
      </w:r>
      <w:r>
        <w:rPr>
          <w:rFonts w:ascii="Times New Roman" w:hAnsi="Times New Roman"/>
          <w:b/>
          <w:color w:val="000000"/>
          <w:lang w:eastAsia="zh-CN"/>
        </w:rPr>
        <w:t>评价分级和成果要求</w:t>
      </w:r>
    </w:p>
    <w:p w14:paraId="19B508C0" w14:textId="77777777" w:rsidR="00811368" w:rsidRDefault="00D652BD">
      <w:pPr>
        <w:spacing w:after="0"/>
        <w:ind w:firstLine="640"/>
        <w:jc w:val="both"/>
        <w:rPr>
          <w:lang w:eastAsia="zh-CN"/>
        </w:rPr>
      </w:pPr>
      <w:r>
        <w:rPr>
          <w:rFonts w:ascii="Times New Roman" w:hAnsi="Times New Roman"/>
          <w:color w:val="000000"/>
          <w:lang w:eastAsia="zh-CN"/>
        </w:rPr>
        <w:t>河湖健康状态由非常健康、健康、亚健康、不健康、劣态</w:t>
      </w:r>
      <w:r>
        <w:rPr>
          <w:rFonts w:ascii="Times New Roman" w:hAnsi="Times New Roman"/>
          <w:color w:val="000000"/>
          <w:lang w:eastAsia="zh-CN"/>
        </w:rPr>
        <w:t>5</w:t>
      </w:r>
      <w:r>
        <w:rPr>
          <w:rFonts w:ascii="Times New Roman" w:hAnsi="Times New Roman"/>
          <w:color w:val="000000"/>
          <w:lang w:eastAsia="zh-CN"/>
        </w:rPr>
        <w:t>类，调整为优秀、良好、中等、较差、极差</w:t>
      </w:r>
      <w:r>
        <w:rPr>
          <w:rFonts w:ascii="Times New Roman" w:hAnsi="Times New Roman"/>
          <w:color w:val="000000"/>
          <w:lang w:eastAsia="zh-CN"/>
        </w:rPr>
        <w:t>5</w:t>
      </w:r>
      <w:r>
        <w:rPr>
          <w:rFonts w:ascii="Times New Roman" w:hAnsi="Times New Roman"/>
          <w:color w:val="000000"/>
          <w:lang w:eastAsia="zh-CN"/>
        </w:rPr>
        <w:t>级，最高等级分值下限由</w:t>
      </w:r>
      <w:r>
        <w:rPr>
          <w:rFonts w:ascii="Times New Roman" w:hAnsi="Times New Roman"/>
          <w:color w:val="000000"/>
          <w:lang w:eastAsia="zh-CN"/>
        </w:rPr>
        <w:t>90</w:t>
      </w:r>
      <w:r>
        <w:rPr>
          <w:rFonts w:ascii="Times New Roman" w:hAnsi="Times New Roman"/>
          <w:color w:val="000000"/>
          <w:lang w:eastAsia="zh-CN"/>
        </w:rPr>
        <w:t>分调整为</w:t>
      </w:r>
      <w:r>
        <w:rPr>
          <w:rFonts w:ascii="Times New Roman" w:hAnsi="Times New Roman"/>
          <w:color w:val="000000"/>
          <w:lang w:eastAsia="zh-CN"/>
        </w:rPr>
        <w:t>95</w:t>
      </w:r>
      <w:r>
        <w:rPr>
          <w:rFonts w:ascii="Times New Roman" w:hAnsi="Times New Roman"/>
          <w:color w:val="000000"/>
          <w:lang w:eastAsia="zh-CN"/>
        </w:rPr>
        <w:t>分，并增加关键指标低分降级规则。</w:t>
      </w:r>
    </w:p>
    <w:p w14:paraId="511D6ABE" w14:textId="77777777" w:rsidR="00811368" w:rsidRDefault="00D652BD">
      <w:pPr>
        <w:keepNext/>
        <w:spacing w:before="120" w:after="20"/>
        <w:ind w:left="640"/>
        <w:rPr>
          <w:lang w:eastAsia="zh-CN"/>
        </w:rPr>
      </w:pPr>
      <w:r>
        <w:rPr>
          <w:rFonts w:ascii="Times New Roman" w:eastAsia="黑体" w:hAnsi="Times New Roman"/>
          <w:b/>
          <w:color w:val="000000"/>
          <w:lang w:eastAsia="zh-CN"/>
        </w:rPr>
        <w:lastRenderedPageBreak/>
        <w:t>（三）评价指标体系调整</w:t>
      </w:r>
    </w:p>
    <w:p w14:paraId="7094CF51" w14:textId="77777777" w:rsidR="00811368" w:rsidRDefault="00D652BD">
      <w:pPr>
        <w:keepNext/>
        <w:spacing w:before="60" w:after="0"/>
        <w:ind w:left="640"/>
        <w:rPr>
          <w:lang w:eastAsia="zh-CN"/>
        </w:rPr>
      </w:pPr>
      <w:r>
        <w:rPr>
          <w:rFonts w:ascii="Times New Roman" w:hAnsi="Times New Roman"/>
          <w:b/>
          <w:color w:val="000000"/>
          <w:lang w:eastAsia="zh-CN"/>
        </w:rPr>
        <w:t>1.</w:t>
      </w:r>
      <w:r>
        <w:rPr>
          <w:rFonts w:ascii="Times New Roman" w:hAnsi="Times New Roman"/>
          <w:b/>
          <w:color w:val="000000"/>
          <w:lang w:eastAsia="zh-CN"/>
        </w:rPr>
        <w:t>准则层由五类调整为四类</w:t>
      </w:r>
    </w:p>
    <w:p w14:paraId="17E23D88" w14:textId="77777777" w:rsidR="00811368" w:rsidRDefault="00D652BD">
      <w:pPr>
        <w:spacing w:after="0"/>
        <w:ind w:firstLine="640"/>
        <w:jc w:val="both"/>
        <w:rPr>
          <w:lang w:eastAsia="zh-CN"/>
        </w:rPr>
      </w:pPr>
      <w:r>
        <w:rPr>
          <w:rFonts w:ascii="Times New Roman" w:hAnsi="Times New Roman"/>
          <w:color w:val="000000"/>
          <w:lang w:eastAsia="zh-CN"/>
        </w:rPr>
        <w:t>《原指南》的</w:t>
      </w:r>
      <w:r>
        <w:rPr>
          <w:rFonts w:ascii="Times New Roman" w:hAnsi="Times New Roman"/>
          <w:color w:val="000000"/>
          <w:lang w:eastAsia="zh-CN"/>
        </w:rPr>
        <w:t>“</w:t>
      </w:r>
      <w:r>
        <w:rPr>
          <w:rFonts w:ascii="Times New Roman" w:hAnsi="Times New Roman"/>
          <w:color w:val="000000"/>
          <w:lang w:eastAsia="zh-CN"/>
        </w:rPr>
        <w:t>安全流畅</w:t>
      </w:r>
      <w:r>
        <w:rPr>
          <w:rFonts w:ascii="Times New Roman" w:hAnsi="Times New Roman"/>
          <w:color w:val="000000"/>
          <w:lang w:eastAsia="zh-CN"/>
        </w:rPr>
        <w:t>”</w:t>
      </w:r>
      <w:r>
        <w:rPr>
          <w:rFonts w:ascii="Times New Roman" w:hAnsi="Times New Roman"/>
          <w:color w:val="000000"/>
          <w:lang w:eastAsia="zh-CN"/>
        </w:rPr>
        <w:t>和</w:t>
      </w:r>
      <w:r>
        <w:rPr>
          <w:rFonts w:ascii="Times New Roman" w:hAnsi="Times New Roman"/>
          <w:color w:val="000000"/>
          <w:lang w:eastAsia="zh-CN"/>
        </w:rPr>
        <w:t>“</w:t>
      </w:r>
      <w:r>
        <w:rPr>
          <w:rFonts w:ascii="Times New Roman" w:hAnsi="Times New Roman"/>
          <w:color w:val="000000"/>
          <w:lang w:eastAsia="zh-CN"/>
        </w:rPr>
        <w:t>亲水景美</w:t>
      </w:r>
      <w:r>
        <w:rPr>
          <w:rFonts w:ascii="Times New Roman" w:hAnsi="Times New Roman"/>
          <w:color w:val="000000"/>
          <w:lang w:eastAsia="zh-CN"/>
        </w:rPr>
        <w:t>”</w:t>
      </w:r>
      <w:r>
        <w:rPr>
          <w:rFonts w:ascii="Times New Roman" w:hAnsi="Times New Roman"/>
          <w:color w:val="000000"/>
          <w:lang w:eastAsia="zh-CN"/>
        </w:rPr>
        <w:t>同时包含空间、水动力和社会使用属性，</w:t>
      </w:r>
      <w:r>
        <w:rPr>
          <w:rFonts w:ascii="Times New Roman" w:hAnsi="Times New Roman"/>
          <w:color w:val="000000"/>
          <w:lang w:eastAsia="zh-CN"/>
        </w:rPr>
        <w:t>“</w:t>
      </w:r>
      <w:r>
        <w:rPr>
          <w:rFonts w:ascii="Times New Roman" w:hAnsi="Times New Roman"/>
          <w:color w:val="000000"/>
          <w:lang w:eastAsia="zh-CN"/>
        </w:rPr>
        <w:t>水质洁净</w:t>
      </w:r>
      <w:r>
        <w:rPr>
          <w:rFonts w:ascii="Times New Roman" w:hAnsi="Times New Roman"/>
          <w:color w:val="000000"/>
          <w:lang w:eastAsia="zh-CN"/>
        </w:rPr>
        <w:t>”</w:t>
      </w:r>
      <w:r>
        <w:rPr>
          <w:rFonts w:ascii="Times New Roman" w:hAnsi="Times New Roman"/>
          <w:color w:val="000000"/>
          <w:lang w:eastAsia="zh-CN"/>
        </w:rPr>
        <w:t>和</w:t>
      </w:r>
      <w:r>
        <w:rPr>
          <w:rFonts w:ascii="Times New Roman" w:hAnsi="Times New Roman"/>
          <w:color w:val="000000"/>
          <w:lang w:eastAsia="zh-CN"/>
        </w:rPr>
        <w:t>“</w:t>
      </w:r>
      <w:r>
        <w:rPr>
          <w:rFonts w:ascii="Times New Roman" w:hAnsi="Times New Roman"/>
          <w:color w:val="000000"/>
          <w:lang w:eastAsia="zh-CN"/>
        </w:rPr>
        <w:t>生物多样</w:t>
      </w:r>
      <w:r>
        <w:rPr>
          <w:rFonts w:ascii="Times New Roman" w:hAnsi="Times New Roman"/>
          <w:color w:val="000000"/>
          <w:lang w:eastAsia="zh-CN"/>
        </w:rPr>
        <w:t>”</w:t>
      </w:r>
      <w:r>
        <w:rPr>
          <w:rFonts w:ascii="Times New Roman" w:hAnsi="Times New Roman"/>
          <w:color w:val="000000"/>
          <w:lang w:eastAsia="zh-CN"/>
        </w:rPr>
        <w:t>则分别评价水环境和水生生物。为减少准则层之间的交叉，并与</w:t>
      </w:r>
      <w:r>
        <w:rPr>
          <w:rFonts w:ascii="Times New Roman" w:hAnsi="Times New Roman"/>
          <w:color w:val="000000"/>
          <w:lang w:eastAsia="zh-CN"/>
        </w:rPr>
        <w:t>SL/T 793—2025</w:t>
      </w:r>
      <w:r>
        <w:rPr>
          <w:rFonts w:ascii="Times New Roman" w:hAnsi="Times New Roman"/>
          <w:color w:val="000000"/>
          <w:lang w:eastAsia="zh-CN"/>
        </w:rPr>
        <w:t>保持一致，本次修订按照河湖空间基础、水量水质条件、生物响应和社会服务功能的逻辑，调整为水岸空间、水量水质、水生生物、社会服务四个准则层。四个准则层形成从物理生境和水环境条件到生物群落响应，再到人类使用与感受的评价链条。</w:t>
      </w:r>
    </w:p>
    <w:p w14:paraId="5D5F3B7C" w14:textId="77777777" w:rsidR="00811368" w:rsidRDefault="00D652BD">
      <w:pPr>
        <w:keepNext/>
        <w:spacing w:before="60" w:after="0"/>
        <w:ind w:left="640"/>
        <w:rPr>
          <w:lang w:eastAsia="zh-CN"/>
        </w:rPr>
      </w:pPr>
      <w:r>
        <w:rPr>
          <w:rFonts w:ascii="Times New Roman" w:hAnsi="Times New Roman"/>
          <w:b/>
          <w:color w:val="000000"/>
          <w:lang w:eastAsia="zh-CN"/>
        </w:rPr>
        <w:t>2.</w:t>
      </w:r>
      <w:r>
        <w:rPr>
          <w:rFonts w:ascii="Times New Roman" w:hAnsi="Times New Roman"/>
          <w:b/>
          <w:color w:val="000000"/>
          <w:lang w:eastAsia="zh-CN"/>
        </w:rPr>
        <w:t>指标类型由两类细分为三类</w:t>
      </w:r>
    </w:p>
    <w:p w14:paraId="2979DCEA" w14:textId="77777777" w:rsidR="00811368" w:rsidRDefault="00D652BD">
      <w:pPr>
        <w:spacing w:after="0"/>
        <w:ind w:firstLine="640"/>
        <w:jc w:val="both"/>
        <w:rPr>
          <w:lang w:eastAsia="zh-CN"/>
        </w:rPr>
      </w:pPr>
      <w:r>
        <w:rPr>
          <w:rFonts w:ascii="Times New Roman" w:hAnsi="Times New Roman"/>
          <w:color w:val="000000"/>
          <w:lang w:eastAsia="zh-CN"/>
        </w:rPr>
        <w:t>必选指标用于形成不同河湖之间可比较的基础评价结果；特色指标用于反映部分典型河湖的</w:t>
      </w:r>
      <w:r>
        <w:rPr>
          <w:rFonts w:ascii="Times New Roman" w:hAnsi="Times New Roman"/>
          <w:color w:val="000000"/>
          <w:lang w:eastAsia="zh-CN"/>
        </w:rPr>
        <w:t>主要功能和突出特征；备选指标</w:t>
      </w:r>
      <w:proofErr w:type="gramStart"/>
      <w:r>
        <w:rPr>
          <w:rFonts w:ascii="Times New Roman" w:hAnsi="Times New Roman"/>
          <w:color w:val="000000"/>
          <w:lang w:eastAsia="zh-CN"/>
        </w:rPr>
        <w:t>由评价</w:t>
      </w:r>
      <w:proofErr w:type="gramEnd"/>
      <w:r>
        <w:rPr>
          <w:rFonts w:ascii="Times New Roman" w:hAnsi="Times New Roman"/>
          <w:color w:val="000000"/>
          <w:lang w:eastAsia="zh-CN"/>
        </w:rPr>
        <w:t>单位结合河湖功能、资料条件和管理需求选取。长江、黄浦江可选取河道行洪能力保证程度、地表水资源开发利用率、生态流量满足程度</w:t>
      </w:r>
      <w:proofErr w:type="gramStart"/>
      <w:r>
        <w:rPr>
          <w:rFonts w:ascii="Times New Roman" w:hAnsi="Times New Roman"/>
          <w:color w:val="000000"/>
          <w:lang w:eastAsia="zh-CN"/>
        </w:rPr>
        <w:t>、着</w:t>
      </w:r>
      <w:proofErr w:type="gramEnd"/>
      <w:r>
        <w:rPr>
          <w:rFonts w:ascii="Times New Roman" w:hAnsi="Times New Roman"/>
          <w:color w:val="000000"/>
          <w:lang w:eastAsia="zh-CN"/>
        </w:rPr>
        <w:t>生藻类群落状况、水体自净能力等特色指标；</w:t>
      </w:r>
      <w:proofErr w:type="gramStart"/>
      <w:r>
        <w:rPr>
          <w:rFonts w:ascii="Times New Roman" w:hAnsi="Times New Roman"/>
          <w:color w:val="000000"/>
          <w:lang w:eastAsia="zh-CN"/>
        </w:rPr>
        <w:t>淀</w:t>
      </w:r>
      <w:proofErr w:type="gramEnd"/>
      <w:r>
        <w:rPr>
          <w:rFonts w:ascii="Times New Roman" w:hAnsi="Times New Roman"/>
          <w:color w:val="000000"/>
          <w:lang w:eastAsia="zh-CN"/>
        </w:rPr>
        <w:t>山湖可选取地表水资源开发利用率、生态流量满足程度、水生维管植物覆盖度、水体自净能力等特色指标。</w:t>
      </w:r>
    </w:p>
    <w:p w14:paraId="431CC0D1" w14:textId="77777777" w:rsidR="00811368" w:rsidRDefault="00D652BD">
      <w:pPr>
        <w:keepNext/>
        <w:spacing w:before="60" w:after="0"/>
        <w:ind w:left="640"/>
        <w:rPr>
          <w:lang w:eastAsia="zh-CN"/>
        </w:rPr>
      </w:pPr>
      <w:r>
        <w:rPr>
          <w:rFonts w:ascii="Times New Roman" w:hAnsi="Times New Roman"/>
          <w:b/>
          <w:color w:val="000000"/>
          <w:lang w:eastAsia="zh-CN"/>
        </w:rPr>
        <w:t>3.</w:t>
      </w:r>
      <w:r>
        <w:rPr>
          <w:rFonts w:ascii="Times New Roman" w:hAnsi="Times New Roman"/>
          <w:b/>
          <w:color w:val="000000"/>
          <w:lang w:eastAsia="zh-CN"/>
        </w:rPr>
        <w:t>河流与湖泊分别建立指标体系</w:t>
      </w:r>
    </w:p>
    <w:p w14:paraId="411DFA87" w14:textId="77777777" w:rsidR="00811368" w:rsidRDefault="00D652BD">
      <w:pPr>
        <w:spacing w:after="0"/>
        <w:ind w:firstLine="640"/>
        <w:jc w:val="both"/>
        <w:rPr>
          <w:lang w:eastAsia="zh-CN"/>
        </w:rPr>
      </w:pPr>
      <w:r>
        <w:rPr>
          <w:rFonts w:ascii="Times New Roman" w:hAnsi="Times New Roman"/>
          <w:color w:val="000000"/>
          <w:lang w:eastAsia="zh-CN"/>
        </w:rPr>
        <w:t>河流评价关注纵向连通、水流通畅、行洪能力和河岸空间；湖泊评价关注水面面积保有、出入湖水系连通、营养状态和水生维管植物。两类指标体系保持相同的准则层和权重，但在必选指标、特色指标和备选指</w:t>
      </w:r>
      <w:r>
        <w:rPr>
          <w:rFonts w:ascii="Times New Roman" w:hAnsi="Times New Roman"/>
          <w:color w:val="000000"/>
          <w:lang w:eastAsia="zh-CN"/>
        </w:rPr>
        <w:t>标上体现水动力过程、形态结构和生态群落差异。</w:t>
      </w:r>
    </w:p>
    <w:p w14:paraId="3620D666" w14:textId="77777777" w:rsidR="00811368" w:rsidRDefault="00D652BD">
      <w:pPr>
        <w:keepNext/>
        <w:spacing w:before="120" w:after="20"/>
        <w:ind w:left="640"/>
        <w:rPr>
          <w:lang w:eastAsia="zh-CN"/>
        </w:rPr>
      </w:pPr>
      <w:r>
        <w:rPr>
          <w:rFonts w:ascii="Times New Roman" w:eastAsia="黑体" w:hAnsi="Times New Roman"/>
          <w:b/>
          <w:color w:val="000000"/>
          <w:lang w:eastAsia="zh-CN"/>
        </w:rPr>
        <w:lastRenderedPageBreak/>
        <w:t>（四）重点指标计算方法调整</w:t>
      </w:r>
    </w:p>
    <w:p w14:paraId="24CDDA3A" w14:textId="77777777" w:rsidR="00811368" w:rsidRDefault="00D652BD">
      <w:pPr>
        <w:keepNext/>
        <w:spacing w:before="60" w:after="0"/>
        <w:ind w:left="640"/>
        <w:rPr>
          <w:lang w:eastAsia="zh-CN"/>
        </w:rPr>
      </w:pPr>
      <w:r>
        <w:rPr>
          <w:rFonts w:ascii="Times New Roman" w:hAnsi="Times New Roman"/>
          <w:b/>
          <w:color w:val="000000"/>
          <w:lang w:eastAsia="zh-CN"/>
        </w:rPr>
        <w:t>1.</w:t>
      </w:r>
      <w:r>
        <w:rPr>
          <w:rFonts w:ascii="Times New Roman" w:hAnsi="Times New Roman"/>
          <w:b/>
          <w:color w:val="000000"/>
          <w:lang w:eastAsia="zh-CN"/>
        </w:rPr>
        <w:t>水域岸线完整性</w:t>
      </w:r>
    </w:p>
    <w:p w14:paraId="0839AE61" w14:textId="77777777" w:rsidR="00811368" w:rsidRDefault="00D652BD">
      <w:pPr>
        <w:spacing w:after="0"/>
        <w:ind w:firstLine="640"/>
        <w:jc w:val="both"/>
        <w:rPr>
          <w:lang w:eastAsia="zh-CN"/>
        </w:rPr>
      </w:pPr>
      <w:r>
        <w:rPr>
          <w:rFonts w:ascii="Times New Roman" w:hAnsi="Times New Roman"/>
          <w:color w:val="000000"/>
          <w:lang w:eastAsia="zh-CN"/>
        </w:rPr>
        <w:t>水域岸线完整性由岸线开发利用情况和水域岸线整洁程度两个子指标综合确定。该指标吸收《原指南》岸线保护程度的管理要求，同时将岸线开发利用强度纳入量化评价，使指标能够同时反映岸线占用和</w:t>
      </w:r>
      <w:r>
        <w:rPr>
          <w:rFonts w:ascii="Times New Roman" w:hAnsi="Times New Roman"/>
          <w:color w:val="000000"/>
          <w:lang w:eastAsia="zh-CN"/>
        </w:rPr>
        <w:t>“</w:t>
      </w:r>
      <w:r>
        <w:rPr>
          <w:rFonts w:ascii="Times New Roman" w:hAnsi="Times New Roman"/>
          <w:color w:val="000000"/>
          <w:lang w:eastAsia="zh-CN"/>
        </w:rPr>
        <w:t>四乱</w:t>
      </w:r>
      <w:r>
        <w:rPr>
          <w:rFonts w:ascii="Times New Roman" w:hAnsi="Times New Roman"/>
          <w:color w:val="000000"/>
          <w:lang w:eastAsia="zh-CN"/>
        </w:rPr>
        <w:t>”</w:t>
      </w:r>
      <w:r>
        <w:rPr>
          <w:rFonts w:ascii="Times New Roman" w:hAnsi="Times New Roman"/>
          <w:color w:val="000000"/>
          <w:lang w:eastAsia="zh-CN"/>
        </w:rPr>
        <w:t>等违法违规问题。</w:t>
      </w:r>
    </w:p>
    <w:p w14:paraId="27E36168" w14:textId="77777777" w:rsidR="00811368" w:rsidRDefault="00D652BD">
      <w:pPr>
        <w:keepNext/>
        <w:spacing w:before="60" w:after="0"/>
        <w:ind w:left="640"/>
        <w:rPr>
          <w:lang w:eastAsia="zh-CN"/>
        </w:rPr>
      </w:pPr>
      <w:r>
        <w:rPr>
          <w:rFonts w:ascii="Times New Roman" w:hAnsi="Times New Roman"/>
          <w:b/>
          <w:color w:val="000000"/>
          <w:lang w:eastAsia="zh-CN"/>
        </w:rPr>
        <w:t>2.</w:t>
      </w:r>
      <w:r>
        <w:rPr>
          <w:rFonts w:ascii="Times New Roman" w:hAnsi="Times New Roman"/>
          <w:b/>
          <w:color w:val="000000"/>
          <w:lang w:eastAsia="zh-CN"/>
        </w:rPr>
        <w:t>水流通畅性和河湖连通性</w:t>
      </w:r>
    </w:p>
    <w:p w14:paraId="591CA606" w14:textId="77777777" w:rsidR="00811368" w:rsidRDefault="00D652BD">
      <w:pPr>
        <w:spacing w:after="0"/>
        <w:ind w:firstLine="640"/>
        <w:jc w:val="both"/>
        <w:rPr>
          <w:lang w:eastAsia="zh-CN"/>
        </w:rPr>
      </w:pPr>
      <w:r>
        <w:rPr>
          <w:rFonts w:ascii="Times New Roman" w:hAnsi="Times New Roman"/>
          <w:color w:val="000000"/>
          <w:lang w:eastAsia="zh-CN"/>
        </w:rPr>
        <w:t>水流通畅性区分物理连通和实际流动两个方面，</w:t>
      </w:r>
      <w:proofErr w:type="gramStart"/>
      <w:r>
        <w:rPr>
          <w:rFonts w:ascii="Times New Roman" w:hAnsi="Times New Roman"/>
          <w:color w:val="000000"/>
          <w:lang w:eastAsia="zh-CN"/>
        </w:rPr>
        <w:t>既判断</w:t>
      </w:r>
      <w:proofErr w:type="gramEnd"/>
      <w:r>
        <w:rPr>
          <w:rFonts w:ascii="Times New Roman" w:hAnsi="Times New Roman"/>
          <w:color w:val="000000"/>
          <w:lang w:eastAsia="zh-CN"/>
        </w:rPr>
        <w:t>水闸、泵站、橡胶坝等设施是否造成长期断堵，也依据进出断面的水流自由流动小时</w:t>
      </w:r>
      <w:proofErr w:type="gramStart"/>
      <w:r>
        <w:rPr>
          <w:rFonts w:ascii="Times New Roman" w:hAnsi="Times New Roman"/>
          <w:color w:val="000000"/>
          <w:lang w:eastAsia="zh-CN"/>
        </w:rPr>
        <w:t>数评价</w:t>
      </w:r>
      <w:proofErr w:type="gramEnd"/>
      <w:r>
        <w:rPr>
          <w:rFonts w:ascii="Times New Roman" w:hAnsi="Times New Roman"/>
          <w:color w:val="000000"/>
          <w:lang w:eastAsia="zh-CN"/>
        </w:rPr>
        <w:t>水体流动性。湖泊则根据环湖口门累计自由流动小时</w:t>
      </w:r>
      <w:proofErr w:type="gramStart"/>
      <w:r>
        <w:rPr>
          <w:rFonts w:ascii="Times New Roman" w:hAnsi="Times New Roman"/>
          <w:color w:val="000000"/>
          <w:lang w:eastAsia="zh-CN"/>
        </w:rPr>
        <w:t>数评价</w:t>
      </w:r>
      <w:proofErr w:type="gramEnd"/>
      <w:r>
        <w:rPr>
          <w:rFonts w:ascii="Times New Roman" w:hAnsi="Times New Roman"/>
          <w:color w:val="000000"/>
          <w:lang w:eastAsia="zh-CN"/>
        </w:rPr>
        <w:t>河湖连</w:t>
      </w:r>
      <w:r>
        <w:rPr>
          <w:rFonts w:ascii="Times New Roman" w:hAnsi="Times New Roman"/>
          <w:color w:val="000000"/>
          <w:lang w:eastAsia="zh-CN"/>
        </w:rPr>
        <w:t>通性，适应上海闸控河网的调度特点。</w:t>
      </w:r>
    </w:p>
    <w:p w14:paraId="3B1A2CD1" w14:textId="77777777" w:rsidR="00811368" w:rsidRDefault="00D652BD">
      <w:pPr>
        <w:keepNext/>
        <w:spacing w:before="60" w:after="0"/>
        <w:ind w:left="640"/>
        <w:rPr>
          <w:lang w:eastAsia="zh-CN"/>
        </w:rPr>
      </w:pPr>
      <w:r>
        <w:rPr>
          <w:rFonts w:ascii="Times New Roman" w:hAnsi="Times New Roman"/>
          <w:b/>
          <w:color w:val="000000"/>
          <w:lang w:eastAsia="zh-CN"/>
        </w:rPr>
        <w:t>3.</w:t>
      </w:r>
      <w:r>
        <w:rPr>
          <w:rFonts w:ascii="Times New Roman" w:hAnsi="Times New Roman"/>
          <w:b/>
          <w:color w:val="000000"/>
          <w:lang w:eastAsia="zh-CN"/>
        </w:rPr>
        <w:t>湖泊水面面积保有率</w:t>
      </w:r>
    </w:p>
    <w:p w14:paraId="76361255" w14:textId="77777777" w:rsidR="00811368" w:rsidRDefault="00D652BD">
      <w:pPr>
        <w:spacing w:after="0"/>
        <w:ind w:firstLine="640"/>
        <w:jc w:val="both"/>
        <w:rPr>
          <w:lang w:eastAsia="zh-CN"/>
        </w:rPr>
      </w:pPr>
      <w:r>
        <w:rPr>
          <w:rFonts w:ascii="Times New Roman" w:hAnsi="Times New Roman"/>
          <w:color w:val="000000"/>
          <w:lang w:eastAsia="zh-CN"/>
        </w:rPr>
        <w:t>将原</w:t>
      </w:r>
      <w:r>
        <w:rPr>
          <w:rFonts w:ascii="Times New Roman" w:hAnsi="Times New Roman"/>
          <w:color w:val="000000"/>
          <w:lang w:eastAsia="zh-CN"/>
        </w:rPr>
        <w:t>“</w:t>
      </w:r>
      <w:r>
        <w:rPr>
          <w:rFonts w:ascii="Times New Roman" w:hAnsi="Times New Roman"/>
          <w:color w:val="000000"/>
          <w:lang w:eastAsia="zh-CN"/>
        </w:rPr>
        <w:t>湖泊面积萎缩比例</w:t>
      </w:r>
      <w:r>
        <w:rPr>
          <w:rFonts w:ascii="Times New Roman" w:hAnsi="Times New Roman"/>
          <w:color w:val="000000"/>
          <w:lang w:eastAsia="zh-CN"/>
        </w:rPr>
        <w:t>”</w:t>
      </w:r>
      <w:r>
        <w:rPr>
          <w:rFonts w:ascii="Times New Roman" w:hAnsi="Times New Roman"/>
          <w:color w:val="000000"/>
          <w:lang w:eastAsia="zh-CN"/>
        </w:rPr>
        <w:t>调整为</w:t>
      </w:r>
      <w:r>
        <w:rPr>
          <w:rFonts w:ascii="Times New Roman" w:hAnsi="Times New Roman"/>
          <w:color w:val="000000"/>
          <w:lang w:eastAsia="zh-CN"/>
        </w:rPr>
        <w:t>“</w:t>
      </w:r>
      <w:r>
        <w:rPr>
          <w:rFonts w:ascii="Times New Roman" w:hAnsi="Times New Roman"/>
          <w:color w:val="000000"/>
          <w:lang w:eastAsia="zh-CN"/>
        </w:rPr>
        <w:t>湖泊水面面积保有率</w:t>
      </w:r>
      <w:r>
        <w:rPr>
          <w:rFonts w:ascii="Times New Roman" w:hAnsi="Times New Roman"/>
          <w:color w:val="000000"/>
          <w:lang w:eastAsia="zh-CN"/>
        </w:rPr>
        <w:t>”</w:t>
      </w:r>
      <w:r>
        <w:rPr>
          <w:rFonts w:ascii="Times New Roman" w:hAnsi="Times New Roman"/>
          <w:color w:val="000000"/>
          <w:lang w:eastAsia="zh-CN"/>
        </w:rPr>
        <w:t>，以近</w:t>
      </w:r>
      <w:r>
        <w:rPr>
          <w:rFonts w:ascii="Times New Roman" w:hAnsi="Times New Roman"/>
          <w:color w:val="000000"/>
          <w:lang w:eastAsia="zh-CN"/>
        </w:rPr>
        <w:t>3</w:t>
      </w:r>
      <w:r>
        <w:rPr>
          <w:rFonts w:ascii="Times New Roman" w:hAnsi="Times New Roman"/>
          <w:color w:val="000000"/>
          <w:lang w:eastAsia="zh-CN"/>
        </w:rPr>
        <w:t>年至</w:t>
      </w:r>
      <w:r>
        <w:rPr>
          <w:rFonts w:ascii="Times New Roman" w:hAnsi="Times New Roman"/>
          <w:color w:val="000000"/>
          <w:lang w:eastAsia="zh-CN"/>
        </w:rPr>
        <w:t>5</w:t>
      </w:r>
      <w:r>
        <w:rPr>
          <w:rFonts w:ascii="Times New Roman" w:hAnsi="Times New Roman"/>
          <w:color w:val="000000"/>
          <w:lang w:eastAsia="zh-CN"/>
        </w:rPr>
        <w:t>年平均水面面积扣除评价期内占用水域面积后，与常年水面面积比较。新方法减少单一年份水文条件对评价结果的影响，更适合用于持续性湖泊空间管控。</w:t>
      </w:r>
    </w:p>
    <w:p w14:paraId="136A40DD" w14:textId="77777777" w:rsidR="00811368" w:rsidRDefault="00D652BD">
      <w:pPr>
        <w:keepNext/>
        <w:spacing w:before="60" w:after="0"/>
        <w:ind w:left="640"/>
        <w:rPr>
          <w:lang w:eastAsia="zh-CN"/>
        </w:rPr>
      </w:pPr>
      <w:r>
        <w:rPr>
          <w:rFonts w:ascii="Times New Roman" w:hAnsi="Times New Roman"/>
          <w:b/>
          <w:color w:val="000000"/>
          <w:lang w:eastAsia="zh-CN"/>
        </w:rPr>
        <w:t>4.</w:t>
      </w:r>
      <w:r>
        <w:rPr>
          <w:rFonts w:ascii="Times New Roman" w:hAnsi="Times New Roman"/>
          <w:b/>
          <w:color w:val="000000"/>
          <w:lang w:eastAsia="zh-CN"/>
        </w:rPr>
        <w:t>水体自净能力</w:t>
      </w:r>
    </w:p>
    <w:p w14:paraId="6E472D08" w14:textId="77777777" w:rsidR="00811368" w:rsidRDefault="00D652BD">
      <w:pPr>
        <w:spacing w:after="0"/>
        <w:ind w:firstLine="640"/>
        <w:jc w:val="both"/>
        <w:rPr>
          <w:lang w:eastAsia="zh-CN"/>
        </w:rPr>
      </w:pPr>
      <w:r>
        <w:rPr>
          <w:rFonts w:ascii="Times New Roman" w:hAnsi="Times New Roman"/>
          <w:color w:val="000000"/>
          <w:lang w:eastAsia="zh-CN"/>
        </w:rPr>
        <w:t>《原指南》主要依据溶解氧浓度评价水体自净能力。本次修订采用溶解氧与高锰酸盐指数年平均浓度比值评价，综合反映水体供氧条件和有机物耗氧压力；同时保留异常过饱和和自然本底情形的处理规则。</w:t>
      </w:r>
    </w:p>
    <w:p w14:paraId="3B978870" w14:textId="77777777" w:rsidR="00811368" w:rsidRDefault="00D652BD">
      <w:pPr>
        <w:keepNext/>
        <w:spacing w:before="60" w:after="0"/>
        <w:ind w:left="640"/>
        <w:rPr>
          <w:lang w:eastAsia="zh-CN"/>
        </w:rPr>
      </w:pPr>
      <w:r>
        <w:rPr>
          <w:rFonts w:ascii="Times New Roman" w:hAnsi="Times New Roman"/>
          <w:b/>
          <w:color w:val="000000"/>
          <w:lang w:eastAsia="zh-CN"/>
        </w:rPr>
        <w:t>5.</w:t>
      </w:r>
      <w:r>
        <w:rPr>
          <w:rFonts w:ascii="Times New Roman" w:hAnsi="Times New Roman"/>
          <w:b/>
          <w:color w:val="000000"/>
          <w:lang w:eastAsia="zh-CN"/>
        </w:rPr>
        <w:t>水生生物指标</w:t>
      </w:r>
    </w:p>
    <w:p w14:paraId="3F5A0655" w14:textId="77777777" w:rsidR="00811368" w:rsidRDefault="00D652BD">
      <w:pPr>
        <w:spacing w:after="0"/>
        <w:ind w:firstLine="640"/>
        <w:jc w:val="both"/>
        <w:rPr>
          <w:lang w:eastAsia="zh-CN"/>
        </w:rPr>
      </w:pPr>
      <w:r>
        <w:rPr>
          <w:rFonts w:ascii="Times New Roman" w:hAnsi="Times New Roman"/>
          <w:color w:val="000000"/>
          <w:lang w:eastAsia="zh-CN"/>
        </w:rPr>
        <w:t>鱼类状况可根据资料条件采用鱼类完整性指数、鱼类</w:t>
      </w:r>
      <w:proofErr w:type="gramStart"/>
      <w:r>
        <w:rPr>
          <w:rFonts w:ascii="Times New Roman" w:hAnsi="Times New Roman"/>
          <w:color w:val="000000"/>
          <w:lang w:eastAsia="zh-CN"/>
        </w:rPr>
        <w:t>保有指数</w:t>
      </w:r>
      <w:proofErr w:type="gramEnd"/>
      <w:r>
        <w:rPr>
          <w:rFonts w:ascii="Times New Roman" w:hAnsi="Times New Roman"/>
          <w:color w:val="000000"/>
          <w:lang w:eastAsia="zh-CN"/>
        </w:rPr>
        <w:t>或鱼类多样性指数；大型底栖无脊椎动物状况与</w:t>
      </w:r>
      <w:r>
        <w:rPr>
          <w:rFonts w:ascii="Times New Roman" w:hAnsi="Times New Roman"/>
          <w:color w:val="000000"/>
          <w:lang w:eastAsia="zh-CN"/>
        </w:rPr>
        <w:t>HJ 1295</w:t>
      </w:r>
      <w:r>
        <w:rPr>
          <w:rFonts w:ascii="Times New Roman" w:hAnsi="Times New Roman"/>
          <w:color w:val="000000"/>
          <w:lang w:eastAsia="zh-CN"/>
        </w:rPr>
        <w:t>的生</w:t>
      </w:r>
      <w:r>
        <w:rPr>
          <w:rFonts w:ascii="Times New Roman" w:hAnsi="Times New Roman"/>
          <w:color w:val="000000"/>
          <w:lang w:eastAsia="zh-CN"/>
        </w:rPr>
        <w:lastRenderedPageBreak/>
        <w:t>物完整性评价衔接。修订还设置外来物种入侵、大型水生植物</w:t>
      </w:r>
      <w:proofErr w:type="gramStart"/>
      <w:r>
        <w:rPr>
          <w:rFonts w:ascii="Times New Roman" w:hAnsi="Times New Roman"/>
          <w:color w:val="000000"/>
          <w:lang w:eastAsia="zh-CN"/>
        </w:rPr>
        <w:t>、着</w:t>
      </w:r>
      <w:proofErr w:type="gramEnd"/>
      <w:r>
        <w:rPr>
          <w:rFonts w:ascii="Times New Roman" w:hAnsi="Times New Roman"/>
          <w:color w:val="000000"/>
          <w:lang w:eastAsia="zh-CN"/>
        </w:rPr>
        <w:t>生藻类、浮游植物、水生维管植物、水鸟和浮游动物等指标，使生物评价能够根据河湖类型、流速、生境和资料基础进行组合。</w:t>
      </w:r>
    </w:p>
    <w:p w14:paraId="7BB1B5F4" w14:textId="77777777" w:rsidR="00811368" w:rsidRDefault="00D652BD">
      <w:pPr>
        <w:keepNext/>
        <w:spacing w:before="60" w:after="0"/>
        <w:ind w:left="640"/>
        <w:rPr>
          <w:lang w:eastAsia="zh-CN"/>
        </w:rPr>
      </w:pPr>
      <w:r>
        <w:rPr>
          <w:rFonts w:ascii="Times New Roman" w:hAnsi="Times New Roman"/>
          <w:b/>
          <w:color w:val="000000"/>
          <w:lang w:eastAsia="zh-CN"/>
        </w:rPr>
        <w:t>6.</w:t>
      </w:r>
      <w:r>
        <w:rPr>
          <w:rFonts w:ascii="Times New Roman" w:hAnsi="Times New Roman"/>
          <w:b/>
          <w:color w:val="000000"/>
          <w:lang w:eastAsia="zh-CN"/>
        </w:rPr>
        <w:t>社会服务指标</w:t>
      </w:r>
    </w:p>
    <w:p w14:paraId="6B9E51FE" w14:textId="77777777" w:rsidR="00811368" w:rsidRDefault="00D652BD">
      <w:pPr>
        <w:spacing w:after="0"/>
        <w:ind w:firstLine="640"/>
        <w:jc w:val="both"/>
        <w:rPr>
          <w:lang w:eastAsia="zh-CN"/>
        </w:rPr>
      </w:pPr>
      <w:r>
        <w:rPr>
          <w:rFonts w:ascii="Times New Roman" w:hAnsi="Times New Roman"/>
          <w:color w:val="000000"/>
          <w:lang w:eastAsia="zh-CN"/>
        </w:rPr>
        <w:t>将公众满</w:t>
      </w:r>
      <w:r>
        <w:rPr>
          <w:rFonts w:ascii="Times New Roman" w:hAnsi="Times New Roman"/>
          <w:color w:val="000000"/>
          <w:lang w:eastAsia="zh-CN"/>
        </w:rPr>
        <w:t>意度和防洪（汛）达标率作为河流、湖泊共同的必选指标；根据河湖功能设置岸线贯通、供水保证、排涝工程达标和通航保证等指标。该调整体现河湖健康不仅取决于生态状态，也取决于河湖持续提供防灾、供水、交通和公共空间等服务的能力。</w:t>
      </w:r>
    </w:p>
    <w:p w14:paraId="33BC5CF5" w14:textId="77777777" w:rsidR="00811368" w:rsidRDefault="00D652BD">
      <w:pPr>
        <w:keepNext/>
        <w:spacing w:before="120" w:after="20"/>
        <w:ind w:left="640"/>
        <w:rPr>
          <w:lang w:eastAsia="zh-CN"/>
        </w:rPr>
      </w:pPr>
      <w:r>
        <w:rPr>
          <w:rFonts w:ascii="Times New Roman" w:eastAsia="黑体" w:hAnsi="Times New Roman"/>
          <w:b/>
          <w:color w:val="000000"/>
          <w:lang w:eastAsia="zh-CN"/>
        </w:rPr>
        <w:t>（五）调查监测和评价结果调整</w:t>
      </w:r>
    </w:p>
    <w:p w14:paraId="5C46FB31" w14:textId="77777777" w:rsidR="00811368" w:rsidRDefault="00D652BD">
      <w:pPr>
        <w:spacing w:after="0"/>
        <w:ind w:firstLine="640"/>
        <w:jc w:val="both"/>
        <w:rPr>
          <w:lang w:eastAsia="zh-CN"/>
        </w:rPr>
      </w:pPr>
      <w:r>
        <w:rPr>
          <w:rFonts w:ascii="Times New Roman" w:hAnsi="Times New Roman"/>
          <w:color w:val="000000"/>
          <w:lang w:eastAsia="zh-CN"/>
        </w:rPr>
        <w:t>《指南》明确河流分段、湖泊分区、调查监测河段和点</w:t>
      </w:r>
      <w:proofErr w:type="gramStart"/>
      <w:r>
        <w:rPr>
          <w:rFonts w:ascii="Times New Roman" w:hAnsi="Times New Roman"/>
          <w:color w:val="000000"/>
          <w:lang w:eastAsia="zh-CN"/>
        </w:rPr>
        <w:t>位设置</w:t>
      </w:r>
      <w:proofErr w:type="gramEnd"/>
      <w:r>
        <w:rPr>
          <w:rFonts w:ascii="Times New Roman" w:hAnsi="Times New Roman"/>
          <w:color w:val="000000"/>
          <w:lang w:eastAsia="zh-CN"/>
        </w:rPr>
        <w:t>方法。评价对象长度达到</w:t>
      </w:r>
      <w:r>
        <w:rPr>
          <w:rFonts w:ascii="Times New Roman" w:hAnsi="Times New Roman"/>
          <w:color w:val="000000"/>
          <w:lang w:eastAsia="zh-CN"/>
        </w:rPr>
        <w:t>10km</w:t>
      </w:r>
      <w:r>
        <w:rPr>
          <w:rFonts w:ascii="Times New Roman" w:hAnsi="Times New Roman"/>
          <w:color w:val="000000"/>
          <w:lang w:eastAsia="zh-CN"/>
        </w:rPr>
        <w:t>的河流宜划分多个评价河段，调查监测河段宜为</w:t>
      </w:r>
      <w:r>
        <w:rPr>
          <w:rFonts w:ascii="Times New Roman" w:hAnsi="Times New Roman"/>
          <w:color w:val="000000"/>
          <w:lang w:eastAsia="zh-CN"/>
        </w:rPr>
        <w:t>1km</w:t>
      </w:r>
      <w:r>
        <w:rPr>
          <w:rFonts w:ascii="Times New Roman" w:hAnsi="Times New Roman"/>
          <w:color w:val="000000"/>
          <w:lang w:eastAsia="zh-CN"/>
        </w:rPr>
        <w:t>，也可按</w:t>
      </w:r>
      <w:proofErr w:type="gramStart"/>
      <w:r>
        <w:rPr>
          <w:rFonts w:ascii="Times New Roman" w:hAnsi="Times New Roman"/>
          <w:color w:val="000000"/>
          <w:lang w:eastAsia="zh-CN"/>
        </w:rPr>
        <w:t>40</w:t>
      </w:r>
      <w:r>
        <w:rPr>
          <w:rFonts w:ascii="Times New Roman" w:hAnsi="Times New Roman"/>
          <w:color w:val="000000"/>
          <w:lang w:eastAsia="zh-CN"/>
        </w:rPr>
        <w:t>倍河宽确定</w:t>
      </w:r>
      <w:proofErr w:type="gramEnd"/>
      <w:r>
        <w:rPr>
          <w:rFonts w:ascii="Times New Roman" w:hAnsi="Times New Roman"/>
          <w:color w:val="000000"/>
          <w:lang w:eastAsia="zh-CN"/>
        </w:rPr>
        <w:t>且不短于</w:t>
      </w:r>
      <w:r>
        <w:rPr>
          <w:rFonts w:ascii="Times New Roman" w:hAnsi="Times New Roman"/>
          <w:color w:val="000000"/>
          <w:lang w:eastAsia="zh-CN"/>
        </w:rPr>
        <w:t>150m</w:t>
      </w:r>
      <w:r>
        <w:rPr>
          <w:rFonts w:ascii="Times New Roman" w:hAnsi="Times New Roman"/>
          <w:color w:val="000000"/>
          <w:lang w:eastAsia="zh-CN"/>
        </w:rPr>
        <w:t>；湖泊根据水文、水动力、水质、生物和行政管辖特征分区，并结合面积设置</w:t>
      </w:r>
      <w:proofErr w:type="gramStart"/>
      <w:r>
        <w:rPr>
          <w:rFonts w:ascii="Times New Roman" w:hAnsi="Times New Roman"/>
          <w:color w:val="000000"/>
          <w:lang w:eastAsia="zh-CN"/>
        </w:rPr>
        <w:t>岸带调查</w:t>
      </w:r>
      <w:proofErr w:type="gramEnd"/>
      <w:r>
        <w:rPr>
          <w:rFonts w:ascii="Times New Roman" w:hAnsi="Times New Roman"/>
          <w:color w:val="000000"/>
          <w:lang w:eastAsia="zh-CN"/>
        </w:rPr>
        <w:t>点位。</w:t>
      </w:r>
    </w:p>
    <w:p w14:paraId="2A1F7EFD" w14:textId="77777777" w:rsidR="00811368" w:rsidRDefault="00D652BD">
      <w:pPr>
        <w:spacing w:after="0"/>
        <w:ind w:firstLine="640"/>
        <w:jc w:val="both"/>
        <w:rPr>
          <w:lang w:eastAsia="zh-CN"/>
        </w:rPr>
      </w:pPr>
      <w:r>
        <w:rPr>
          <w:rFonts w:ascii="Times New Roman" w:hAnsi="Times New Roman"/>
          <w:color w:val="000000"/>
          <w:lang w:eastAsia="zh-CN"/>
        </w:rPr>
        <w:t>河湖健康指</w:t>
      </w:r>
      <w:r>
        <w:rPr>
          <w:rFonts w:ascii="Times New Roman" w:hAnsi="Times New Roman"/>
          <w:color w:val="000000"/>
          <w:lang w:eastAsia="zh-CN"/>
        </w:rPr>
        <w:t>数由准则层得分加权求和形成。河段或湖区评价结果分别按河段长度或湖区水面面积加权汇总。健康状态分为优秀、良好、中等、较差、极差五级；水域岸线完整性、生态流量满足程度、水质优劣程度中任</w:t>
      </w:r>
      <w:proofErr w:type="gramStart"/>
      <w:r>
        <w:rPr>
          <w:rFonts w:ascii="Times New Roman" w:hAnsi="Times New Roman"/>
          <w:color w:val="000000"/>
          <w:lang w:eastAsia="zh-CN"/>
        </w:rPr>
        <w:t>一</w:t>
      </w:r>
      <w:proofErr w:type="gramEnd"/>
      <w:r>
        <w:rPr>
          <w:rFonts w:ascii="Times New Roman" w:hAnsi="Times New Roman"/>
          <w:color w:val="000000"/>
          <w:lang w:eastAsia="zh-CN"/>
        </w:rPr>
        <w:t>指标低于</w:t>
      </w:r>
      <w:r>
        <w:rPr>
          <w:rFonts w:ascii="Times New Roman" w:hAnsi="Times New Roman"/>
          <w:color w:val="000000"/>
          <w:lang w:eastAsia="zh-CN"/>
        </w:rPr>
        <w:t>40</w:t>
      </w:r>
      <w:r>
        <w:rPr>
          <w:rFonts w:ascii="Times New Roman" w:hAnsi="Times New Roman"/>
          <w:color w:val="000000"/>
          <w:lang w:eastAsia="zh-CN"/>
        </w:rPr>
        <w:t>分时，即使综合得分达到中等及以上，最终等级仍降为较差。该规则用于强化对河湖基本健康底线的约束。</w:t>
      </w:r>
    </w:p>
    <w:p w14:paraId="155770E0" w14:textId="77777777" w:rsidR="00811368" w:rsidRDefault="00D652BD">
      <w:pPr>
        <w:keepNext/>
        <w:spacing w:before="200" w:after="40"/>
        <w:ind w:left="640"/>
        <w:rPr>
          <w:lang w:eastAsia="zh-CN"/>
        </w:rPr>
      </w:pPr>
      <w:r>
        <w:rPr>
          <w:rFonts w:ascii="Times New Roman" w:eastAsia="黑体" w:hAnsi="Times New Roman"/>
          <w:b/>
          <w:color w:val="000000"/>
          <w:lang w:eastAsia="zh-CN"/>
        </w:rPr>
        <w:lastRenderedPageBreak/>
        <w:t>六、与国内外同类标准内容的对比</w:t>
      </w:r>
    </w:p>
    <w:p w14:paraId="5692075B" w14:textId="77777777" w:rsidR="00811368" w:rsidRDefault="00D652BD">
      <w:pPr>
        <w:keepNext/>
        <w:spacing w:before="120" w:after="20"/>
        <w:ind w:left="640"/>
        <w:rPr>
          <w:lang w:eastAsia="zh-CN"/>
        </w:rPr>
      </w:pPr>
      <w:r>
        <w:rPr>
          <w:rFonts w:ascii="Times New Roman" w:eastAsia="黑体" w:hAnsi="Times New Roman"/>
          <w:b/>
          <w:color w:val="000000"/>
          <w:lang w:eastAsia="zh-CN"/>
        </w:rPr>
        <w:t>（一）国内同类标准对比</w:t>
      </w:r>
    </w:p>
    <w:p w14:paraId="3B3120ED" w14:textId="77777777" w:rsidR="00811368" w:rsidRDefault="00D652BD">
      <w:pPr>
        <w:spacing w:after="0"/>
        <w:ind w:firstLine="640"/>
        <w:jc w:val="both"/>
        <w:rPr>
          <w:lang w:eastAsia="zh-CN"/>
        </w:rPr>
      </w:pPr>
      <w:r>
        <w:rPr>
          <w:rFonts w:ascii="Times New Roman" w:hAnsi="Times New Roman"/>
          <w:color w:val="000000"/>
          <w:lang w:eastAsia="zh-CN"/>
        </w:rPr>
        <w:t>国内与河湖健康评价直接相关的技术文件，主要包括水利行业综合评价标准、区域和城市河湖健康评价文件，以及水生生物监测、现状调查与指标计算等专项标准。《指南》以河湖生态系统</w:t>
      </w:r>
      <w:r>
        <w:rPr>
          <w:rFonts w:ascii="Times New Roman" w:hAnsi="Times New Roman"/>
          <w:color w:val="000000"/>
          <w:lang w:eastAsia="zh-CN"/>
        </w:rPr>
        <w:t>状况和社会服务功能为评价对象，重点与上述文件进行对比，并结合上海平原河网和城市河湖管理需要明确地方技术要求。</w:t>
      </w:r>
    </w:p>
    <w:p w14:paraId="66C8E908" w14:textId="77777777" w:rsidR="00811368" w:rsidRDefault="00D652BD">
      <w:pPr>
        <w:spacing w:after="0"/>
        <w:ind w:firstLine="640"/>
        <w:jc w:val="both"/>
        <w:rPr>
          <w:lang w:eastAsia="zh-CN"/>
        </w:rPr>
      </w:pPr>
      <w:r>
        <w:rPr>
          <w:rFonts w:ascii="Times New Roman" w:hAnsi="Times New Roman"/>
          <w:color w:val="000000"/>
          <w:lang w:eastAsia="zh-CN"/>
        </w:rPr>
        <w:t>水利行业标准《河湖健康评价规范》（</w:t>
      </w:r>
      <w:r>
        <w:rPr>
          <w:rFonts w:ascii="Times New Roman" w:hAnsi="Times New Roman"/>
          <w:color w:val="000000"/>
          <w:lang w:eastAsia="zh-CN"/>
        </w:rPr>
        <w:t>SL/T 793—2025</w:t>
      </w:r>
      <w:r>
        <w:rPr>
          <w:rFonts w:ascii="Times New Roman" w:hAnsi="Times New Roman"/>
          <w:color w:val="000000"/>
          <w:lang w:eastAsia="zh-CN"/>
        </w:rPr>
        <w:t>）于</w:t>
      </w:r>
      <w:r>
        <w:rPr>
          <w:rFonts w:ascii="Times New Roman" w:hAnsi="Times New Roman"/>
          <w:color w:val="000000"/>
          <w:lang w:eastAsia="zh-CN"/>
        </w:rPr>
        <w:t>2026</w:t>
      </w:r>
      <w:r>
        <w:rPr>
          <w:rFonts w:ascii="Times New Roman" w:hAnsi="Times New Roman"/>
          <w:color w:val="000000"/>
          <w:lang w:eastAsia="zh-CN"/>
        </w:rPr>
        <w:t>年</w:t>
      </w:r>
      <w:r>
        <w:rPr>
          <w:rFonts w:ascii="Times New Roman" w:hAnsi="Times New Roman"/>
          <w:color w:val="000000"/>
          <w:lang w:eastAsia="zh-CN"/>
        </w:rPr>
        <w:t>3</w:t>
      </w:r>
      <w:r>
        <w:rPr>
          <w:rFonts w:ascii="Times New Roman" w:hAnsi="Times New Roman"/>
          <w:color w:val="000000"/>
          <w:lang w:eastAsia="zh-CN"/>
        </w:rPr>
        <w:t>月</w:t>
      </w:r>
      <w:r>
        <w:rPr>
          <w:rFonts w:ascii="Times New Roman" w:hAnsi="Times New Roman"/>
          <w:color w:val="000000"/>
          <w:lang w:eastAsia="zh-CN"/>
        </w:rPr>
        <w:t>23</w:t>
      </w:r>
      <w:r>
        <w:rPr>
          <w:rFonts w:ascii="Times New Roman" w:hAnsi="Times New Roman"/>
          <w:color w:val="000000"/>
          <w:lang w:eastAsia="zh-CN"/>
        </w:rPr>
        <w:t>日起实施，替代</w:t>
      </w:r>
      <w:r>
        <w:rPr>
          <w:rFonts w:ascii="Times New Roman" w:hAnsi="Times New Roman"/>
          <w:color w:val="000000"/>
          <w:lang w:eastAsia="zh-CN"/>
        </w:rPr>
        <w:t>SL/T 793—2020</w:t>
      </w:r>
      <w:r>
        <w:rPr>
          <w:rFonts w:ascii="Times New Roman" w:hAnsi="Times New Roman"/>
          <w:color w:val="000000"/>
          <w:lang w:eastAsia="zh-CN"/>
        </w:rPr>
        <w:t>，适用于河流（不包括入海河口）和湖泊的健康评价，对总体要求、河湖分类与评价指标体系、指标确定方法</w:t>
      </w:r>
      <w:proofErr w:type="gramStart"/>
      <w:r>
        <w:rPr>
          <w:rFonts w:ascii="Times New Roman" w:hAnsi="Times New Roman"/>
          <w:color w:val="000000"/>
          <w:lang w:eastAsia="zh-CN"/>
        </w:rPr>
        <w:t>与赋分标准</w:t>
      </w:r>
      <w:proofErr w:type="gramEnd"/>
      <w:r>
        <w:rPr>
          <w:rFonts w:ascii="Times New Roman" w:hAnsi="Times New Roman"/>
          <w:color w:val="000000"/>
          <w:lang w:eastAsia="zh-CN"/>
        </w:rPr>
        <w:t>、调查、评价及报告编制等</w:t>
      </w:r>
      <w:proofErr w:type="gramStart"/>
      <w:r>
        <w:rPr>
          <w:rFonts w:ascii="Times New Roman" w:hAnsi="Times New Roman"/>
          <w:color w:val="000000"/>
          <w:lang w:eastAsia="zh-CN"/>
        </w:rPr>
        <w:t>作出</w:t>
      </w:r>
      <w:proofErr w:type="gramEnd"/>
      <w:r>
        <w:rPr>
          <w:rFonts w:ascii="Times New Roman" w:hAnsi="Times New Roman"/>
          <w:color w:val="000000"/>
          <w:lang w:eastAsia="zh-CN"/>
        </w:rPr>
        <w:t>规定，是本次修订的主要技术依据。《指南》在评价工作流程、调查监测和报告编制等方面与其衔接，并将评价内容落实为水岸空间、水量水质、水生生物、社会服务</w:t>
      </w:r>
      <w:r>
        <w:rPr>
          <w:rFonts w:ascii="Times New Roman" w:hAnsi="Times New Roman"/>
          <w:color w:val="000000"/>
          <w:lang w:eastAsia="zh-CN"/>
        </w:rPr>
        <w:t>4</w:t>
      </w:r>
      <w:r>
        <w:rPr>
          <w:rFonts w:ascii="Times New Roman" w:hAnsi="Times New Roman"/>
          <w:color w:val="000000"/>
          <w:lang w:eastAsia="zh-CN"/>
        </w:rPr>
        <w:t>个准则层。</w:t>
      </w:r>
    </w:p>
    <w:p w14:paraId="44A0B5F1" w14:textId="77777777" w:rsidR="00811368" w:rsidRDefault="00D652BD">
      <w:pPr>
        <w:spacing w:after="0"/>
        <w:ind w:firstLine="640"/>
        <w:jc w:val="both"/>
        <w:rPr>
          <w:lang w:eastAsia="zh-CN"/>
        </w:rPr>
      </w:pPr>
      <w:r>
        <w:rPr>
          <w:rFonts w:ascii="Times New Roman" w:hAnsi="Times New Roman"/>
          <w:color w:val="000000"/>
          <w:lang w:eastAsia="zh-CN"/>
        </w:rPr>
        <w:t>针对上海河网水动力</w:t>
      </w:r>
      <w:proofErr w:type="gramStart"/>
      <w:r>
        <w:rPr>
          <w:rFonts w:ascii="Times New Roman" w:hAnsi="Times New Roman"/>
          <w:color w:val="000000"/>
          <w:lang w:eastAsia="zh-CN"/>
        </w:rPr>
        <w:t>受闸泵</w:t>
      </w:r>
      <w:proofErr w:type="gramEnd"/>
      <w:r>
        <w:rPr>
          <w:rFonts w:ascii="Times New Roman" w:hAnsi="Times New Roman"/>
          <w:color w:val="000000"/>
          <w:lang w:eastAsia="zh-CN"/>
        </w:rPr>
        <w:t>调控、河湖功能复合等特点，《指南》分别设置河流和湖泊评价指标体系，明确必选、特色和备选</w:t>
      </w:r>
      <w:r>
        <w:rPr>
          <w:rFonts w:ascii="Times New Roman" w:hAnsi="Times New Roman"/>
          <w:color w:val="000000"/>
          <w:lang w:eastAsia="zh-CN"/>
        </w:rPr>
        <w:t>3</w:t>
      </w:r>
      <w:r>
        <w:rPr>
          <w:rFonts w:ascii="Times New Roman" w:hAnsi="Times New Roman"/>
          <w:color w:val="000000"/>
          <w:lang w:eastAsia="zh-CN"/>
        </w:rPr>
        <w:t>类指标。在指标计算中，以设施阻隔和水体流动情况评价河流水流通畅性，以环湖口门累计水流自由流动时间评价河湖连通性；结合景观和滨水空间服务功能，设置水体清澈程度、岸线贯通程度等指标，使评价内容与本市河湖实际相适应。</w:t>
      </w:r>
    </w:p>
    <w:p w14:paraId="6470B6D0" w14:textId="77777777" w:rsidR="00811368" w:rsidRDefault="00D652BD">
      <w:pPr>
        <w:spacing w:after="0"/>
        <w:ind w:firstLine="640"/>
        <w:jc w:val="both"/>
        <w:rPr>
          <w:lang w:eastAsia="zh-CN"/>
        </w:rPr>
      </w:pPr>
      <w:r>
        <w:rPr>
          <w:rFonts w:ascii="Times New Roman" w:hAnsi="Times New Roman"/>
          <w:color w:val="000000"/>
          <w:lang w:eastAsia="zh-CN"/>
        </w:rPr>
        <w:t>《长三角生态绿色一体化发展示范区跨界河湖健康评价技术指南（试行）》由水利部太湖流域管理局、上海及江苏、浙江水行政主管部门和示范区执行委员会联合印发，针对示范区平原河网</w:t>
      </w:r>
      <w:proofErr w:type="gramStart"/>
      <w:r>
        <w:rPr>
          <w:rFonts w:ascii="Times New Roman" w:hAnsi="Times New Roman"/>
          <w:color w:val="000000"/>
          <w:lang w:eastAsia="zh-CN"/>
        </w:rPr>
        <w:t>及跨界河</w:t>
      </w:r>
      <w:r>
        <w:rPr>
          <w:rFonts w:ascii="Times New Roman" w:hAnsi="Times New Roman"/>
          <w:color w:val="000000"/>
          <w:lang w:eastAsia="zh-CN"/>
        </w:rPr>
        <w:t>湖特点</w:t>
      </w:r>
      <w:proofErr w:type="gramEnd"/>
      <w:r>
        <w:rPr>
          <w:rFonts w:ascii="Times New Roman" w:hAnsi="Times New Roman"/>
          <w:color w:val="000000"/>
          <w:lang w:eastAsia="zh-CN"/>
        </w:rPr>
        <w:t>，设置空间、水体、生物、社会服务功能</w:t>
      </w:r>
      <w:r>
        <w:rPr>
          <w:rFonts w:ascii="Times New Roman" w:hAnsi="Times New Roman"/>
          <w:color w:val="000000"/>
          <w:lang w:eastAsia="zh-CN"/>
        </w:rPr>
        <w:t>4</w:t>
      </w:r>
      <w:r>
        <w:rPr>
          <w:rFonts w:ascii="Times New Roman" w:hAnsi="Times New Roman"/>
          <w:color w:val="000000"/>
          <w:lang w:eastAsia="zh-CN"/>
        </w:rPr>
        <w:t>个准则层、</w:t>
      </w:r>
      <w:r>
        <w:rPr>
          <w:rFonts w:ascii="Times New Roman" w:hAnsi="Times New Roman"/>
          <w:color w:val="000000"/>
          <w:lang w:eastAsia="zh-CN"/>
        </w:rPr>
        <w:t>23</w:t>
      </w:r>
      <w:r>
        <w:rPr>
          <w:rFonts w:ascii="Times New Roman" w:hAnsi="Times New Roman"/>
          <w:color w:val="000000"/>
          <w:lang w:eastAsia="zh-CN"/>
        </w:rPr>
        <w:t>项指标，注重评价指标、调查监测和</w:t>
      </w:r>
      <w:proofErr w:type="gramStart"/>
      <w:r>
        <w:rPr>
          <w:rFonts w:ascii="Times New Roman" w:hAnsi="Times New Roman"/>
          <w:color w:val="000000"/>
          <w:lang w:eastAsia="zh-CN"/>
        </w:rPr>
        <w:t>赋分</w:t>
      </w:r>
      <w:proofErr w:type="gramEnd"/>
      <w:r>
        <w:rPr>
          <w:rFonts w:ascii="Times New Roman" w:hAnsi="Times New Roman"/>
          <w:color w:val="000000"/>
          <w:lang w:eastAsia="zh-CN"/>
        </w:rPr>
        <w:t>方法的跨区</w:t>
      </w:r>
      <w:r>
        <w:rPr>
          <w:rFonts w:ascii="Times New Roman" w:hAnsi="Times New Roman"/>
          <w:color w:val="000000"/>
          <w:lang w:eastAsia="zh-CN"/>
        </w:rPr>
        <w:lastRenderedPageBreak/>
        <w:t>域协调，并设置主要支流水质达标率、水质稳定性指数、底泥污</w:t>
      </w:r>
      <w:proofErr w:type="gramStart"/>
      <w:r>
        <w:rPr>
          <w:rFonts w:ascii="Times New Roman" w:hAnsi="Times New Roman"/>
          <w:color w:val="000000"/>
          <w:lang w:eastAsia="zh-CN"/>
        </w:rPr>
        <w:t>染状况</w:t>
      </w:r>
      <w:proofErr w:type="gramEnd"/>
      <w:r>
        <w:rPr>
          <w:rFonts w:ascii="Times New Roman" w:hAnsi="Times New Roman"/>
          <w:color w:val="000000"/>
          <w:lang w:eastAsia="zh-CN"/>
        </w:rPr>
        <w:t>和外来物种入侵状况等特色指标。该文件与《指南》在地域条件和评价内容上具有较强关联。两者的主要区别在于，</w:t>
      </w:r>
      <w:proofErr w:type="gramStart"/>
      <w:r>
        <w:rPr>
          <w:rFonts w:ascii="Times New Roman" w:hAnsi="Times New Roman"/>
          <w:color w:val="000000"/>
          <w:lang w:eastAsia="zh-CN"/>
        </w:rPr>
        <w:t>前者服务</w:t>
      </w:r>
      <w:proofErr w:type="gramEnd"/>
      <w:r>
        <w:rPr>
          <w:rFonts w:ascii="Times New Roman" w:hAnsi="Times New Roman"/>
          <w:color w:val="000000"/>
          <w:lang w:eastAsia="zh-CN"/>
        </w:rPr>
        <w:t>示范区跨</w:t>
      </w:r>
      <w:proofErr w:type="gramStart"/>
      <w:r>
        <w:rPr>
          <w:rFonts w:ascii="Times New Roman" w:hAnsi="Times New Roman"/>
          <w:color w:val="000000"/>
          <w:lang w:eastAsia="zh-CN"/>
        </w:rPr>
        <w:t>界河湖</w:t>
      </w:r>
      <w:proofErr w:type="gramEnd"/>
      <w:r>
        <w:rPr>
          <w:rFonts w:ascii="Times New Roman" w:hAnsi="Times New Roman"/>
          <w:color w:val="000000"/>
          <w:lang w:eastAsia="zh-CN"/>
        </w:rPr>
        <w:t>协同评价，按甲、乙两类河湖开展分类诊断；《指南》面向上海市行政区域内河流、湖泊，按河流、湖泊分别建立指标体系，并结合典型功能选取特色指标。跨</w:t>
      </w:r>
      <w:proofErr w:type="gramStart"/>
      <w:r>
        <w:rPr>
          <w:rFonts w:ascii="Times New Roman" w:hAnsi="Times New Roman"/>
          <w:color w:val="000000"/>
          <w:lang w:eastAsia="zh-CN"/>
        </w:rPr>
        <w:t>界河湖评价</w:t>
      </w:r>
      <w:proofErr w:type="gramEnd"/>
      <w:r>
        <w:rPr>
          <w:rFonts w:ascii="Times New Roman" w:hAnsi="Times New Roman"/>
          <w:color w:val="000000"/>
          <w:lang w:eastAsia="zh-CN"/>
        </w:rPr>
        <w:t>中的数据使用与成果比较，需注意两类文件的适用范围和指标口径。</w:t>
      </w:r>
    </w:p>
    <w:p w14:paraId="532248B7" w14:textId="77777777" w:rsidR="00811368" w:rsidRDefault="00D652BD">
      <w:pPr>
        <w:spacing w:after="0"/>
        <w:ind w:firstLine="640"/>
        <w:jc w:val="both"/>
        <w:rPr>
          <w:lang w:eastAsia="zh-CN"/>
        </w:rPr>
      </w:pPr>
      <w:r>
        <w:rPr>
          <w:rFonts w:ascii="Times New Roman" w:hAnsi="Times New Roman"/>
          <w:color w:val="000000"/>
          <w:lang w:eastAsia="zh-CN"/>
        </w:rPr>
        <w:t>广州市地方</w:t>
      </w:r>
      <w:r>
        <w:rPr>
          <w:rFonts w:ascii="Times New Roman" w:hAnsi="Times New Roman"/>
          <w:color w:val="000000"/>
          <w:lang w:eastAsia="zh-CN"/>
        </w:rPr>
        <w:t>标准《河湖健康评价规范》（</w:t>
      </w:r>
      <w:r>
        <w:rPr>
          <w:rFonts w:ascii="Times New Roman" w:hAnsi="Times New Roman"/>
          <w:color w:val="000000"/>
          <w:lang w:eastAsia="zh-CN"/>
        </w:rPr>
        <w:t>DB4401/T 299—2024</w:t>
      </w:r>
      <w:r>
        <w:rPr>
          <w:rFonts w:ascii="Times New Roman" w:hAnsi="Times New Roman"/>
          <w:color w:val="000000"/>
          <w:lang w:eastAsia="zh-CN"/>
        </w:rPr>
        <w:t>）适用于其管辖范围内河流、湖泊和水库的健康评价，设置</w:t>
      </w:r>
      <w:r>
        <w:rPr>
          <w:rFonts w:ascii="Times New Roman" w:hAnsi="Times New Roman"/>
          <w:color w:val="000000"/>
          <w:lang w:eastAsia="zh-CN"/>
        </w:rPr>
        <w:t>“</w:t>
      </w:r>
      <w:r>
        <w:rPr>
          <w:rFonts w:ascii="Times New Roman" w:hAnsi="Times New Roman"/>
          <w:color w:val="000000"/>
          <w:lang w:eastAsia="zh-CN"/>
        </w:rPr>
        <w:t>盆</w:t>
      </w:r>
      <w:r>
        <w:rPr>
          <w:rFonts w:ascii="Times New Roman" w:hAnsi="Times New Roman"/>
          <w:color w:val="000000"/>
          <w:lang w:eastAsia="zh-CN"/>
        </w:rPr>
        <w:t>”“</w:t>
      </w:r>
      <w:r>
        <w:rPr>
          <w:rFonts w:ascii="Times New Roman" w:hAnsi="Times New Roman"/>
          <w:color w:val="000000"/>
          <w:lang w:eastAsia="zh-CN"/>
        </w:rPr>
        <w:t>水</w:t>
      </w:r>
      <w:r>
        <w:rPr>
          <w:rFonts w:ascii="Times New Roman" w:hAnsi="Times New Roman"/>
          <w:color w:val="000000"/>
          <w:lang w:eastAsia="zh-CN"/>
        </w:rPr>
        <w:t>”</w:t>
      </w:r>
      <w:r>
        <w:rPr>
          <w:rFonts w:ascii="Times New Roman" w:hAnsi="Times New Roman"/>
          <w:color w:val="000000"/>
          <w:lang w:eastAsia="zh-CN"/>
        </w:rPr>
        <w:t>、生物、社会服务功能、风险管控能力</w:t>
      </w:r>
      <w:r>
        <w:rPr>
          <w:rFonts w:ascii="Times New Roman" w:hAnsi="Times New Roman"/>
          <w:color w:val="000000"/>
          <w:lang w:eastAsia="zh-CN"/>
        </w:rPr>
        <w:t>5</w:t>
      </w:r>
      <w:r>
        <w:rPr>
          <w:rFonts w:ascii="Times New Roman" w:hAnsi="Times New Roman"/>
          <w:color w:val="000000"/>
          <w:lang w:eastAsia="zh-CN"/>
        </w:rPr>
        <w:t>个准则层，指标分为必选和备选两类。其中，风险管控能力单独纳入河湖巡查预警响应、风险管理、问题上报和问题处理等内容，体现了对河湖管理过程的关注。</w:t>
      </w:r>
    </w:p>
    <w:p w14:paraId="654C77AF" w14:textId="77777777" w:rsidR="00811368" w:rsidRDefault="00D652BD">
      <w:pPr>
        <w:spacing w:after="0"/>
        <w:ind w:firstLine="640"/>
        <w:jc w:val="both"/>
        <w:rPr>
          <w:lang w:eastAsia="zh-CN"/>
        </w:rPr>
      </w:pPr>
      <w:r>
        <w:rPr>
          <w:rFonts w:ascii="Times New Roman" w:hAnsi="Times New Roman"/>
          <w:color w:val="000000"/>
          <w:lang w:eastAsia="zh-CN"/>
        </w:rPr>
        <w:t>与广州标准相比，《指南》适用于上海河流和湖泊，不适用于青草沙、陈行、金泽、东风西沙等供水水库；评价框架采用</w:t>
      </w:r>
      <w:r>
        <w:rPr>
          <w:rFonts w:ascii="Times New Roman" w:hAnsi="Times New Roman"/>
          <w:color w:val="000000"/>
          <w:lang w:eastAsia="zh-CN"/>
        </w:rPr>
        <w:t>4</w:t>
      </w:r>
      <w:r>
        <w:rPr>
          <w:rFonts w:ascii="Times New Roman" w:hAnsi="Times New Roman"/>
          <w:color w:val="000000"/>
          <w:lang w:eastAsia="zh-CN"/>
        </w:rPr>
        <w:t>个准则层，未另设风险管控能力准则层，而是通过水域岸线完整性、水量水质、水生生物及社会服务等指标反映河</w:t>
      </w:r>
      <w:r>
        <w:rPr>
          <w:rFonts w:ascii="Times New Roman" w:hAnsi="Times New Roman"/>
          <w:color w:val="000000"/>
          <w:lang w:eastAsia="zh-CN"/>
        </w:rPr>
        <w:t>湖健康状态。两者均兼顾生态系统状况和社会服务功能，但在评价对象、指标分类及管理过程指标的设置上有所区别，反映了不同城市的评价用途和管理需求。</w:t>
      </w:r>
    </w:p>
    <w:p w14:paraId="4198614C" w14:textId="77777777" w:rsidR="00811368" w:rsidRDefault="00D652BD">
      <w:pPr>
        <w:spacing w:after="0"/>
        <w:ind w:firstLine="640"/>
        <w:jc w:val="both"/>
        <w:rPr>
          <w:lang w:eastAsia="zh-CN"/>
        </w:rPr>
      </w:pPr>
      <w:r>
        <w:rPr>
          <w:rFonts w:ascii="Times New Roman" w:hAnsi="Times New Roman"/>
          <w:color w:val="000000"/>
          <w:lang w:eastAsia="zh-CN"/>
        </w:rPr>
        <w:t>广东省地方标准《河湖健康现状调查与指标计算导则》（</w:t>
      </w:r>
      <w:r>
        <w:rPr>
          <w:rFonts w:ascii="Times New Roman" w:hAnsi="Times New Roman"/>
          <w:color w:val="000000"/>
          <w:lang w:eastAsia="zh-CN"/>
        </w:rPr>
        <w:t>DB44/T 2800—2025</w:t>
      </w:r>
      <w:r>
        <w:rPr>
          <w:rFonts w:ascii="Times New Roman" w:hAnsi="Times New Roman"/>
          <w:color w:val="000000"/>
          <w:lang w:eastAsia="zh-CN"/>
        </w:rPr>
        <w:t>）适用于包括三角洲网河区在内的河流、湖泊和水库的健康现状调查与指标计算，其适用对象包含与上海平原河网具有可比性的水体。该文件侧重基础资料调查和指标计算环节，《指南》则同时规定指标体系、综合健康指数、等级划</w:t>
      </w:r>
      <w:r>
        <w:rPr>
          <w:rFonts w:ascii="Times New Roman" w:hAnsi="Times New Roman"/>
          <w:color w:val="000000"/>
          <w:lang w:eastAsia="zh-CN"/>
        </w:rPr>
        <w:lastRenderedPageBreak/>
        <w:t>分及报告编制要求。两者可在数据获取与计算方法方面进行技术对照，但现状调查和指标计算要</w:t>
      </w:r>
      <w:r>
        <w:rPr>
          <w:rFonts w:ascii="Times New Roman" w:hAnsi="Times New Roman"/>
          <w:color w:val="000000"/>
          <w:lang w:eastAsia="zh-CN"/>
        </w:rPr>
        <w:t>求不能替代完整的综合评价规则。</w:t>
      </w:r>
    </w:p>
    <w:p w14:paraId="0DD96998" w14:textId="77777777" w:rsidR="00811368" w:rsidRDefault="00D652BD">
      <w:pPr>
        <w:spacing w:after="0"/>
        <w:ind w:firstLine="640"/>
        <w:jc w:val="both"/>
        <w:rPr>
          <w:lang w:eastAsia="zh-CN"/>
        </w:rPr>
      </w:pPr>
      <w:r>
        <w:rPr>
          <w:rFonts w:ascii="Times New Roman" w:hAnsi="Times New Roman"/>
          <w:color w:val="000000"/>
          <w:lang w:eastAsia="zh-CN"/>
        </w:rPr>
        <w:t>《水生态监测技术指南</w:t>
      </w:r>
      <w:r>
        <w:rPr>
          <w:rFonts w:ascii="Times New Roman" w:hAnsi="Times New Roman"/>
          <w:color w:val="000000"/>
          <w:lang w:eastAsia="zh-CN"/>
        </w:rPr>
        <w:t xml:space="preserve"> </w:t>
      </w:r>
      <w:r>
        <w:rPr>
          <w:rFonts w:ascii="Times New Roman" w:hAnsi="Times New Roman"/>
          <w:color w:val="000000"/>
          <w:lang w:eastAsia="zh-CN"/>
        </w:rPr>
        <w:t>河流水生生物监测与评价（试行）》（</w:t>
      </w:r>
      <w:r>
        <w:rPr>
          <w:rFonts w:ascii="Times New Roman" w:hAnsi="Times New Roman"/>
          <w:color w:val="000000"/>
          <w:lang w:eastAsia="zh-CN"/>
        </w:rPr>
        <w:t>HJ 1295—2023</w:t>
      </w:r>
      <w:r>
        <w:rPr>
          <w:rFonts w:ascii="Times New Roman" w:hAnsi="Times New Roman"/>
          <w:color w:val="000000"/>
          <w:lang w:eastAsia="zh-CN"/>
        </w:rPr>
        <w:t>）和《水生态监测技术指南</w:t>
      </w:r>
      <w:r>
        <w:rPr>
          <w:rFonts w:ascii="Times New Roman" w:hAnsi="Times New Roman"/>
          <w:color w:val="000000"/>
          <w:lang w:eastAsia="zh-CN"/>
        </w:rPr>
        <w:t xml:space="preserve"> </w:t>
      </w:r>
      <w:r>
        <w:rPr>
          <w:rFonts w:ascii="Times New Roman" w:hAnsi="Times New Roman"/>
          <w:color w:val="000000"/>
          <w:lang w:eastAsia="zh-CN"/>
        </w:rPr>
        <w:t>湖泊和水库水生生物监测与评价（试行）》（</w:t>
      </w:r>
      <w:r>
        <w:rPr>
          <w:rFonts w:ascii="Times New Roman" w:hAnsi="Times New Roman"/>
          <w:color w:val="000000"/>
          <w:lang w:eastAsia="zh-CN"/>
        </w:rPr>
        <w:t>HJ 1296—2023</w:t>
      </w:r>
      <w:r>
        <w:rPr>
          <w:rFonts w:ascii="Times New Roman" w:hAnsi="Times New Roman"/>
          <w:color w:val="000000"/>
          <w:lang w:eastAsia="zh-CN"/>
        </w:rPr>
        <w:t>），主要规定水生生物监测布点、频次、方法、质量控制及评价等要求，属于专项技术标准。《指南》将其列为规范性引用文件，在鱼类、大型底栖无脊椎动物和着生藻类等指标的相关方法上予以衔接，并结合水岸空间、水量水质和社会服务开展综合评价。因此，上述标准主要提供水生生物评价的技术支撑，与综合性河湖健康评价文件的作用不同。</w:t>
      </w:r>
    </w:p>
    <w:p w14:paraId="68B49C8C" w14:textId="77777777" w:rsidR="00811368" w:rsidRDefault="00D652BD">
      <w:pPr>
        <w:keepNext/>
        <w:spacing w:before="120" w:after="20"/>
        <w:ind w:left="640"/>
        <w:rPr>
          <w:lang w:eastAsia="zh-CN"/>
        </w:rPr>
      </w:pPr>
      <w:r>
        <w:rPr>
          <w:rFonts w:ascii="Times New Roman" w:eastAsia="黑体" w:hAnsi="Times New Roman"/>
          <w:b/>
          <w:color w:val="000000"/>
          <w:lang w:eastAsia="zh-CN"/>
        </w:rPr>
        <w:t>（二）国外相关标准及评价体系对比</w:t>
      </w:r>
    </w:p>
    <w:p w14:paraId="73E686C4" w14:textId="77777777" w:rsidR="00811368" w:rsidRDefault="00D652BD">
      <w:pPr>
        <w:spacing w:after="0"/>
        <w:ind w:firstLine="640"/>
        <w:jc w:val="both"/>
        <w:rPr>
          <w:lang w:eastAsia="zh-CN"/>
        </w:rPr>
      </w:pPr>
      <w:r>
        <w:rPr>
          <w:rFonts w:ascii="Times New Roman" w:hAnsi="Times New Roman"/>
          <w:color w:val="000000"/>
          <w:lang w:eastAsia="zh-CN"/>
        </w:rPr>
        <w:t>国外与河湖健康评价相关的文件，既包括水生态保护法律框架和专项技术标准，也包括政府组织实施的调查评价体系。其适用对象、评价尺度和结果用途有所不同，本节从生态状态评价、水文形态评价及综合状况评价等方面，与《指南》进行对比。</w:t>
      </w:r>
    </w:p>
    <w:p w14:paraId="6DCCFA39" w14:textId="77777777" w:rsidR="00811368" w:rsidRDefault="00D652BD">
      <w:pPr>
        <w:spacing w:after="0"/>
        <w:ind w:firstLine="640"/>
        <w:jc w:val="both"/>
        <w:rPr>
          <w:lang w:eastAsia="zh-CN"/>
        </w:rPr>
      </w:pPr>
      <w:r>
        <w:rPr>
          <w:rFonts w:ascii="Times New Roman" w:hAnsi="Times New Roman"/>
          <w:color w:val="000000"/>
          <w:lang w:eastAsia="zh-CN"/>
        </w:rPr>
        <w:t>欧盟《水框架指令》（</w:t>
      </w:r>
      <w:r>
        <w:rPr>
          <w:rFonts w:ascii="Times New Roman" w:hAnsi="Times New Roman"/>
          <w:color w:val="000000"/>
          <w:lang w:eastAsia="zh-CN"/>
        </w:rPr>
        <w:t>2000/60/EC</w:t>
      </w:r>
      <w:r>
        <w:rPr>
          <w:rFonts w:ascii="Times New Roman" w:hAnsi="Times New Roman"/>
          <w:color w:val="000000"/>
          <w:lang w:eastAsia="zh-CN"/>
        </w:rPr>
        <w:t>）以防止水体状况恶化、实现良好水体状态为目标，对河流和湖泊等地表水体开展生态状态及化学状态评价。生态评价以生物质量要素为核心，并由水文形态和理化条件等提供支撑；对于人工水体和重度改造水体，采用生态潜力评价，考虑水体物理</w:t>
      </w:r>
      <w:r>
        <w:rPr>
          <w:rFonts w:ascii="Times New Roman" w:hAnsi="Times New Roman"/>
          <w:color w:val="000000"/>
          <w:lang w:eastAsia="zh-CN"/>
        </w:rPr>
        <w:t>改造及其使用功能的影响。该体系并非仅适用于接近自然状态的河湖，其分类评价和参考条件的思路，对人工调控较强的上海河</w:t>
      </w:r>
      <w:proofErr w:type="gramStart"/>
      <w:r>
        <w:rPr>
          <w:rFonts w:ascii="Times New Roman" w:hAnsi="Times New Roman"/>
          <w:color w:val="000000"/>
          <w:lang w:eastAsia="zh-CN"/>
        </w:rPr>
        <w:t>湖具有</w:t>
      </w:r>
      <w:proofErr w:type="gramEnd"/>
      <w:r>
        <w:rPr>
          <w:rFonts w:ascii="Times New Roman" w:hAnsi="Times New Roman"/>
          <w:color w:val="000000"/>
          <w:lang w:eastAsia="zh-CN"/>
        </w:rPr>
        <w:t>借鉴意义。《指南》则在生态系统状况评价之外，将防洪（汛）、供水、排涝、通航和公</w:t>
      </w:r>
      <w:r>
        <w:rPr>
          <w:rFonts w:ascii="Times New Roman" w:hAnsi="Times New Roman"/>
          <w:color w:val="000000"/>
          <w:lang w:eastAsia="zh-CN"/>
        </w:rPr>
        <w:lastRenderedPageBreak/>
        <w:t>众满意度等社会服务内容纳入综合评价，具体指标及适用条件根据上海河</w:t>
      </w:r>
      <w:proofErr w:type="gramStart"/>
      <w:r>
        <w:rPr>
          <w:rFonts w:ascii="Times New Roman" w:hAnsi="Times New Roman"/>
          <w:color w:val="000000"/>
          <w:lang w:eastAsia="zh-CN"/>
        </w:rPr>
        <w:t>湖功能</w:t>
      </w:r>
      <w:proofErr w:type="gramEnd"/>
      <w:r>
        <w:rPr>
          <w:rFonts w:ascii="Times New Roman" w:hAnsi="Times New Roman"/>
          <w:color w:val="000000"/>
          <w:lang w:eastAsia="zh-CN"/>
        </w:rPr>
        <w:t>确定。</w:t>
      </w:r>
    </w:p>
    <w:p w14:paraId="6BA841A2" w14:textId="77777777" w:rsidR="00811368" w:rsidRDefault="00D652BD">
      <w:pPr>
        <w:spacing w:after="0"/>
        <w:ind w:firstLine="640"/>
        <w:jc w:val="both"/>
        <w:rPr>
          <w:lang w:eastAsia="zh-CN"/>
        </w:rPr>
      </w:pPr>
      <w:r>
        <w:rPr>
          <w:rFonts w:ascii="Times New Roman" w:hAnsi="Times New Roman"/>
          <w:color w:val="000000"/>
        </w:rPr>
        <w:t>美国环境保护局组织开展的全国河流与溪流评价（</w:t>
      </w:r>
      <w:r>
        <w:rPr>
          <w:rFonts w:ascii="Times New Roman" w:hAnsi="Times New Roman"/>
          <w:color w:val="000000"/>
        </w:rPr>
        <w:t>National Rivers and Streams Assessment</w:t>
      </w:r>
      <w:r>
        <w:rPr>
          <w:rFonts w:ascii="Times New Roman" w:hAnsi="Times New Roman"/>
          <w:color w:val="000000"/>
        </w:rPr>
        <w:t>，</w:t>
      </w:r>
      <w:r>
        <w:rPr>
          <w:rFonts w:ascii="Times New Roman" w:hAnsi="Times New Roman"/>
          <w:color w:val="000000"/>
        </w:rPr>
        <w:t>NRSA</w:t>
      </w:r>
      <w:r>
        <w:rPr>
          <w:rFonts w:ascii="Times New Roman" w:hAnsi="Times New Roman"/>
          <w:color w:val="000000"/>
        </w:rPr>
        <w:t>）和全国湖泊评价（</w:t>
      </w:r>
      <w:r>
        <w:rPr>
          <w:rFonts w:ascii="Times New Roman" w:hAnsi="Times New Roman"/>
          <w:color w:val="000000"/>
        </w:rPr>
        <w:t>National Lakes Assessment</w:t>
      </w:r>
      <w:r>
        <w:rPr>
          <w:rFonts w:ascii="Times New Roman" w:hAnsi="Times New Roman"/>
          <w:color w:val="000000"/>
        </w:rPr>
        <w:t>，</w:t>
      </w:r>
      <w:r>
        <w:rPr>
          <w:rFonts w:ascii="Times New Roman" w:hAnsi="Times New Roman"/>
          <w:color w:val="000000"/>
        </w:rPr>
        <w:t>NLA</w:t>
      </w:r>
      <w:r>
        <w:rPr>
          <w:rFonts w:ascii="Times New Roman" w:hAnsi="Times New Roman"/>
          <w:color w:val="000000"/>
        </w:rPr>
        <w:t>），分别针对河流、溪流和湖泊，采</w:t>
      </w:r>
      <w:r>
        <w:rPr>
          <w:rFonts w:ascii="Times New Roman" w:hAnsi="Times New Roman"/>
          <w:color w:val="000000"/>
        </w:rPr>
        <w:t>用概率抽样及标准化现场、实验室方法，分析生物、化学和物理状况，并关注游憩或人类健康相关风险。</w:t>
      </w:r>
      <w:r>
        <w:rPr>
          <w:rFonts w:ascii="Times New Roman" w:hAnsi="Times New Roman"/>
          <w:color w:val="000000"/>
          <w:lang w:eastAsia="zh-CN"/>
        </w:rPr>
        <w:t>这两项工作属于调查评价体系及配套技术方法，主要用于估计全国和区域水体状况、分析变化并识别压力因素。《指南》主要对具体河流、湖泊及其分段分区进行评价，为问题诊断和保护管理提供依据，与上述调查在空间尺度、抽样目的和成果使用方式上存在差异。</w:t>
      </w:r>
    </w:p>
    <w:p w14:paraId="30EAD778" w14:textId="77777777" w:rsidR="00811368" w:rsidRDefault="00D652BD">
      <w:pPr>
        <w:spacing w:after="0"/>
        <w:ind w:firstLine="640"/>
        <w:jc w:val="both"/>
        <w:rPr>
          <w:lang w:eastAsia="zh-CN"/>
        </w:rPr>
      </w:pPr>
      <w:r>
        <w:rPr>
          <w:rFonts w:ascii="Times New Roman" w:hAnsi="Times New Roman"/>
          <w:color w:val="000000"/>
          <w:lang w:eastAsia="zh-CN"/>
        </w:rPr>
        <w:t>澳大利亚维多利亚州河流状况指数（</w:t>
      </w:r>
      <w:r>
        <w:rPr>
          <w:rFonts w:ascii="Times New Roman" w:hAnsi="Times New Roman"/>
          <w:color w:val="000000"/>
          <w:lang w:eastAsia="zh-CN"/>
        </w:rPr>
        <w:t xml:space="preserve">Index of Stream </w:t>
      </w:r>
      <w:r>
        <w:rPr>
          <w:rFonts w:ascii="Times New Roman" w:hAnsi="Times New Roman"/>
          <w:color w:val="000000"/>
          <w:lang w:eastAsia="zh-CN"/>
        </w:rPr>
        <w:t>Condition</w:t>
      </w:r>
      <w:r>
        <w:rPr>
          <w:rFonts w:ascii="Times New Roman" w:hAnsi="Times New Roman"/>
          <w:color w:val="000000"/>
          <w:lang w:eastAsia="zh-CN"/>
        </w:rPr>
        <w:t>，</w:t>
      </w:r>
      <w:r>
        <w:rPr>
          <w:rFonts w:ascii="Times New Roman" w:hAnsi="Times New Roman"/>
          <w:color w:val="000000"/>
          <w:lang w:eastAsia="zh-CN"/>
        </w:rPr>
        <w:t>ISC</w:t>
      </w:r>
      <w:r>
        <w:rPr>
          <w:rFonts w:ascii="Times New Roman" w:hAnsi="Times New Roman"/>
          <w:color w:val="000000"/>
          <w:lang w:eastAsia="zh-CN"/>
        </w:rPr>
        <w:t>）综合水文、水质、河岸带、物理形态和水生生物</w:t>
      </w:r>
      <w:r>
        <w:rPr>
          <w:rFonts w:ascii="Times New Roman" w:hAnsi="Times New Roman"/>
          <w:color w:val="000000"/>
          <w:lang w:eastAsia="zh-CN"/>
        </w:rPr>
        <w:t>5</w:t>
      </w:r>
      <w:r>
        <w:rPr>
          <w:rFonts w:ascii="Times New Roman" w:hAnsi="Times New Roman"/>
          <w:color w:val="000000"/>
          <w:lang w:eastAsia="zh-CN"/>
        </w:rPr>
        <w:t>个方面，对河段环境状况进行评价，并通过分项结果识别影响河流状况的因素。该方法的多要素综合评价思路，与《指南》中的水岸空间、水量水质和水生生物评价具有可比性；其评价对象主要为河流，重点反映河流环境状况。《指南》同时覆盖河流和湖泊，并将社会服务作为独立准则层，评价内容和功能定位有所不同。</w:t>
      </w:r>
    </w:p>
    <w:p w14:paraId="3C58D48F" w14:textId="77777777" w:rsidR="00811368" w:rsidRDefault="00D652BD">
      <w:pPr>
        <w:spacing w:after="0"/>
        <w:ind w:firstLine="640"/>
        <w:jc w:val="both"/>
        <w:rPr>
          <w:lang w:eastAsia="zh-CN"/>
        </w:rPr>
      </w:pPr>
      <w:r>
        <w:rPr>
          <w:rFonts w:ascii="Times New Roman" w:hAnsi="Times New Roman"/>
          <w:color w:val="000000"/>
          <w:lang w:eastAsia="zh-CN"/>
        </w:rPr>
        <w:t>欧洲标准</w:t>
      </w:r>
      <w:r>
        <w:rPr>
          <w:rFonts w:ascii="Times New Roman" w:hAnsi="Times New Roman"/>
          <w:color w:val="000000"/>
          <w:lang w:eastAsia="zh-CN"/>
        </w:rPr>
        <w:t>EN 14614:2020</w:t>
      </w:r>
      <w:r>
        <w:rPr>
          <w:rFonts w:ascii="Times New Roman" w:hAnsi="Times New Roman"/>
          <w:color w:val="000000"/>
          <w:lang w:eastAsia="zh-CN"/>
        </w:rPr>
        <w:t>《水质</w:t>
      </w:r>
      <w:r>
        <w:rPr>
          <w:rFonts w:ascii="Times New Roman" w:hAnsi="Times New Roman"/>
          <w:color w:val="000000"/>
          <w:lang w:eastAsia="zh-CN"/>
        </w:rPr>
        <w:t xml:space="preserve"> </w:t>
      </w:r>
      <w:r>
        <w:rPr>
          <w:rFonts w:ascii="Times New Roman" w:hAnsi="Times New Roman"/>
          <w:color w:val="000000"/>
          <w:lang w:eastAsia="zh-CN"/>
        </w:rPr>
        <w:t>河流水文形态特征评价指南》为河流水文形态特征评价提供技术指引，属于专项评价标准，可作为《指南》水岸空间相关评价内</w:t>
      </w:r>
      <w:r>
        <w:rPr>
          <w:rFonts w:ascii="Times New Roman" w:hAnsi="Times New Roman"/>
          <w:color w:val="000000"/>
          <w:lang w:eastAsia="zh-CN"/>
        </w:rPr>
        <w:t>容的技术对照。该标准</w:t>
      </w:r>
      <w:proofErr w:type="gramStart"/>
      <w:r>
        <w:rPr>
          <w:rFonts w:ascii="Times New Roman" w:hAnsi="Times New Roman"/>
          <w:color w:val="000000"/>
          <w:lang w:eastAsia="zh-CN"/>
        </w:rPr>
        <w:t>不</w:t>
      </w:r>
      <w:proofErr w:type="gramEnd"/>
      <w:r>
        <w:rPr>
          <w:rFonts w:ascii="Times New Roman" w:hAnsi="Times New Roman"/>
          <w:color w:val="000000"/>
          <w:lang w:eastAsia="zh-CN"/>
        </w:rPr>
        <w:t>涵盖《指南》水量水质、水生生物和社会服务等全部评价内容，不能替代综合性的河湖健康评价。</w:t>
      </w:r>
    </w:p>
    <w:p w14:paraId="36DF541B" w14:textId="77777777" w:rsidR="00811368" w:rsidRDefault="00D652BD">
      <w:pPr>
        <w:spacing w:after="0"/>
        <w:ind w:firstLine="640"/>
        <w:jc w:val="both"/>
        <w:rPr>
          <w:lang w:eastAsia="zh-CN"/>
        </w:rPr>
      </w:pPr>
      <w:r>
        <w:rPr>
          <w:rFonts w:ascii="Times New Roman" w:hAnsi="Times New Roman"/>
          <w:color w:val="000000"/>
          <w:lang w:eastAsia="zh-CN"/>
        </w:rPr>
        <w:lastRenderedPageBreak/>
        <w:t>总体上，上述国外文件在水体类型划分、参考条件、生物响应和水文形态评价等方面具有参考价值，但不能将不同评价体系的指标阈值、权重和分级直接用于上海河湖。《指南》立足本市平原河网、闸泵调控和河湖复合功能特点，在评价生态系统状况的同时兼顾社会服务，并规定调查监测、指标计算、综合评价和报告编制要求，以满足本市河湖健康诊断和管理应用需要。</w:t>
      </w:r>
    </w:p>
    <w:p w14:paraId="30AA67B3" w14:textId="77777777" w:rsidR="00811368" w:rsidRDefault="00D652BD">
      <w:pPr>
        <w:keepNext/>
        <w:spacing w:before="200" w:after="40"/>
        <w:ind w:left="640"/>
        <w:rPr>
          <w:lang w:eastAsia="zh-CN"/>
        </w:rPr>
      </w:pPr>
      <w:r>
        <w:rPr>
          <w:rFonts w:ascii="Times New Roman" w:eastAsia="黑体" w:hAnsi="Times New Roman"/>
          <w:b/>
          <w:color w:val="000000"/>
          <w:lang w:eastAsia="zh-CN"/>
        </w:rPr>
        <w:t>七、与有关法律法规及相关标准的关系</w:t>
      </w:r>
    </w:p>
    <w:p w14:paraId="14591A58" w14:textId="77777777" w:rsidR="00811368" w:rsidRDefault="00D652BD">
      <w:pPr>
        <w:keepNext/>
        <w:spacing w:before="120" w:after="20"/>
        <w:ind w:left="640"/>
        <w:rPr>
          <w:lang w:eastAsia="zh-CN"/>
        </w:rPr>
      </w:pPr>
      <w:r>
        <w:rPr>
          <w:rFonts w:ascii="Times New Roman" w:eastAsia="黑体" w:hAnsi="Times New Roman"/>
          <w:b/>
          <w:color w:val="000000"/>
          <w:lang w:eastAsia="zh-CN"/>
        </w:rPr>
        <w:t>（一）与法律法规和政策要求的关系</w:t>
      </w:r>
    </w:p>
    <w:p w14:paraId="39544D0E" w14:textId="77777777" w:rsidR="00811368" w:rsidRDefault="00D652BD">
      <w:pPr>
        <w:spacing w:after="0"/>
        <w:ind w:firstLine="640"/>
        <w:jc w:val="both"/>
        <w:rPr>
          <w:lang w:eastAsia="zh-CN"/>
        </w:rPr>
      </w:pPr>
      <w:r>
        <w:rPr>
          <w:rFonts w:ascii="Times New Roman" w:hAnsi="Times New Roman"/>
          <w:color w:val="000000"/>
          <w:lang w:eastAsia="zh-CN"/>
        </w:rPr>
        <w:t>《指南》服务于河湖保护、治理和管理，内容与《中华人民共和国水法》《中华人民共和国防洪法》《中华人民共和国水污染防治法》《中华人民共和国长江保护法》《上海市河道管理条例》等法律法规的要求相衔接。标准主要规定评价技术方法，</w:t>
      </w:r>
      <w:proofErr w:type="gramStart"/>
      <w:r>
        <w:rPr>
          <w:rFonts w:ascii="Times New Roman" w:hAnsi="Times New Roman"/>
          <w:color w:val="000000"/>
          <w:lang w:eastAsia="zh-CN"/>
        </w:rPr>
        <w:t>不</w:t>
      </w:r>
      <w:proofErr w:type="gramEnd"/>
      <w:r>
        <w:rPr>
          <w:rFonts w:ascii="Times New Roman" w:hAnsi="Times New Roman"/>
          <w:color w:val="000000"/>
          <w:lang w:eastAsia="zh-CN"/>
        </w:rPr>
        <w:t>设定行政许可、行政处罚和市场准入条件，与现行法律法规和强制性标准不存在冲突。</w:t>
      </w:r>
    </w:p>
    <w:p w14:paraId="721CD691" w14:textId="77777777" w:rsidR="00811368" w:rsidRDefault="00D652BD">
      <w:pPr>
        <w:spacing w:after="0"/>
        <w:ind w:firstLine="640"/>
        <w:jc w:val="both"/>
        <w:rPr>
          <w:lang w:eastAsia="zh-CN"/>
        </w:rPr>
      </w:pPr>
      <w:r>
        <w:rPr>
          <w:rFonts w:ascii="Times New Roman" w:hAnsi="Times New Roman"/>
          <w:color w:val="000000"/>
          <w:lang w:eastAsia="zh-CN"/>
        </w:rPr>
        <w:t>《指南》落实河长</w:t>
      </w:r>
      <w:proofErr w:type="gramStart"/>
      <w:r>
        <w:rPr>
          <w:rFonts w:ascii="Times New Roman" w:hAnsi="Times New Roman"/>
          <w:color w:val="000000"/>
          <w:lang w:eastAsia="zh-CN"/>
        </w:rPr>
        <w:t>制湖长制关于</w:t>
      </w:r>
      <w:proofErr w:type="gramEnd"/>
      <w:r>
        <w:rPr>
          <w:rFonts w:ascii="Times New Roman" w:hAnsi="Times New Roman"/>
          <w:color w:val="000000"/>
          <w:lang w:eastAsia="zh-CN"/>
        </w:rPr>
        <w:t>掌握河湖健康状态、建立河湖健康档案和推动问题治理的工作要求，并与上海市水系统治理、生态流量管理、水质监测、防汛安全和河湖长效管护等工作相协调。</w:t>
      </w:r>
    </w:p>
    <w:p w14:paraId="576079A0" w14:textId="77777777" w:rsidR="00811368" w:rsidRDefault="00D652BD">
      <w:pPr>
        <w:keepNext/>
        <w:spacing w:before="120" w:after="20"/>
        <w:ind w:left="640"/>
        <w:rPr>
          <w:lang w:eastAsia="zh-CN"/>
        </w:rPr>
      </w:pPr>
      <w:r>
        <w:rPr>
          <w:rFonts w:ascii="Times New Roman" w:eastAsia="黑体" w:hAnsi="Times New Roman"/>
          <w:b/>
          <w:color w:val="000000"/>
          <w:lang w:eastAsia="zh-CN"/>
        </w:rPr>
        <w:t>（二）与相关标准的关系</w:t>
      </w:r>
    </w:p>
    <w:p w14:paraId="2B26E032" w14:textId="77777777" w:rsidR="00811368" w:rsidRDefault="00D652BD">
      <w:pPr>
        <w:spacing w:after="0"/>
        <w:ind w:firstLine="640"/>
        <w:jc w:val="both"/>
        <w:rPr>
          <w:lang w:eastAsia="zh-CN"/>
        </w:rPr>
      </w:pPr>
      <w:r>
        <w:rPr>
          <w:rFonts w:ascii="Times New Roman" w:hAnsi="Times New Roman"/>
          <w:color w:val="000000"/>
          <w:lang w:eastAsia="zh-CN"/>
        </w:rPr>
        <w:t>SL/T 793—</w:t>
      </w:r>
      <w:r>
        <w:rPr>
          <w:rFonts w:ascii="Times New Roman" w:hAnsi="Times New Roman"/>
          <w:color w:val="000000"/>
          <w:lang w:eastAsia="zh-CN"/>
        </w:rPr>
        <w:t>2025</w:t>
      </w:r>
      <w:r>
        <w:rPr>
          <w:rFonts w:ascii="Times New Roman" w:hAnsi="Times New Roman"/>
          <w:color w:val="000000"/>
          <w:lang w:eastAsia="zh-CN"/>
        </w:rPr>
        <w:t>是本次修订的主要上位技术依据。《指南》在评价对象、四个准则层、健康指数、分段分区汇总和分级等方面与该标准保持协调，同时根据上海实际细化指标类型和具体方法。</w:t>
      </w:r>
      <w:r>
        <w:rPr>
          <w:rFonts w:ascii="Times New Roman" w:hAnsi="Times New Roman"/>
          <w:color w:val="000000"/>
          <w:lang w:eastAsia="zh-CN"/>
        </w:rPr>
        <w:t>GB 3838</w:t>
      </w:r>
      <w:r>
        <w:rPr>
          <w:rFonts w:ascii="Times New Roman" w:hAnsi="Times New Roman"/>
          <w:color w:val="000000"/>
          <w:lang w:eastAsia="zh-CN"/>
        </w:rPr>
        <w:t>用于水质类别判定，</w:t>
      </w:r>
      <w:r>
        <w:rPr>
          <w:rFonts w:ascii="Times New Roman" w:hAnsi="Times New Roman"/>
          <w:color w:val="000000"/>
          <w:lang w:eastAsia="zh-CN"/>
        </w:rPr>
        <w:t>SL 219</w:t>
      </w:r>
      <w:r>
        <w:rPr>
          <w:rFonts w:ascii="Times New Roman" w:hAnsi="Times New Roman"/>
          <w:color w:val="000000"/>
          <w:lang w:eastAsia="zh-CN"/>
        </w:rPr>
        <w:t>、</w:t>
      </w:r>
      <w:r>
        <w:rPr>
          <w:rFonts w:ascii="Times New Roman" w:hAnsi="Times New Roman"/>
          <w:color w:val="000000"/>
          <w:lang w:eastAsia="zh-CN"/>
        </w:rPr>
        <w:t>SL 395</w:t>
      </w:r>
      <w:r>
        <w:rPr>
          <w:rFonts w:ascii="Times New Roman" w:hAnsi="Times New Roman"/>
          <w:color w:val="000000"/>
          <w:lang w:eastAsia="zh-CN"/>
        </w:rPr>
        <w:t>分别为水环境</w:t>
      </w:r>
      <w:r>
        <w:rPr>
          <w:rFonts w:ascii="Times New Roman" w:hAnsi="Times New Roman"/>
          <w:color w:val="000000"/>
          <w:lang w:eastAsia="zh-CN"/>
        </w:rPr>
        <w:lastRenderedPageBreak/>
        <w:t>监测和地表水资源质量评价提供方法依据，</w:t>
      </w:r>
      <w:r>
        <w:rPr>
          <w:rFonts w:ascii="Times New Roman" w:hAnsi="Times New Roman"/>
          <w:color w:val="000000"/>
          <w:lang w:eastAsia="zh-CN"/>
        </w:rPr>
        <w:t>HJ 1295</w:t>
      </w:r>
      <w:r>
        <w:rPr>
          <w:rFonts w:ascii="Times New Roman" w:hAnsi="Times New Roman"/>
          <w:color w:val="000000"/>
          <w:lang w:eastAsia="zh-CN"/>
        </w:rPr>
        <w:t>、</w:t>
      </w:r>
      <w:r>
        <w:rPr>
          <w:rFonts w:ascii="Times New Roman" w:hAnsi="Times New Roman"/>
          <w:color w:val="000000"/>
          <w:lang w:eastAsia="zh-CN"/>
        </w:rPr>
        <w:t>HJ 1296</w:t>
      </w:r>
      <w:r>
        <w:rPr>
          <w:rFonts w:ascii="Times New Roman" w:hAnsi="Times New Roman"/>
          <w:color w:val="000000"/>
          <w:lang w:eastAsia="zh-CN"/>
        </w:rPr>
        <w:t>为水生生物监测与评价提供技术支撑。各标准分工明确、相互补充。</w:t>
      </w:r>
    </w:p>
    <w:p w14:paraId="0D739551" w14:textId="77777777" w:rsidR="00811368" w:rsidRDefault="00D652BD">
      <w:pPr>
        <w:spacing w:after="0"/>
        <w:ind w:firstLine="640"/>
        <w:jc w:val="both"/>
        <w:rPr>
          <w:lang w:eastAsia="zh-CN"/>
        </w:rPr>
      </w:pPr>
      <w:r>
        <w:rPr>
          <w:rFonts w:ascii="Times New Roman" w:hAnsi="Times New Roman"/>
          <w:color w:val="000000"/>
          <w:lang w:eastAsia="zh-CN"/>
        </w:rPr>
        <w:t>《指南》与上海美丽幸福河湖评价相关标准的适用目的不同。河湖健康评价着重诊断河湖生态系统状况和社会服务功能，是基础性、专业性评价；美丽幸福河湖评价面向建</w:t>
      </w:r>
      <w:r>
        <w:rPr>
          <w:rFonts w:ascii="Times New Roman" w:hAnsi="Times New Roman"/>
          <w:color w:val="000000"/>
          <w:lang w:eastAsia="zh-CN"/>
        </w:rPr>
        <w:t>设成效和综合品质，评价内容还包括宜居景观、文化传承、智慧共治等。两类评价可共享水质、生态流量、水生生物、岸线和公众满意度等基础数据，但评价结论不能相互替代。</w:t>
      </w:r>
    </w:p>
    <w:p w14:paraId="2633EBEA" w14:textId="77777777" w:rsidR="00811368" w:rsidRDefault="00D652BD">
      <w:pPr>
        <w:keepNext/>
        <w:spacing w:before="200" w:after="40"/>
        <w:ind w:left="640"/>
        <w:rPr>
          <w:lang w:eastAsia="zh-CN"/>
        </w:rPr>
      </w:pPr>
      <w:r>
        <w:rPr>
          <w:rFonts w:ascii="Times New Roman" w:eastAsia="黑体" w:hAnsi="Times New Roman"/>
          <w:b/>
          <w:color w:val="000000"/>
          <w:lang w:eastAsia="zh-CN"/>
        </w:rPr>
        <w:t>八、重大分歧意见的处理经过和依据</w:t>
      </w:r>
    </w:p>
    <w:p w14:paraId="30EE3F48" w14:textId="77777777" w:rsidR="00811368" w:rsidRDefault="00D652BD">
      <w:pPr>
        <w:spacing w:after="0"/>
        <w:ind w:firstLine="640"/>
        <w:jc w:val="both"/>
        <w:rPr>
          <w:lang w:eastAsia="zh-CN"/>
        </w:rPr>
      </w:pPr>
      <w:r>
        <w:rPr>
          <w:rFonts w:ascii="Times New Roman" w:hAnsi="Times New Roman" w:hint="eastAsia"/>
          <w:color w:val="000000"/>
          <w:lang w:eastAsia="zh-CN"/>
        </w:rPr>
        <w:t>无。</w:t>
      </w:r>
    </w:p>
    <w:p w14:paraId="3EFE8DBD" w14:textId="77777777" w:rsidR="00811368" w:rsidRDefault="00D652BD">
      <w:pPr>
        <w:keepNext/>
        <w:spacing w:before="200" w:after="40"/>
        <w:ind w:left="640"/>
        <w:rPr>
          <w:lang w:eastAsia="zh-CN"/>
        </w:rPr>
      </w:pPr>
      <w:r>
        <w:rPr>
          <w:rFonts w:ascii="Times New Roman" w:eastAsia="黑体" w:hAnsi="Times New Roman"/>
          <w:b/>
          <w:color w:val="000000"/>
          <w:lang w:eastAsia="zh-CN"/>
        </w:rPr>
        <w:t>九、公平竞争审查意见说明</w:t>
      </w:r>
    </w:p>
    <w:p w14:paraId="46906AAB" w14:textId="455DCFF3" w:rsidR="00811368" w:rsidRDefault="00D652BD">
      <w:pPr>
        <w:spacing w:after="0"/>
        <w:ind w:firstLine="640"/>
        <w:jc w:val="both"/>
        <w:rPr>
          <w:lang w:eastAsia="zh-CN"/>
        </w:rPr>
      </w:pPr>
      <w:r>
        <w:rPr>
          <w:rFonts w:ascii="Times New Roman" w:hAnsi="Times New Roman"/>
          <w:color w:val="000000"/>
          <w:lang w:eastAsia="zh-CN"/>
        </w:rPr>
        <w:t>本</w:t>
      </w:r>
      <w:r w:rsidR="00CE2C01">
        <w:rPr>
          <w:rFonts w:ascii="宋体" w:eastAsia="宋体" w:hAnsi="宋体" w:hint="eastAsia"/>
          <w:color w:val="000000"/>
          <w:lang w:eastAsia="zh-CN"/>
        </w:rPr>
        <w:t>文件</w:t>
      </w:r>
      <w:r>
        <w:rPr>
          <w:rFonts w:ascii="Times New Roman" w:hAnsi="Times New Roman"/>
          <w:color w:val="000000"/>
          <w:lang w:eastAsia="zh-CN"/>
        </w:rPr>
        <w:t>在制定过程中，</w:t>
      </w:r>
      <w:r w:rsidR="00CE2C01">
        <w:rPr>
          <w:rFonts w:ascii="宋体" w:eastAsia="宋体" w:hAnsi="宋体" w:hint="eastAsia"/>
          <w:color w:val="000000"/>
          <w:lang w:eastAsia="zh-CN"/>
        </w:rPr>
        <w:t>将</w:t>
      </w:r>
      <w:r>
        <w:rPr>
          <w:rFonts w:ascii="Times New Roman" w:hAnsi="Times New Roman"/>
          <w:color w:val="000000"/>
          <w:lang w:eastAsia="zh-CN"/>
        </w:rPr>
        <w:t>通过上海市水</w:t>
      </w:r>
      <w:proofErr w:type="gramStart"/>
      <w:r>
        <w:rPr>
          <w:rFonts w:ascii="Times New Roman" w:hAnsi="Times New Roman"/>
          <w:color w:val="000000"/>
          <w:lang w:eastAsia="zh-CN"/>
        </w:rPr>
        <w:t>务局官网公开</w:t>
      </w:r>
      <w:proofErr w:type="gramEnd"/>
      <w:r>
        <w:rPr>
          <w:rFonts w:ascii="Times New Roman" w:hAnsi="Times New Roman"/>
          <w:color w:val="000000"/>
          <w:lang w:eastAsia="zh-CN"/>
        </w:rPr>
        <w:t>征求意见，</w:t>
      </w:r>
      <w:r>
        <w:rPr>
          <w:rFonts w:ascii="Times New Roman" w:hAnsi="Times New Roman" w:hint="eastAsia"/>
          <w:color w:val="000000"/>
          <w:lang w:eastAsia="zh-CN"/>
        </w:rPr>
        <w:t>并定向征询相关管理部门和行业专家意见，对所提意见逐条研究</w:t>
      </w:r>
      <w:r>
        <w:rPr>
          <w:rFonts w:ascii="Times New Roman" w:hAnsi="Times New Roman" w:hint="eastAsia"/>
          <w:color w:val="000000"/>
          <w:lang w:eastAsia="zh-CN"/>
        </w:rPr>
        <w:t>处理。</w:t>
      </w:r>
      <w:r w:rsidR="00CE2C01">
        <w:rPr>
          <w:rFonts w:ascii="宋体" w:eastAsia="宋体" w:hAnsi="宋体" w:hint="eastAsia"/>
          <w:color w:val="000000"/>
          <w:lang w:eastAsia="zh-CN"/>
        </w:rPr>
        <w:t>将</w:t>
      </w:r>
      <w:r>
        <w:rPr>
          <w:rFonts w:ascii="Times New Roman" w:hAnsi="Times New Roman" w:hint="eastAsia"/>
          <w:color w:val="000000"/>
          <w:lang w:eastAsia="zh-CN"/>
        </w:rPr>
        <w:t>逐项对照《公平竞争审查条例》及其实施办法开展审查，</w:t>
      </w:r>
      <w:r w:rsidR="00CE2C01">
        <w:rPr>
          <w:rFonts w:ascii="宋体" w:eastAsia="宋体" w:hAnsi="宋体" w:hint="eastAsia"/>
          <w:color w:val="000000"/>
          <w:lang w:eastAsia="zh-CN"/>
        </w:rPr>
        <w:t>确保</w:t>
      </w:r>
      <w:r>
        <w:rPr>
          <w:rFonts w:ascii="Times New Roman" w:hAnsi="Times New Roman" w:hint="eastAsia"/>
          <w:color w:val="000000"/>
          <w:lang w:eastAsia="zh-CN"/>
        </w:rPr>
        <w:t>本</w:t>
      </w:r>
      <w:r w:rsidR="00CE2C01">
        <w:rPr>
          <w:rFonts w:ascii="宋体" w:eastAsia="宋体" w:hAnsi="宋体" w:hint="eastAsia"/>
          <w:color w:val="000000"/>
          <w:lang w:eastAsia="zh-CN"/>
        </w:rPr>
        <w:t>文件</w:t>
      </w:r>
      <w:r>
        <w:rPr>
          <w:rFonts w:ascii="Times New Roman" w:hAnsi="Times New Roman" w:hint="eastAsia"/>
          <w:color w:val="000000"/>
          <w:lang w:eastAsia="zh-CN"/>
        </w:rPr>
        <w:t>具体条文不含限制或者变相限制市场准入和退出、不含限</w:t>
      </w:r>
      <w:r>
        <w:rPr>
          <w:rFonts w:ascii="Times New Roman" w:hAnsi="Times New Roman" w:hint="eastAsia"/>
          <w:color w:val="000000"/>
          <w:lang w:eastAsia="zh-CN"/>
        </w:rPr>
        <w:t>制商品要素自由流动、不影响生产经营成本、不影响生产经营行</w:t>
      </w:r>
      <w:r>
        <w:rPr>
          <w:rFonts w:ascii="Times New Roman" w:hAnsi="Times New Roman" w:hint="eastAsia"/>
          <w:color w:val="000000"/>
          <w:lang w:eastAsia="zh-CN"/>
        </w:rPr>
        <w:t>为的内容，不存在排除、限制竞争的效果，不影响公平竞争。</w:t>
      </w:r>
    </w:p>
    <w:p w14:paraId="2D590840" w14:textId="77777777" w:rsidR="00811368" w:rsidRDefault="00D652BD">
      <w:pPr>
        <w:keepNext/>
        <w:spacing w:before="200" w:after="40"/>
        <w:ind w:left="640"/>
        <w:rPr>
          <w:lang w:eastAsia="zh-CN"/>
        </w:rPr>
      </w:pPr>
      <w:r>
        <w:rPr>
          <w:rFonts w:ascii="Times New Roman" w:eastAsia="黑体" w:hAnsi="Times New Roman"/>
          <w:b/>
          <w:color w:val="000000"/>
          <w:lang w:eastAsia="zh-CN"/>
        </w:rPr>
        <w:t>十、实施标准的措施建议</w:t>
      </w:r>
    </w:p>
    <w:p w14:paraId="4B9E48D4" w14:textId="77777777" w:rsidR="00811368" w:rsidRDefault="00D652BD">
      <w:pPr>
        <w:keepNext/>
        <w:spacing w:before="120" w:after="20"/>
        <w:ind w:left="640"/>
        <w:rPr>
          <w:lang w:eastAsia="zh-CN"/>
        </w:rPr>
      </w:pPr>
      <w:r>
        <w:rPr>
          <w:rFonts w:ascii="Times New Roman" w:eastAsia="黑体" w:hAnsi="Times New Roman"/>
          <w:b/>
          <w:color w:val="000000"/>
          <w:lang w:eastAsia="zh-CN"/>
        </w:rPr>
        <w:t>（一）组织标准</w:t>
      </w:r>
      <w:proofErr w:type="gramStart"/>
      <w:r>
        <w:rPr>
          <w:rFonts w:ascii="Times New Roman" w:eastAsia="黑体" w:hAnsi="Times New Roman"/>
          <w:b/>
          <w:color w:val="000000"/>
          <w:lang w:eastAsia="zh-CN"/>
        </w:rPr>
        <w:t>宣贯和技术</w:t>
      </w:r>
      <w:proofErr w:type="gramEnd"/>
      <w:r>
        <w:rPr>
          <w:rFonts w:ascii="Times New Roman" w:eastAsia="黑体" w:hAnsi="Times New Roman"/>
          <w:b/>
          <w:color w:val="000000"/>
          <w:lang w:eastAsia="zh-CN"/>
        </w:rPr>
        <w:t>培训</w:t>
      </w:r>
    </w:p>
    <w:p w14:paraId="125CD518" w14:textId="4076E6CB" w:rsidR="00811368" w:rsidRDefault="00CE2C01">
      <w:pPr>
        <w:spacing w:after="0"/>
        <w:ind w:firstLine="640"/>
        <w:jc w:val="both"/>
        <w:rPr>
          <w:lang w:eastAsia="zh-CN"/>
        </w:rPr>
      </w:pPr>
      <w:r>
        <w:rPr>
          <w:rFonts w:ascii="宋体" w:eastAsia="宋体" w:hAnsi="宋体" w:hint="eastAsia"/>
          <w:color w:val="000000"/>
          <w:lang w:eastAsia="zh-CN"/>
        </w:rPr>
        <w:t>《指南》</w:t>
      </w:r>
      <w:r w:rsidR="00D652BD">
        <w:rPr>
          <w:rFonts w:ascii="Times New Roman" w:hAnsi="Times New Roman"/>
          <w:color w:val="000000"/>
          <w:lang w:eastAsia="zh-CN"/>
        </w:rPr>
        <w:t>发布后，建议面向市、区河湖管理部门、评价承担单位和监测机构开展专题培训，重点讲解指标类型选择、河湖分段分区、外业调查、计算赋分、降级规则和报告编制要求，统一全市评价口径。</w:t>
      </w:r>
    </w:p>
    <w:p w14:paraId="0E67B8A9" w14:textId="77777777" w:rsidR="00811368" w:rsidRDefault="00D652BD">
      <w:pPr>
        <w:keepNext/>
        <w:spacing w:before="120" w:after="20"/>
        <w:ind w:left="640"/>
        <w:rPr>
          <w:lang w:eastAsia="zh-CN"/>
        </w:rPr>
      </w:pPr>
      <w:r>
        <w:rPr>
          <w:rFonts w:ascii="Times New Roman" w:eastAsia="黑体" w:hAnsi="Times New Roman"/>
          <w:b/>
          <w:color w:val="000000"/>
          <w:lang w:eastAsia="zh-CN"/>
        </w:rPr>
        <w:lastRenderedPageBreak/>
        <w:t>（二）开展典型河湖应用验证</w:t>
      </w:r>
    </w:p>
    <w:p w14:paraId="3C23F50D" w14:textId="77777777" w:rsidR="00811368" w:rsidRDefault="00D652BD">
      <w:pPr>
        <w:spacing w:after="0"/>
        <w:ind w:firstLine="640"/>
        <w:jc w:val="both"/>
        <w:rPr>
          <w:lang w:eastAsia="zh-CN"/>
        </w:rPr>
      </w:pPr>
      <w:r>
        <w:rPr>
          <w:rFonts w:ascii="Times New Roman" w:hAnsi="Times New Roman"/>
          <w:color w:val="000000"/>
          <w:lang w:eastAsia="zh-CN"/>
        </w:rPr>
        <w:t>选择不同等级、不同功能的河流和湖泊开展应用验证，覆盖闸控骨干河道、中小河道、感潮河段和典型湖泊。对必选指标的可比性、特色指标的适用条件、监测工作量和评价结果敏感性进行复核，及时形成操作指引和典型案</w:t>
      </w:r>
      <w:r>
        <w:rPr>
          <w:rFonts w:ascii="Times New Roman" w:hAnsi="Times New Roman"/>
          <w:color w:val="000000"/>
          <w:lang w:eastAsia="zh-CN"/>
        </w:rPr>
        <w:t>例。</w:t>
      </w:r>
    </w:p>
    <w:p w14:paraId="4A7CBC67" w14:textId="77777777" w:rsidR="00811368" w:rsidRDefault="00D652BD">
      <w:pPr>
        <w:keepNext/>
        <w:spacing w:before="120" w:after="20"/>
        <w:ind w:left="640"/>
        <w:rPr>
          <w:lang w:eastAsia="zh-CN"/>
        </w:rPr>
      </w:pPr>
      <w:r>
        <w:rPr>
          <w:rFonts w:ascii="Times New Roman" w:eastAsia="黑体" w:hAnsi="Times New Roman"/>
          <w:b/>
          <w:color w:val="000000"/>
          <w:lang w:eastAsia="zh-CN"/>
        </w:rPr>
        <w:t>（三）加强数据共享和质量控制</w:t>
      </w:r>
    </w:p>
    <w:p w14:paraId="2E549C9A" w14:textId="77777777" w:rsidR="00811368" w:rsidRDefault="00D652BD">
      <w:pPr>
        <w:spacing w:after="0"/>
        <w:ind w:firstLine="640"/>
        <w:jc w:val="both"/>
        <w:rPr>
          <w:lang w:eastAsia="zh-CN"/>
        </w:rPr>
      </w:pPr>
      <w:r>
        <w:rPr>
          <w:rFonts w:ascii="Times New Roman" w:hAnsi="Times New Roman"/>
          <w:color w:val="000000"/>
          <w:lang w:eastAsia="zh-CN"/>
        </w:rPr>
        <w:t>建立水文、水质、水生态、防洪、排涝、岸线管理和公众调查等数据的共享机制，优先复用常规监测和管理成果。对现场调查、样品鉴定、遥感解译、数据处理和报告审核实施全过程质量控制，确保数据来源可追溯、计算过程可复核、评价结论有依据。</w:t>
      </w:r>
    </w:p>
    <w:p w14:paraId="7F0889F9" w14:textId="77777777" w:rsidR="00811368" w:rsidRDefault="00D652BD">
      <w:pPr>
        <w:keepNext/>
        <w:spacing w:before="120" w:after="20"/>
        <w:ind w:left="640"/>
        <w:rPr>
          <w:lang w:eastAsia="zh-CN"/>
        </w:rPr>
      </w:pPr>
      <w:r>
        <w:rPr>
          <w:rFonts w:ascii="Times New Roman" w:eastAsia="黑体" w:hAnsi="Times New Roman"/>
          <w:b/>
          <w:color w:val="000000"/>
          <w:lang w:eastAsia="zh-CN"/>
        </w:rPr>
        <w:t>（四）做好新旧标准衔接</w:t>
      </w:r>
    </w:p>
    <w:p w14:paraId="05A200FC" w14:textId="77777777" w:rsidR="00811368" w:rsidRDefault="00D652BD">
      <w:pPr>
        <w:spacing w:after="0"/>
        <w:ind w:firstLine="640"/>
        <w:jc w:val="both"/>
        <w:rPr>
          <w:lang w:eastAsia="zh-CN"/>
        </w:rPr>
      </w:pPr>
      <w:r>
        <w:rPr>
          <w:rFonts w:ascii="Times New Roman" w:hAnsi="Times New Roman"/>
          <w:color w:val="000000"/>
          <w:lang w:eastAsia="zh-CN"/>
        </w:rPr>
        <w:t>对已按《原指南》完成的历史评价成果予以保留。开展趋势比较时，应说明采用的标准版本、指标调整和分级阈值变化，避免将不同版本的综合得分直接进行简单比较。新启动的评价项目原则上执行修订后的《指南》，跨年度项目可根据合同和工作进度明确转</w:t>
      </w:r>
      <w:r>
        <w:rPr>
          <w:rFonts w:ascii="Times New Roman" w:hAnsi="Times New Roman"/>
          <w:color w:val="000000"/>
          <w:lang w:eastAsia="zh-CN"/>
        </w:rPr>
        <w:t>换安排。</w:t>
      </w:r>
    </w:p>
    <w:p w14:paraId="330C69D6" w14:textId="77777777" w:rsidR="00811368" w:rsidRDefault="00D652BD">
      <w:pPr>
        <w:keepNext/>
        <w:spacing w:before="120" w:after="20"/>
        <w:ind w:left="640"/>
        <w:rPr>
          <w:lang w:eastAsia="zh-CN"/>
        </w:rPr>
      </w:pPr>
      <w:r>
        <w:rPr>
          <w:rFonts w:ascii="Times New Roman" w:eastAsia="黑体" w:hAnsi="Times New Roman"/>
          <w:b/>
          <w:color w:val="000000"/>
          <w:lang w:eastAsia="zh-CN"/>
        </w:rPr>
        <w:t>（五）建立实施反馈和动态修订机制</w:t>
      </w:r>
    </w:p>
    <w:p w14:paraId="7E45099C" w14:textId="77777777" w:rsidR="00811368" w:rsidRDefault="00D652BD">
      <w:pPr>
        <w:spacing w:after="0"/>
        <w:ind w:firstLine="640"/>
        <w:jc w:val="both"/>
        <w:rPr>
          <w:lang w:eastAsia="zh-CN"/>
        </w:rPr>
      </w:pPr>
      <w:r>
        <w:rPr>
          <w:rFonts w:ascii="Times New Roman" w:hAnsi="Times New Roman"/>
          <w:color w:val="000000"/>
          <w:lang w:eastAsia="zh-CN"/>
        </w:rPr>
        <w:t>持续跟踪标准实施情况，收集各区和评价单位对指标适用性、数据可获得性、工作量和结果应用的意见。结合国家标准更新、本市监测能力提升和河湖管理需求变化，适时对相关技术条款进行复核完善。</w:t>
      </w:r>
    </w:p>
    <w:p w14:paraId="398EA1D4" w14:textId="77777777" w:rsidR="00811368" w:rsidRDefault="00D652BD">
      <w:pPr>
        <w:keepNext/>
        <w:spacing w:before="200" w:after="40"/>
        <w:ind w:left="640"/>
        <w:rPr>
          <w:lang w:eastAsia="zh-CN"/>
        </w:rPr>
      </w:pPr>
      <w:r>
        <w:rPr>
          <w:rFonts w:ascii="Times New Roman" w:eastAsia="黑体" w:hAnsi="Times New Roman"/>
          <w:b/>
          <w:color w:val="000000"/>
          <w:lang w:eastAsia="zh-CN"/>
        </w:rPr>
        <w:t>十一、其他应予说明的事项</w:t>
      </w:r>
    </w:p>
    <w:p w14:paraId="2FE31B1B" w14:textId="77777777" w:rsidR="00811368" w:rsidRDefault="00D652BD">
      <w:pPr>
        <w:spacing w:after="0"/>
        <w:ind w:firstLine="640"/>
        <w:jc w:val="both"/>
        <w:rPr>
          <w:lang w:eastAsia="zh-CN"/>
        </w:rPr>
      </w:pPr>
      <w:r>
        <w:rPr>
          <w:rFonts w:ascii="Times New Roman" w:hAnsi="Times New Roman"/>
          <w:color w:val="000000"/>
          <w:lang w:eastAsia="zh-CN"/>
        </w:rPr>
        <w:t>无。</w:t>
      </w:r>
    </w:p>
    <w:p w14:paraId="3693B386" w14:textId="6FAF32B6" w:rsidR="00811368" w:rsidRDefault="00CE2C01">
      <w:pPr>
        <w:spacing w:before="480" w:line="520" w:lineRule="exact"/>
        <w:jc w:val="right"/>
        <w:rPr>
          <w:lang w:eastAsia="zh-CN"/>
        </w:rPr>
      </w:pPr>
      <w:r>
        <w:rPr>
          <w:rFonts w:ascii="宋体" w:eastAsia="宋体" w:hAnsi="宋体" w:hint="eastAsia"/>
          <w:color w:val="000000"/>
          <w:lang w:eastAsia="zh-CN"/>
        </w:rPr>
        <w:lastRenderedPageBreak/>
        <w:t>《指南》</w:t>
      </w:r>
      <w:r w:rsidR="00D652BD">
        <w:rPr>
          <w:rFonts w:ascii="Times New Roman" w:hAnsi="Times New Roman"/>
          <w:color w:val="000000"/>
          <w:lang w:eastAsia="zh-CN"/>
        </w:rPr>
        <w:t>编写组</w:t>
      </w:r>
      <w:r w:rsidR="00D652BD">
        <w:rPr>
          <w:rFonts w:ascii="Times New Roman" w:hAnsi="Times New Roman"/>
          <w:color w:val="000000"/>
          <w:lang w:eastAsia="zh-CN"/>
        </w:rPr>
        <w:br/>
        <w:t>2026</w:t>
      </w:r>
      <w:r w:rsidR="00D652BD">
        <w:rPr>
          <w:rFonts w:ascii="Times New Roman" w:hAnsi="Times New Roman"/>
          <w:color w:val="000000"/>
          <w:lang w:eastAsia="zh-CN"/>
        </w:rPr>
        <w:t>年</w:t>
      </w:r>
      <w:r w:rsidR="00D652BD">
        <w:rPr>
          <w:rFonts w:ascii="Times New Roman" w:hAnsi="Times New Roman"/>
          <w:color w:val="000000"/>
          <w:lang w:eastAsia="zh-CN"/>
        </w:rPr>
        <w:t>10</w:t>
      </w:r>
      <w:r w:rsidR="00D652BD">
        <w:rPr>
          <w:rFonts w:ascii="Times New Roman" w:hAnsi="Times New Roman"/>
          <w:color w:val="000000"/>
          <w:lang w:eastAsia="zh-CN"/>
        </w:rPr>
        <w:t>月</w:t>
      </w:r>
    </w:p>
    <w:sectPr w:rsidR="00811368">
      <w:footerReference w:type="default" r:id="rId8"/>
      <w:pgSz w:w="11906" w:h="16838"/>
      <w:pgMar w:top="1332" w:right="1389" w:bottom="1219" w:left="1502" w:header="680" w:footer="65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81D84E" w14:textId="77777777" w:rsidR="00D652BD" w:rsidRDefault="00D652BD">
      <w:pPr>
        <w:spacing w:line="240" w:lineRule="auto"/>
      </w:pPr>
      <w:r>
        <w:separator/>
      </w:r>
    </w:p>
  </w:endnote>
  <w:endnote w:type="continuationSeparator" w:id="0">
    <w:p w14:paraId="2E4220D8" w14:textId="77777777" w:rsidR="00D652BD" w:rsidRDefault="00D652B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_GB2312">
    <w:charset w:val="00"/>
    <w:family w:val="auto"/>
    <w:pitch w:val="default"/>
    <w:embedRegular r:id="rId1" w:fontKey="{28A7225D-DCF0-4226-B4FA-3CBB61CB3C28}"/>
    <w:embedBold r:id="rId2" w:fontKey="{F52199BC-5ED4-4674-9FE1-25C04F82F5F9}"/>
    <w:embedItalic r:id="rId3" w:fontKey="{E1F1F6D7-559A-40A1-9D1E-E3952050D7BD}"/>
    <w:embedBoldItalic r:id="rId4" w:fontKey="{55D1652F-F7AF-4F12-B78E-470A1E7BEFE4}"/>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notTrueType/>
    <w:pitch w:val="default"/>
    <w:sig w:usb0="00000000" w:usb1="00000000" w:usb2="00000000" w:usb3="00000000" w:csb0="00000001" w:csb1="00000000"/>
  </w:font>
  <w:font w:name="MS Mincho">
    <w:altName w:val="ＭＳ 明朝"/>
    <w:panose1 w:val="02020609040205080304"/>
    <w:charset w:val="80"/>
    <w:family w:val="modern"/>
    <w:pitch w:val="fixed"/>
    <w:sig w:usb0="00000287" w:usb1="08070000" w:usb2="00000010" w:usb3="00000000" w:csb0="0002009F" w:csb1="00000000"/>
  </w:font>
  <w:font w:name="Cambria">
    <w:panose1 w:val="02040503050406030204"/>
    <w:charset w:val="00"/>
    <w:family w:val="roman"/>
    <w:pitch w:val="variable"/>
    <w:sig w:usb0="E00006FF" w:usb1="420024FF" w:usb2="02000000" w:usb3="00000000" w:csb0="0000019F" w:csb1="00000000"/>
  </w:font>
  <w:font w:name="黑体">
    <w:altName w:val="SimHei"/>
    <w:panose1 w:val="02010609060101010101"/>
    <w:charset w:val="86"/>
    <w:family w:val="modern"/>
    <w:pitch w:val="fixed"/>
    <w:sig w:usb0="800002BF" w:usb1="38CF7CFA" w:usb2="00000016" w:usb3="00000000" w:csb0="00040001" w:csb1="00000000"/>
    <w:embedBold r:id="rId5" w:subsetted="1" w:fontKey="{935B196A-5C82-4CD1-9DB1-764B3DF38DE2}"/>
  </w:font>
  <w:font w:name="___WRD_EMBED_SUB_962">
    <w:altName w:val="Calibri"/>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43FE8C" w14:textId="77777777" w:rsidR="00811368" w:rsidRDefault="00D652BD">
    <w:pPr>
      <w:pStyle w:val="ac"/>
      <w:jc w:val="center"/>
    </w:pPr>
    <w:r>
      <w:rPr>
        <w:rFonts w:ascii="Times New Roman" w:eastAsia="宋体" w:hAnsi="Times New Roman"/>
        <w:color w:val="000000"/>
        <w:sz w:val="21"/>
      </w:rPr>
      <w:fldChar w:fldCharType="begin"/>
    </w:r>
    <w:r>
      <w:rPr>
        <w:rFonts w:ascii="Times New Roman" w:eastAsia="宋体" w:hAnsi="Times New Roman"/>
        <w:color w:val="000000"/>
        <w:sz w:val="21"/>
      </w:rPr>
      <w:instrText xml:space="preserve"> PAGE </w:instrText>
    </w:r>
    <w:r w:rsidR="002A24E6">
      <w:rPr>
        <w:rFonts w:ascii="Times New Roman" w:eastAsia="宋体" w:hAnsi="Times New Roman"/>
        <w:color w:val="000000"/>
        <w:sz w:val="21"/>
      </w:rPr>
      <w:fldChar w:fldCharType="separate"/>
    </w:r>
    <w:r w:rsidR="002A24E6">
      <w:rPr>
        <w:rFonts w:ascii="Times New Roman" w:eastAsia="宋体" w:hAnsi="Times New Roman"/>
        <w:noProof/>
        <w:color w:val="000000"/>
        <w:sz w:val="21"/>
      </w:rPr>
      <w:t>1</w:t>
    </w:r>
    <w:r>
      <w:rPr>
        <w:rFonts w:ascii="Times New Roman" w:eastAsia="宋体" w:hAnsi="Times New Roman"/>
        <w:color w:val="000000"/>
        <w:sz w:val="21"/>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8F40EA" w14:textId="77777777" w:rsidR="00D652BD" w:rsidRDefault="00D652BD">
      <w:pPr>
        <w:spacing w:after="0" w:line="240" w:lineRule="auto"/>
      </w:pPr>
      <w:r>
        <w:separator/>
      </w:r>
    </w:p>
  </w:footnote>
  <w:footnote w:type="continuationSeparator" w:id="0">
    <w:p w14:paraId="27630675" w14:textId="77777777" w:rsidR="00D652BD" w:rsidRDefault="00D652B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E"/>
    <w:multiLevelType w:val="singleLevel"/>
    <w:tmpl w:val="FFFFFF7E"/>
    <w:lvl w:ilvl="0">
      <w:start w:val="1"/>
      <w:numFmt w:val="decimal"/>
      <w:pStyle w:val="3"/>
      <w:lvlText w:val="%1."/>
      <w:lvlJc w:val="left"/>
      <w:pPr>
        <w:tabs>
          <w:tab w:val="left" w:pos="1080"/>
        </w:tabs>
        <w:ind w:left="1080" w:hanging="360"/>
      </w:pPr>
    </w:lvl>
  </w:abstractNum>
  <w:abstractNum w:abstractNumId="1" w15:restartNumberingAfterBreak="0">
    <w:nsid w:val="FFFFFF7F"/>
    <w:multiLevelType w:val="singleLevel"/>
    <w:tmpl w:val="FFFFFF7F"/>
    <w:lvl w:ilvl="0">
      <w:start w:val="1"/>
      <w:numFmt w:val="decimal"/>
      <w:pStyle w:val="2"/>
      <w:lvlText w:val="%1."/>
      <w:lvlJc w:val="left"/>
      <w:pPr>
        <w:tabs>
          <w:tab w:val="left" w:pos="720"/>
        </w:tabs>
        <w:ind w:left="720" w:hanging="360"/>
      </w:pPr>
    </w:lvl>
  </w:abstractNum>
  <w:abstractNum w:abstractNumId="2" w15:restartNumberingAfterBreak="0">
    <w:nsid w:val="FFFFFF82"/>
    <w:multiLevelType w:val="singleLevel"/>
    <w:tmpl w:val="FFFFFF82"/>
    <w:lvl w:ilvl="0">
      <w:start w:val="1"/>
      <w:numFmt w:val="bullet"/>
      <w:pStyle w:val="30"/>
      <w:lvlText w:val=""/>
      <w:lvlJc w:val="left"/>
      <w:pPr>
        <w:tabs>
          <w:tab w:val="left" w:pos="1080"/>
        </w:tabs>
        <w:ind w:left="1080" w:hanging="360"/>
      </w:pPr>
      <w:rPr>
        <w:rFonts w:ascii="Symbol" w:hAnsi="Symbol" w:hint="default"/>
      </w:rPr>
    </w:lvl>
  </w:abstractNum>
  <w:abstractNum w:abstractNumId="3" w15:restartNumberingAfterBreak="0">
    <w:nsid w:val="FFFFFF83"/>
    <w:multiLevelType w:val="singleLevel"/>
    <w:tmpl w:val="FFFFFF83"/>
    <w:lvl w:ilvl="0">
      <w:start w:val="1"/>
      <w:numFmt w:val="bullet"/>
      <w:pStyle w:val="20"/>
      <w:lvlText w:val=""/>
      <w:lvlJc w:val="left"/>
      <w:pPr>
        <w:tabs>
          <w:tab w:val="left" w:pos="720"/>
        </w:tabs>
        <w:ind w:left="720" w:hanging="360"/>
      </w:pPr>
      <w:rPr>
        <w:rFonts w:ascii="Symbol" w:hAnsi="Symbol" w:hint="default"/>
      </w:rPr>
    </w:lvl>
  </w:abstractNum>
  <w:abstractNum w:abstractNumId="4" w15:restartNumberingAfterBreak="0">
    <w:nsid w:val="FFFFFF88"/>
    <w:multiLevelType w:val="singleLevel"/>
    <w:tmpl w:val="FFFFFF88"/>
    <w:lvl w:ilvl="0">
      <w:start w:val="1"/>
      <w:numFmt w:val="decimal"/>
      <w:pStyle w:val="a"/>
      <w:lvlText w:val="%1."/>
      <w:lvlJc w:val="left"/>
      <w:pPr>
        <w:tabs>
          <w:tab w:val="left" w:pos="360"/>
        </w:tabs>
        <w:ind w:left="360" w:hanging="360"/>
      </w:pPr>
    </w:lvl>
  </w:abstractNum>
  <w:abstractNum w:abstractNumId="5" w15:restartNumberingAfterBreak="0">
    <w:nsid w:val="FFFFFF89"/>
    <w:multiLevelType w:val="singleLevel"/>
    <w:tmpl w:val="FFFFFF89"/>
    <w:lvl w:ilvl="0">
      <w:start w:val="1"/>
      <w:numFmt w:val="bullet"/>
      <w:pStyle w:val="a0"/>
      <w:lvlText w:val=""/>
      <w:lvlJc w:val="left"/>
      <w:pPr>
        <w:tabs>
          <w:tab w:val="left" w:pos="360"/>
        </w:tabs>
        <w:ind w:left="360" w:hanging="360"/>
      </w:pPr>
      <w:rPr>
        <w:rFonts w:ascii="Symbol" w:hAnsi="Symbol" w:hint="default"/>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TrueTypeFonts/>
  <w:saveSubsetFonts/>
  <w:proofState w:grammar="clean"/>
  <w:defaultTabStop w:val="720"/>
  <w:noPunctuationKerning/>
  <w:characterSpacingControl w:val="doNotCompress"/>
  <w:hdrShapeDefaults>
    <o:shapedefaults v:ext="edit" spidmax="2049"/>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2A24E6"/>
    <w:rsid w:val="002E0DA4"/>
    <w:rsid w:val="00326F90"/>
    <w:rsid w:val="00811368"/>
    <w:rsid w:val="00AA1D8D"/>
    <w:rsid w:val="00B47730"/>
    <w:rsid w:val="00CB0664"/>
    <w:rsid w:val="00CE2C01"/>
    <w:rsid w:val="00D652BD"/>
    <w:rsid w:val="00EB237A"/>
    <w:rsid w:val="00FC693F"/>
    <w:rsid w:val="069074E0"/>
    <w:rsid w:val="077B0190"/>
    <w:rsid w:val="18AB0E59"/>
    <w:rsid w:val="1A6E76E0"/>
    <w:rsid w:val="1C6E39C8"/>
    <w:rsid w:val="27601AB5"/>
    <w:rsid w:val="3490403D"/>
    <w:rsid w:val="34A2025B"/>
    <w:rsid w:val="38917CBE"/>
    <w:rsid w:val="3EF36B45"/>
    <w:rsid w:val="3FE756BB"/>
    <w:rsid w:val="42BA0E65"/>
    <w:rsid w:val="4CAF7561"/>
    <w:rsid w:val="535A5032"/>
    <w:rsid w:val="596A701D"/>
    <w:rsid w:val="5AB056BB"/>
    <w:rsid w:val="5B661732"/>
    <w:rsid w:val="64835103"/>
    <w:rsid w:val="7B62386D"/>
    <w:rsid w:val="7C2B298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C3BCC65"/>
  <w14:defaultImageDpi w14:val="300"/>
  <w15:docId w15:val="{9162600E-B273-43F2-8752-42E1ED923D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unhideWhenUsed="1" w:qFormat="1"/>
    <w:lsdException w:name="toa heading" w:semiHidden="1" w:unhideWhenUsed="1"/>
    <w:lsdException w:name="List" w:unhideWhenUsed="1" w:qFormat="1"/>
    <w:lsdException w:name="List Bullet" w:unhideWhenUsed="1" w:qFormat="1"/>
    <w:lsdException w:name="List Number" w:unhideWhenUsed="1" w:qFormat="1"/>
    <w:lsdException w:name="List 2" w:unhideWhenUsed="1" w:qFormat="1"/>
    <w:lsdException w:name="List 3" w:unhideWhenUsed="1" w:qFormat="1"/>
    <w:lsdException w:name="List 4" w:semiHidden="1" w:unhideWhenUsed="1"/>
    <w:lsdException w:name="List 5" w:semiHidden="1" w:unhideWhenUsed="1"/>
    <w:lsdException w:name="List Bullet 2" w:unhideWhenUsed="1" w:qFormat="1"/>
    <w:lsdException w:name="List Bullet 3" w:unhideWhenUsed="1" w:qFormat="1"/>
    <w:lsdException w:name="List Bullet 4" w:semiHidden="1" w:unhideWhenUsed="1"/>
    <w:lsdException w:name="List Bullet 5" w:semiHidden="1" w:unhideWhenUsed="1"/>
    <w:lsdException w:name="List Number 2" w:unhideWhenUsed="1" w:qFormat="1"/>
    <w:lsdException w:name="List Number 3" w:unhideWhenUsed="1" w:qFormat="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nhideWhenUsed="1" w:qFormat="1"/>
    <w:lsdException w:name="Body Text Indent" w:semiHidden="1" w:unhideWhenUsed="1"/>
    <w:lsdException w:name="List Continue" w:unhideWhenUsed="1" w:qFormat="1"/>
    <w:lsdException w:name="List Continue 2" w:unhideWhenUsed="1" w:qFormat="1"/>
    <w:lsdException w:name="List Continue 3" w:unhideWhenUsed="1" w:qFormat="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nhideWhenUsed="1" w:qFormat="1"/>
    <w:lsdException w:name="Body Text 3"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qFormat="1"/>
    <w:lsdException w:name="Light List" w:uiPriority="61" w:qFormat="1"/>
    <w:lsdException w:name="Light Grid" w:uiPriority="62" w:qFormat="1"/>
    <w:lsdException w:name="Medium Shading 1" w:uiPriority="63" w:qFormat="1"/>
    <w:lsdException w:name="Medium Shading 2" w:uiPriority="64" w:qFormat="1"/>
    <w:lsdException w:name="Medium List 1" w:uiPriority="65" w:qFormat="1"/>
    <w:lsdException w:name="Medium List 2" w:uiPriority="66" w:qFormat="1"/>
    <w:lsdException w:name="Medium Grid 1" w:uiPriority="67" w:qFormat="1"/>
    <w:lsdException w:name="Medium Grid 2" w:uiPriority="68" w:qFormat="1"/>
    <w:lsdException w:name="Medium Grid 3" w:uiPriority="69" w:qFormat="1"/>
    <w:lsdException w:name="Dark List" w:uiPriority="70" w:qFormat="1"/>
    <w:lsdException w:name="Colorful Shading" w:uiPriority="71" w:qFormat="1"/>
    <w:lsdException w:name="Colorful List" w:uiPriority="72" w:qFormat="1"/>
    <w:lsdException w:name="Colorful Grid" w:uiPriority="73" w:qFormat="1"/>
    <w:lsdException w:name="Light Shading Accent 1" w:uiPriority="60" w:qFormat="1"/>
    <w:lsdException w:name="Light List Accent 1" w:uiPriority="61" w:qFormat="1"/>
    <w:lsdException w:name="Light Grid Accent 1" w:uiPriority="62" w:qFormat="1"/>
    <w:lsdException w:name="Medium Shading 1 Accent 1" w:uiPriority="63" w:qFormat="1"/>
    <w:lsdException w:name="Medium Shading 2 Accent 1" w:uiPriority="64" w:qFormat="1"/>
    <w:lsdException w:name="Medium List 1 Accent 1" w:uiPriority="65" w:qFormat="1"/>
    <w:lsdException w:name="Revision" w:semiHidden="1"/>
    <w:lsdException w:name="List Paragraph" w:uiPriority="34" w:qFormat="1"/>
    <w:lsdException w:name="Quote" w:uiPriority="29" w:qFormat="1"/>
    <w:lsdException w:name="Intense Quote" w:uiPriority="30" w:qFormat="1"/>
    <w:lsdException w:name="Medium List 2 Accent 1" w:uiPriority="66" w:qFormat="1"/>
    <w:lsdException w:name="Medium Grid 1 Accent 1" w:uiPriority="67" w:qFormat="1"/>
    <w:lsdException w:name="Medium Grid 2 Accent 1" w:uiPriority="68" w:qFormat="1"/>
    <w:lsdException w:name="Medium Grid 3 Accent 1" w:uiPriority="69" w:qFormat="1"/>
    <w:lsdException w:name="Dark List Accent 1" w:uiPriority="70" w:qFormat="1"/>
    <w:lsdException w:name="Colorful Shading Accent 1" w:uiPriority="71" w:qFormat="1"/>
    <w:lsdException w:name="Colorful List Accent 1" w:uiPriority="72" w:qFormat="1"/>
    <w:lsdException w:name="Colorful Grid Accent 1" w:uiPriority="73" w:qFormat="1"/>
    <w:lsdException w:name="Light Shading Accent 2" w:uiPriority="60" w:qFormat="1"/>
    <w:lsdException w:name="Light List Accent 2" w:uiPriority="61" w:qFormat="1"/>
    <w:lsdException w:name="Light Grid Accent 2" w:uiPriority="62" w:qFormat="1"/>
    <w:lsdException w:name="Medium Shading 1 Accent 2" w:uiPriority="63" w:qFormat="1"/>
    <w:lsdException w:name="Medium Shading 2 Accent 2" w:uiPriority="64" w:qFormat="1"/>
    <w:lsdException w:name="Medium List 1 Accent 2" w:uiPriority="65" w:qFormat="1"/>
    <w:lsdException w:name="Medium List 2 Accent 2" w:uiPriority="66" w:qFormat="1"/>
    <w:lsdException w:name="Medium Grid 1 Accent 2" w:uiPriority="67" w:qFormat="1"/>
    <w:lsdException w:name="Medium Grid 2 Accent 2" w:uiPriority="68" w:qFormat="1"/>
    <w:lsdException w:name="Medium Grid 3 Accent 2" w:uiPriority="69" w:qFormat="1"/>
    <w:lsdException w:name="Dark List Accent 2" w:uiPriority="70" w:qFormat="1"/>
    <w:lsdException w:name="Colorful Shading Accent 2" w:uiPriority="71" w:qFormat="1"/>
    <w:lsdException w:name="Colorful List Accent 2" w:uiPriority="72" w:qFormat="1"/>
    <w:lsdException w:name="Colorful Grid Accent 2" w:uiPriority="73" w:qFormat="1"/>
    <w:lsdException w:name="Light Shading Accent 3" w:uiPriority="60" w:qFormat="1"/>
    <w:lsdException w:name="Light List Accent 3" w:uiPriority="61" w:qFormat="1"/>
    <w:lsdException w:name="Light Grid Accent 3" w:uiPriority="62" w:qFormat="1"/>
    <w:lsdException w:name="Medium Shading 1 Accent 3" w:uiPriority="63" w:qFormat="1"/>
    <w:lsdException w:name="Medium Shading 2 Accent 3" w:uiPriority="64" w:qFormat="1"/>
    <w:lsdException w:name="Medium List 1 Accent 3" w:uiPriority="65" w:qFormat="1"/>
    <w:lsdException w:name="Medium List 2 Accent 3" w:uiPriority="66" w:qFormat="1"/>
    <w:lsdException w:name="Medium Grid 1 Accent 3" w:uiPriority="67" w:qFormat="1"/>
    <w:lsdException w:name="Medium Grid 2 Accent 3" w:uiPriority="68" w:qFormat="1"/>
    <w:lsdException w:name="Medium Grid 3 Accent 3" w:uiPriority="69" w:qFormat="1"/>
    <w:lsdException w:name="Dark List Accent 3" w:uiPriority="70" w:qFormat="1"/>
    <w:lsdException w:name="Colorful Shading Accent 3" w:uiPriority="71" w:qFormat="1"/>
    <w:lsdException w:name="Colorful List Accent 3" w:uiPriority="72" w:qFormat="1"/>
    <w:lsdException w:name="Colorful Grid Accent 3" w:uiPriority="73" w:qFormat="1"/>
    <w:lsdException w:name="Light Shading Accent 4" w:uiPriority="60" w:qFormat="1"/>
    <w:lsdException w:name="Light List Accent 4" w:uiPriority="61" w:qFormat="1"/>
    <w:lsdException w:name="Light Grid Accent 4" w:uiPriority="62" w:qFormat="1"/>
    <w:lsdException w:name="Medium Shading 1 Accent 4" w:uiPriority="63" w:qFormat="1"/>
    <w:lsdException w:name="Medium Shading 2 Accent 4" w:uiPriority="64" w:qFormat="1"/>
    <w:lsdException w:name="Medium List 1 Accent 4" w:uiPriority="65" w:qFormat="1"/>
    <w:lsdException w:name="Medium List 2 Accent 4" w:uiPriority="66" w:qFormat="1"/>
    <w:lsdException w:name="Medium Grid 1 Accent 4" w:uiPriority="67" w:qFormat="1"/>
    <w:lsdException w:name="Medium Grid 2 Accent 4" w:uiPriority="68" w:qFormat="1"/>
    <w:lsdException w:name="Medium Grid 3 Accent 4" w:uiPriority="69" w:qFormat="1"/>
    <w:lsdException w:name="Dark List Accent 4" w:uiPriority="70" w:qFormat="1"/>
    <w:lsdException w:name="Colorful Shading Accent 4" w:uiPriority="71" w:qFormat="1"/>
    <w:lsdException w:name="Colorful List Accent 4" w:uiPriority="72" w:qFormat="1"/>
    <w:lsdException w:name="Colorful Grid Accent 4" w:uiPriority="73" w:qFormat="1"/>
    <w:lsdException w:name="Light Shading Accent 5" w:uiPriority="60" w:qFormat="1"/>
    <w:lsdException w:name="Light List Accent 5" w:uiPriority="61" w:qFormat="1"/>
    <w:lsdException w:name="Light Grid Accent 5" w:uiPriority="62" w:qFormat="1"/>
    <w:lsdException w:name="Medium Shading 1 Accent 5" w:uiPriority="63" w:qFormat="1"/>
    <w:lsdException w:name="Medium Shading 2 Accent 5" w:uiPriority="64" w:qFormat="1"/>
    <w:lsdException w:name="Medium List 1 Accent 5" w:uiPriority="65" w:qFormat="1"/>
    <w:lsdException w:name="Medium List 2 Accent 5" w:uiPriority="66" w:qFormat="1"/>
    <w:lsdException w:name="Medium Grid 1 Accent 5" w:uiPriority="67" w:qFormat="1"/>
    <w:lsdException w:name="Medium Grid 2 Accent 5" w:uiPriority="68" w:qFormat="1"/>
    <w:lsdException w:name="Medium Grid 3 Accent 5" w:uiPriority="69" w:qFormat="1"/>
    <w:lsdException w:name="Dark List Accent 5" w:uiPriority="70" w:qFormat="1"/>
    <w:lsdException w:name="Colorful Shading Accent 5" w:uiPriority="71" w:qFormat="1"/>
    <w:lsdException w:name="Colorful List Accent 5" w:uiPriority="72" w:qFormat="1"/>
    <w:lsdException w:name="Colorful Grid Accent 5" w:uiPriority="73" w:qFormat="1"/>
    <w:lsdException w:name="Light Shading Accent 6" w:uiPriority="60" w:qFormat="1"/>
    <w:lsdException w:name="Light List Accent 6" w:uiPriority="61" w:qFormat="1"/>
    <w:lsdException w:name="Light Grid Accent 6" w:uiPriority="62" w:qFormat="1"/>
    <w:lsdException w:name="Medium Shading 1 Accent 6" w:uiPriority="63" w:qFormat="1"/>
    <w:lsdException w:name="Medium Shading 2 Accent 6" w:uiPriority="64" w:qFormat="1"/>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qFormat="1"/>
    <w:lsdException w:name="Colorful Shading Accent 6" w:uiPriority="71" w:qFormat="1"/>
    <w:lsdException w:name="Colorful List Accent 6" w:uiPriority="72" w:qFormat="1"/>
    <w:lsdException w:name="Colorful Grid Accent 6" w:uiPriority="73" w:qFormat="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pPr>
      <w:spacing w:after="200" w:line="560" w:lineRule="exact"/>
    </w:pPr>
    <w:rPr>
      <w:rFonts w:ascii="仿宋_GB2312" w:eastAsia="仿宋_GB2312" w:hAnsi="仿宋_GB2312" w:cstheme="minorBidi"/>
      <w:sz w:val="32"/>
      <w:szCs w:val="22"/>
      <w:lang w:eastAsia="en-US"/>
    </w:rPr>
  </w:style>
  <w:style w:type="paragraph" w:styleId="1">
    <w:name w:val="heading 1"/>
    <w:basedOn w:val="a1"/>
    <w:next w:val="a1"/>
    <w:link w:val="10"/>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pPr>
      <w:keepNext/>
      <w:keepLines/>
      <w:spacing w:before="200" w:after="0"/>
      <w:outlineLvl w:val="4"/>
    </w:pPr>
    <w:rPr>
      <w:rFonts w:asciiTheme="majorHAnsi" w:eastAsiaTheme="majorEastAsia" w:hAnsiTheme="majorHAnsi" w:cstheme="majorBidi"/>
      <w:color w:val="244061" w:themeColor="accent1" w:themeShade="80"/>
    </w:rPr>
  </w:style>
  <w:style w:type="paragraph" w:styleId="6">
    <w:name w:val="heading 6"/>
    <w:basedOn w:val="a1"/>
    <w:next w:val="a1"/>
    <w:link w:val="60"/>
    <w:uiPriority w:val="9"/>
    <w:semiHidden/>
    <w:unhideWhenUsed/>
    <w:qFormat/>
    <w:pPr>
      <w:keepNext/>
      <w:keepLines/>
      <w:spacing w:before="200" w:after="0"/>
      <w:outlineLvl w:val="5"/>
    </w:pPr>
    <w:rPr>
      <w:rFonts w:asciiTheme="majorHAnsi" w:eastAsiaTheme="majorEastAsia" w:hAnsiTheme="majorHAnsi" w:cstheme="majorBidi"/>
      <w:i/>
      <w:iCs/>
      <w:color w:val="244061" w:themeColor="accent1" w:themeShade="80"/>
    </w:rPr>
  </w:style>
  <w:style w:type="paragraph" w:styleId="7">
    <w:name w:val="heading 7"/>
    <w:basedOn w:val="a1"/>
    <w:next w:val="a1"/>
    <w:link w:val="70"/>
    <w:uiPriority w:val="9"/>
    <w:semiHidden/>
    <w:unhideWhenUsed/>
    <w:qFormat/>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macro"/>
    <w:link w:val="a6"/>
    <w:uiPriority w:val="99"/>
    <w:unhideWhenUsed/>
    <w:qFormat/>
    <w:pPr>
      <w:tabs>
        <w:tab w:val="left" w:pos="576"/>
        <w:tab w:val="left" w:pos="1152"/>
        <w:tab w:val="left" w:pos="1728"/>
        <w:tab w:val="left" w:pos="2304"/>
        <w:tab w:val="left" w:pos="2880"/>
        <w:tab w:val="left" w:pos="3456"/>
        <w:tab w:val="left" w:pos="4032"/>
      </w:tabs>
      <w:spacing w:after="200" w:line="276" w:lineRule="auto"/>
    </w:pPr>
    <w:rPr>
      <w:rFonts w:ascii="Courier" w:eastAsiaTheme="minorEastAsia" w:hAnsi="Courier" w:cstheme="minorBidi"/>
      <w:lang w:eastAsia="en-US"/>
    </w:rPr>
  </w:style>
  <w:style w:type="paragraph" w:styleId="33">
    <w:name w:val="List 3"/>
    <w:basedOn w:val="a1"/>
    <w:uiPriority w:val="99"/>
    <w:unhideWhenUsed/>
    <w:qFormat/>
    <w:pPr>
      <w:ind w:left="1080" w:hanging="360"/>
      <w:contextualSpacing/>
    </w:pPr>
  </w:style>
  <w:style w:type="paragraph" w:styleId="2">
    <w:name w:val="List Number 2"/>
    <w:basedOn w:val="a1"/>
    <w:uiPriority w:val="99"/>
    <w:unhideWhenUsed/>
    <w:qFormat/>
    <w:pPr>
      <w:numPr>
        <w:numId w:val="1"/>
      </w:numPr>
      <w:contextualSpacing/>
    </w:pPr>
  </w:style>
  <w:style w:type="paragraph" w:styleId="a">
    <w:name w:val="List Number"/>
    <w:basedOn w:val="a1"/>
    <w:uiPriority w:val="99"/>
    <w:unhideWhenUsed/>
    <w:qFormat/>
    <w:pPr>
      <w:numPr>
        <w:numId w:val="2"/>
      </w:numPr>
      <w:contextualSpacing/>
    </w:pPr>
  </w:style>
  <w:style w:type="paragraph" w:styleId="a7">
    <w:name w:val="caption"/>
    <w:basedOn w:val="a1"/>
    <w:next w:val="a1"/>
    <w:uiPriority w:val="35"/>
    <w:semiHidden/>
    <w:unhideWhenUsed/>
    <w:qFormat/>
    <w:pPr>
      <w:spacing w:line="240" w:lineRule="auto"/>
    </w:pPr>
    <w:rPr>
      <w:b/>
      <w:bCs/>
      <w:color w:val="4F81BD" w:themeColor="accent1"/>
      <w:sz w:val="18"/>
      <w:szCs w:val="18"/>
    </w:rPr>
  </w:style>
  <w:style w:type="paragraph" w:styleId="a0">
    <w:name w:val="List Bullet"/>
    <w:basedOn w:val="a1"/>
    <w:uiPriority w:val="99"/>
    <w:unhideWhenUsed/>
    <w:qFormat/>
    <w:pPr>
      <w:numPr>
        <w:numId w:val="3"/>
      </w:numPr>
      <w:contextualSpacing/>
    </w:pPr>
  </w:style>
  <w:style w:type="paragraph" w:styleId="a8">
    <w:name w:val="annotation text"/>
    <w:basedOn w:val="a1"/>
    <w:uiPriority w:val="99"/>
    <w:semiHidden/>
    <w:unhideWhenUsed/>
    <w:qFormat/>
  </w:style>
  <w:style w:type="paragraph" w:styleId="34">
    <w:name w:val="Body Text 3"/>
    <w:basedOn w:val="a1"/>
    <w:link w:val="35"/>
    <w:uiPriority w:val="99"/>
    <w:unhideWhenUsed/>
    <w:qFormat/>
    <w:pPr>
      <w:spacing w:after="120"/>
    </w:pPr>
    <w:rPr>
      <w:sz w:val="16"/>
      <w:szCs w:val="16"/>
    </w:rPr>
  </w:style>
  <w:style w:type="paragraph" w:styleId="30">
    <w:name w:val="List Bullet 3"/>
    <w:basedOn w:val="a1"/>
    <w:uiPriority w:val="99"/>
    <w:unhideWhenUsed/>
    <w:qFormat/>
    <w:pPr>
      <w:numPr>
        <w:numId w:val="4"/>
      </w:numPr>
      <w:contextualSpacing/>
    </w:pPr>
  </w:style>
  <w:style w:type="paragraph" w:styleId="a9">
    <w:name w:val="Body Text"/>
    <w:basedOn w:val="a1"/>
    <w:link w:val="aa"/>
    <w:uiPriority w:val="99"/>
    <w:unhideWhenUsed/>
    <w:qFormat/>
    <w:pPr>
      <w:spacing w:after="120"/>
    </w:pPr>
  </w:style>
  <w:style w:type="paragraph" w:styleId="3">
    <w:name w:val="List Number 3"/>
    <w:basedOn w:val="a1"/>
    <w:uiPriority w:val="99"/>
    <w:unhideWhenUsed/>
    <w:qFormat/>
    <w:pPr>
      <w:numPr>
        <w:numId w:val="5"/>
      </w:numPr>
      <w:contextualSpacing/>
    </w:pPr>
  </w:style>
  <w:style w:type="paragraph" w:styleId="23">
    <w:name w:val="List 2"/>
    <w:basedOn w:val="a1"/>
    <w:uiPriority w:val="99"/>
    <w:unhideWhenUsed/>
    <w:qFormat/>
    <w:pPr>
      <w:ind w:left="720" w:hanging="360"/>
      <w:contextualSpacing/>
    </w:pPr>
  </w:style>
  <w:style w:type="paragraph" w:styleId="ab">
    <w:name w:val="List Continue"/>
    <w:basedOn w:val="a1"/>
    <w:uiPriority w:val="99"/>
    <w:unhideWhenUsed/>
    <w:qFormat/>
    <w:pPr>
      <w:spacing w:after="120"/>
      <w:ind w:left="360"/>
      <w:contextualSpacing/>
    </w:pPr>
  </w:style>
  <w:style w:type="paragraph" w:styleId="20">
    <w:name w:val="List Bullet 2"/>
    <w:basedOn w:val="a1"/>
    <w:uiPriority w:val="99"/>
    <w:unhideWhenUsed/>
    <w:qFormat/>
    <w:pPr>
      <w:numPr>
        <w:numId w:val="6"/>
      </w:numPr>
      <w:contextualSpacing/>
    </w:pPr>
  </w:style>
  <w:style w:type="paragraph" w:styleId="ac">
    <w:name w:val="footer"/>
    <w:basedOn w:val="a1"/>
    <w:link w:val="ad"/>
    <w:uiPriority w:val="99"/>
    <w:unhideWhenUsed/>
    <w:qFormat/>
    <w:pPr>
      <w:tabs>
        <w:tab w:val="center" w:pos="4680"/>
        <w:tab w:val="right" w:pos="9360"/>
      </w:tabs>
      <w:spacing w:after="0" w:line="240" w:lineRule="auto"/>
    </w:pPr>
  </w:style>
  <w:style w:type="paragraph" w:styleId="ae">
    <w:name w:val="header"/>
    <w:basedOn w:val="a1"/>
    <w:link w:val="af"/>
    <w:uiPriority w:val="99"/>
    <w:unhideWhenUsed/>
    <w:qFormat/>
    <w:pPr>
      <w:tabs>
        <w:tab w:val="center" w:pos="4680"/>
        <w:tab w:val="right" w:pos="9360"/>
      </w:tabs>
      <w:spacing w:after="0" w:line="240" w:lineRule="auto"/>
    </w:pPr>
  </w:style>
  <w:style w:type="paragraph" w:styleId="af0">
    <w:name w:val="Subtitle"/>
    <w:basedOn w:val="a1"/>
    <w:next w:val="a1"/>
    <w:link w:val="af1"/>
    <w:uiPriority w:val="11"/>
    <w:qFormat/>
    <w:rPr>
      <w:rFonts w:asciiTheme="majorHAnsi" w:eastAsiaTheme="majorEastAsia" w:hAnsiTheme="majorHAnsi" w:cstheme="majorBidi"/>
      <w:i/>
      <w:iCs/>
      <w:color w:val="4F81BD" w:themeColor="accent1"/>
      <w:spacing w:val="15"/>
      <w:sz w:val="24"/>
      <w:szCs w:val="24"/>
    </w:rPr>
  </w:style>
  <w:style w:type="paragraph" w:styleId="af2">
    <w:name w:val="List"/>
    <w:basedOn w:val="a1"/>
    <w:uiPriority w:val="99"/>
    <w:unhideWhenUsed/>
    <w:qFormat/>
    <w:pPr>
      <w:ind w:left="360" w:hanging="360"/>
      <w:contextualSpacing/>
    </w:pPr>
  </w:style>
  <w:style w:type="paragraph" w:styleId="24">
    <w:name w:val="Body Text 2"/>
    <w:basedOn w:val="a1"/>
    <w:link w:val="25"/>
    <w:uiPriority w:val="99"/>
    <w:unhideWhenUsed/>
    <w:qFormat/>
    <w:pPr>
      <w:spacing w:after="120" w:line="480" w:lineRule="auto"/>
    </w:pPr>
  </w:style>
  <w:style w:type="paragraph" w:styleId="26">
    <w:name w:val="List Continue 2"/>
    <w:basedOn w:val="a1"/>
    <w:uiPriority w:val="99"/>
    <w:unhideWhenUsed/>
    <w:qFormat/>
    <w:pPr>
      <w:spacing w:after="120"/>
      <w:ind w:left="720"/>
      <w:contextualSpacing/>
    </w:pPr>
  </w:style>
  <w:style w:type="paragraph" w:styleId="af3">
    <w:name w:val="Normal (Web)"/>
    <w:basedOn w:val="a1"/>
    <w:uiPriority w:val="99"/>
    <w:semiHidden/>
    <w:unhideWhenUsed/>
    <w:qFormat/>
    <w:pPr>
      <w:spacing w:beforeAutospacing="1" w:after="0" w:afterAutospacing="1"/>
    </w:pPr>
    <w:rPr>
      <w:rFonts w:cs="Times New Roman"/>
      <w:sz w:val="24"/>
      <w:lang w:eastAsia="zh-CN"/>
    </w:rPr>
  </w:style>
  <w:style w:type="paragraph" w:styleId="36">
    <w:name w:val="List Continue 3"/>
    <w:basedOn w:val="a1"/>
    <w:uiPriority w:val="99"/>
    <w:unhideWhenUsed/>
    <w:qFormat/>
    <w:pPr>
      <w:spacing w:after="120"/>
      <w:ind w:left="1080"/>
      <w:contextualSpacing/>
    </w:pPr>
  </w:style>
  <w:style w:type="paragraph" w:styleId="af4">
    <w:name w:val="Title"/>
    <w:basedOn w:val="a1"/>
    <w:next w:val="a1"/>
    <w:link w:val="af5"/>
    <w:uiPriority w:val="10"/>
    <w:qFormat/>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table" w:styleId="af6">
    <w:name w:val="Table Grid"/>
    <w:basedOn w:val="a3"/>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7">
    <w:name w:val="Light Shading"/>
    <w:basedOn w:val="a3"/>
    <w:uiPriority w:val="60"/>
    <w:qFormat/>
    <w:rPr>
      <w:color w:val="000000" w:themeColor="text1" w:themeShade="BF"/>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qFormat/>
    <w:rPr>
      <w:color w:val="365F91" w:themeColor="accent1" w:themeShade="BF"/>
    </w:rPr>
    <w:tblPr>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qFormat/>
    <w:rPr>
      <w:color w:val="943634" w:themeColor="accent2" w:themeShade="BF"/>
    </w:rPr>
    <w:tblPr>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qFormat/>
    <w:rPr>
      <w:color w:val="76923C" w:themeColor="accent3" w:themeShade="BF"/>
    </w:rPr>
    <w:tblPr>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qFormat/>
    <w:rPr>
      <w:color w:val="5F497A" w:themeColor="accent4" w:themeShade="BF"/>
    </w:rPr>
    <w:tblPr>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qFormat/>
    <w:rPr>
      <w:color w:val="31849B" w:themeColor="accent5" w:themeShade="BF"/>
    </w:rPr>
    <w:tblPr>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qFormat/>
    <w:rPr>
      <w:color w:val="E36C0A" w:themeColor="accent6" w:themeShade="BF"/>
    </w:rPr>
    <w:tblPr>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8">
    <w:name w:val="Light List"/>
    <w:basedOn w:val="a3"/>
    <w:uiPriority w:val="61"/>
    <w:qFormat/>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qFormat/>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qFormat/>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qFormat/>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qFormat/>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qFormat/>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qFormat/>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9">
    <w:name w:val="Light Grid"/>
    <w:basedOn w:val="a3"/>
    <w:uiPriority w:val="62"/>
    <w:qFormat/>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tcPr>
    </w:tblStylePr>
  </w:style>
  <w:style w:type="table" w:styleId="-11">
    <w:name w:val="Light Grid Accent 1"/>
    <w:basedOn w:val="a3"/>
    <w:uiPriority w:val="62"/>
    <w:qFormat/>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tcPr>
    </w:tblStylePr>
  </w:style>
  <w:style w:type="table" w:styleId="-21">
    <w:name w:val="Light Grid Accent 2"/>
    <w:basedOn w:val="a3"/>
    <w:uiPriority w:val="62"/>
    <w:qFormat/>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tcPr>
    </w:tblStylePr>
  </w:style>
  <w:style w:type="table" w:styleId="-31">
    <w:name w:val="Light Grid Accent 3"/>
    <w:basedOn w:val="a3"/>
    <w:uiPriority w:val="62"/>
    <w:qFormat/>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tcPr>
    </w:tblStylePr>
  </w:style>
  <w:style w:type="table" w:styleId="-41">
    <w:name w:val="Light Grid Accent 4"/>
    <w:basedOn w:val="a3"/>
    <w:uiPriority w:val="62"/>
    <w:qFormat/>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tcPr>
    </w:tblStylePr>
  </w:style>
  <w:style w:type="table" w:styleId="-51">
    <w:name w:val="Light Grid Accent 5"/>
    <w:basedOn w:val="a3"/>
    <w:uiPriority w:val="62"/>
    <w:qFormat/>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tcPr>
    </w:tblStylePr>
  </w:style>
  <w:style w:type="table" w:styleId="-61">
    <w:name w:val="Light Grid Accent 6"/>
    <w:basedOn w:val="a3"/>
    <w:uiPriority w:val="62"/>
    <w:qFormat/>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tcPr>
    </w:tblStylePr>
  </w:style>
  <w:style w:type="table" w:styleId="11">
    <w:name w:val="Medium Shading 1"/>
    <w:basedOn w:val="a3"/>
    <w:uiPriority w:val="63"/>
    <w:qFormat/>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qFormat/>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qFormat/>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qFormat/>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qFormat/>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qFormat/>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qFormat/>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qFormat/>
    <w:rPr>
      <w:color w:val="000000" w:themeColor="text1"/>
    </w:rPr>
    <w:tblPr>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qFormat/>
    <w:rPr>
      <w:color w:val="000000" w:themeColor="text1"/>
    </w:rPr>
    <w:tblPr>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qFormat/>
    <w:rPr>
      <w:color w:val="000000" w:themeColor="text1"/>
    </w:rPr>
    <w:tblPr>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qFormat/>
    <w:rPr>
      <w:color w:val="000000" w:themeColor="text1"/>
    </w:rPr>
    <w:tblPr>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qFormat/>
    <w:rPr>
      <w:color w:val="000000" w:themeColor="text1"/>
    </w:rPr>
    <w:tblPr>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qFormat/>
    <w:rPr>
      <w:color w:val="000000" w:themeColor="text1"/>
    </w:rPr>
    <w:tblPr>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qFormat/>
    <w:rPr>
      <w:color w:val="000000" w:themeColor="text1"/>
    </w:rPr>
    <w:tblPr>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qFormat/>
    <w:rPr>
      <w:rFonts w:asciiTheme="majorHAnsi" w:eastAsiaTheme="majorEastAsia" w:hAnsiTheme="majorHAnsi" w:cstheme="majorBidi"/>
      <w:color w:val="000000" w:themeColor="text1"/>
    </w:rPr>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qFormat/>
    <w:rPr>
      <w:rFonts w:asciiTheme="majorHAnsi" w:eastAsiaTheme="majorEastAsia" w:hAnsiTheme="majorHAnsi" w:cstheme="majorBidi"/>
      <w:color w:val="000000" w:themeColor="text1"/>
    </w:rPr>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qFormat/>
    <w:rPr>
      <w:rFonts w:asciiTheme="majorHAnsi" w:eastAsiaTheme="majorEastAsia" w:hAnsiTheme="majorHAnsi" w:cstheme="majorBidi"/>
      <w:color w:val="000000" w:themeColor="text1"/>
    </w:rPr>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qFormat/>
    <w:rPr>
      <w:rFonts w:asciiTheme="majorHAnsi" w:eastAsiaTheme="majorEastAsia" w:hAnsiTheme="majorHAnsi" w:cstheme="majorBidi"/>
      <w:color w:val="000000" w:themeColor="text1"/>
    </w:rPr>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qFormat/>
    <w:rPr>
      <w:rFonts w:asciiTheme="majorHAnsi" w:eastAsiaTheme="majorEastAsia" w:hAnsiTheme="majorHAnsi" w:cstheme="majorBidi"/>
      <w:color w:val="000000" w:themeColor="text1"/>
    </w:rPr>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qFormat/>
    <w:rPr>
      <w:rFonts w:asciiTheme="majorHAnsi" w:eastAsiaTheme="majorEastAsia" w:hAnsiTheme="majorHAnsi" w:cstheme="majorBidi"/>
      <w:color w:val="000000" w:themeColor="text1"/>
    </w:rPr>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qFormat/>
    <w:rPr>
      <w:rFonts w:asciiTheme="majorHAnsi" w:eastAsiaTheme="majorEastAsia" w:hAnsiTheme="majorHAnsi" w:cstheme="majorBidi"/>
      <w:color w:val="000000" w:themeColor="text1"/>
    </w:rPr>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qFormat/>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qFormat/>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qFormat/>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qFormat/>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qFormat/>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qFormat/>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qFormat/>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qFormat/>
    <w:rPr>
      <w:rFonts w:asciiTheme="majorHAnsi" w:eastAsiaTheme="majorEastAsia" w:hAnsiTheme="majorHAnsi" w:cstheme="majorBidi"/>
      <w:color w:val="000000" w:themeColor="text1"/>
    </w:rPr>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auto"/>
          <w:insideV w:val="single" w:sz="6" w:space="0" w:color="auto"/>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qFormat/>
    <w:rPr>
      <w:rFonts w:asciiTheme="majorHAnsi" w:eastAsiaTheme="majorEastAsia" w:hAnsiTheme="majorHAnsi" w:cstheme="majorBidi"/>
      <w:color w:val="000000" w:themeColor="text1"/>
    </w:rPr>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auto"/>
          <w:insideV w:val="single" w:sz="6" w:space="0" w:color="auto"/>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qFormat/>
    <w:rPr>
      <w:rFonts w:asciiTheme="majorHAnsi" w:eastAsiaTheme="majorEastAsia" w:hAnsiTheme="majorHAnsi" w:cstheme="majorBidi"/>
      <w:color w:val="000000" w:themeColor="text1"/>
    </w:rPr>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auto"/>
          <w:insideV w:val="single" w:sz="6" w:space="0" w:color="auto"/>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qFormat/>
    <w:rPr>
      <w:rFonts w:asciiTheme="majorHAnsi" w:eastAsiaTheme="majorEastAsia" w:hAnsiTheme="majorHAnsi" w:cstheme="majorBidi"/>
      <w:color w:val="000000" w:themeColor="text1"/>
    </w:rPr>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auto"/>
          <w:insideV w:val="single" w:sz="6" w:space="0" w:color="auto"/>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qFormat/>
    <w:rPr>
      <w:rFonts w:asciiTheme="majorHAnsi" w:eastAsiaTheme="majorEastAsia" w:hAnsiTheme="majorHAnsi" w:cstheme="majorBidi"/>
      <w:color w:val="000000" w:themeColor="text1"/>
    </w:rPr>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auto"/>
          <w:insideV w:val="single" w:sz="6" w:space="0" w:color="auto"/>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qFormat/>
    <w:rPr>
      <w:rFonts w:asciiTheme="majorHAnsi" w:eastAsiaTheme="majorEastAsia" w:hAnsiTheme="majorHAnsi" w:cstheme="majorBidi"/>
      <w:color w:val="000000" w:themeColor="text1"/>
    </w:rPr>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auto"/>
          <w:insideV w:val="single" w:sz="6" w:space="0" w:color="auto"/>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qFormat/>
    <w:rPr>
      <w:rFonts w:asciiTheme="majorHAnsi" w:eastAsiaTheme="majorEastAsia" w:hAnsiTheme="majorHAnsi" w:cstheme="majorBidi"/>
      <w:color w:val="000000" w:themeColor="text1"/>
    </w:rPr>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auto"/>
          <w:insideV w:val="single" w:sz="6" w:space="0" w:color="auto"/>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808080" w:themeFill="text1" w:themeFillTint="7F"/>
      </w:tcPr>
    </w:tblStylePr>
  </w:style>
  <w:style w:type="table" w:styleId="3-1">
    <w:name w:val="Medium Grid 3 Accent 1"/>
    <w:basedOn w:val="a3"/>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7BFDE" w:themeFill="accent1" w:themeFillTint="7F"/>
      </w:tcPr>
    </w:tblStylePr>
  </w:style>
  <w:style w:type="table" w:styleId="3-2">
    <w:name w:val="Medium Grid 3 Accent 2"/>
    <w:basedOn w:val="a3"/>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DFA7A6" w:themeFill="accent2" w:themeFillTint="7F"/>
      </w:tcPr>
    </w:tblStylePr>
  </w:style>
  <w:style w:type="table" w:styleId="3-3">
    <w:name w:val="Medium Grid 3 Accent 3"/>
    <w:basedOn w:val="a3"/>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CDDDAC" w:themeFill="accent3" w:themeFillTint="7F"/>
      </w:tcPr>
    </w:tblStylePr>
  </w:style>
  <w:style w:type="table" w:styleId="3-4">
    <w:name w:val="Medium Grid 3 Accent 4"/>
    <w:basedOn w:val="a3"/>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BFB1D0" w:themeFill="accent4" w:themeFillTint="7F"/>
      </w:tcPr>
    </w:tblStylePr>
  </w:style>
  <w:style w:type="table" w:styleId="3-5">
    <w:name w:val="Medium Grid 3 Accent 5"/>
    <w:basedOn w:val="a3"/>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5D5E2" w:themeFill="accent5" w:themeFillTint="7F"/>
      </w:tcPr>
    </w:tblStylePr>
  </w:style>
  <w:style w:type="table" w:styleId="3-6">
    <w:name w:val="Medium Grid 3 Accent 6"/>
    <w:basedOn w:val="a3"/>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FBCAA2" w:themeFill="accent6" w:themeFillTint="7F"/>
      </w:tcPr>
    </w:tblStylePr>
  </w:style>
  <w:style w:type="table" w:styleId="afa">
    <w:name w:val="Dark List"/>
    <w:basedOn w:val="a3"/>
    <w:uiPriority w:val="70"/>
    <w:qFormat/>
    <w:rPr>
      <w:color w:val="FFFFFF" w:themeColor="background1"/>
    </w:rP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qFormat/>
    <w:rPr>
      <w:color w:val="FFFFFF" w:themeColor="background1"/>
    </w:rP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qFormat/>
    <w:rPr>
      <w:color w:val="FFFFFF" w:themeColor="background1"/>
    </w:rP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qFormat/>
    <w:rPr>
      <w:color w:val="FFFFFF" w:themeColor="background1"/>
    </w:rP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qFormat/>
    <w:rPr>
      <w:color w:val="FFFFFF" w:themeColor="background1"/>
    </w:rP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qFormat/>
    <w:rPr>
      <w:color w:val="FFFFFF" w:themeColor="background1"/>
    </w:rP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qFormat/>
    <w:rPr>
      <w:color w:val="FFFFFF" w:themeColor="background1"/>
    </w:rP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b">
    <w:name w:val="Colorful Shading"/>
    <w:basedOn w:val="a3"/>
    <w:uiPriority w:val="71"/>
    <w:qFormat/>
    <w:rPr>
      <w:color w:val="000000" w:themeColor="text1"/>
    </w:rPr>
    <w:tblPr>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qFormat/>
    <w:rPr>
      <w:color w:val="000000" w:themeColor="text1"/>
    </w:rPr>
    <w:tblPr>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qFormat/>
    <w:rPr>
      <w:color w:val="000000" w:themeColor="text1"/>
    </w:rPr>
    <w:tblPr>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qFormat/>
    <w:rPr>
      <w:color w:val="000000" w:themeColor="text1"/>
    </w:rPr>
    <w:tblPr>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qFormat/>
    <w:rPr>
      <w:color w:val="000000" w:themeColor="text1"/>
    </w:rPr>
    <w:tblPr>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qFormat/>
    <w:rPr>
      <w:color w:val="000000" w:themeColor="text1"/>
    </w:rPr>
    <w:tblPr>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qFormat/>
    <w:rPr>
      <w:color w:val="000000" w:themeColor="text1"/>
    </w:rPr>
    <w:tblPr>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c">
    <w:name w:val="Colorful List"/>
    <w:basedOn w:val="a3"/>
    <w:uiPriority w:val="72"/>
    <w:qFormat/>
    <w:rPr>
      <w:color w:val="000000" w:themeColor="text1"/>
    </w:rP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qFormat/>
    <w:rPr>
      <w:color w:val="000000" w:themeColor="text1"/>
    </w:rP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qFormat/>
    <w:rPr>
      <w:color w:val="000000" w:themeColor="text1"/>
    </w:rP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qFormat/>
    <w:rPr>
      <w:color w:val="000000" w:themeColor="text1"/>
    </w:rP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qFormat/>
    <w:rPr>
      <w:color w:val="000000" w:themeColor="text1"/>
    </w:rP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qFormat/>
    <w:rPr>
      <w:color w:val="000000" w:themeColor="text1"/>
    </w:rP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qFormat/>
    <w:rPr>
      <w:color w:val="000000" w:themeColor="text1"/>
    </w:rP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d">
    <w:name w:val="Colorful Grid"/>
    <w:basedOn w:val="a3"/>
    <w:uiPriority w:val="73"/>
    <w:qFormat/>
    <w:rPr>
      <w:color w:val="000000" w:themeColor="text1"/>
    </w:rPr>
    <w:tblPr>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qFormat/>
    <w:rPr>
      <w:color w:val="000000" w:themeColor="text1"/>
    </w:rPr>
    <w:tblPr>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qFormat/>
    <w:rPr>
      <w:color w:val="000000" w:themeColor="text1"/>
    </w:rPr>
    <w:tblPr>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qFormat/>
    <w:rPr>
      <w:color w:val="000000" w:themeColor="text1"/>
    </w:rPr>
    <w:tblPr>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qFormat/>
    <w:rPr>
      <w:color w:val="000000" w:themeColor="text1"/>
    </w:rPr>
    <w:tblPr>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qFormat/>
    <w:rPr>
      <w:color w:val="000000" w:themeColor="text1"/>
    </w:rPr>
    <w:tblPr>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qFormat/>
    <w:rPr>
      <w:color w:val="000000" w:themeColor="text1"/>
    </w:rPr>
    <w:tblPr>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afe">
    <w:name w:val="Strong"/>
    <w:basedOn w:val="a2"/>
    <w:uiPriority w:val="22"/>
    <w:qFormat/>
    <w:rPr>
      <w:b/>
      <w:bCs/>
    </w:rPr>
  </w:style>
  <w:style w:type="character" w:styleId="aff">
    <w:name w:val="Emphasis"/>
    <w:basedOn w:val="a2"/>
    <w:uiPriority w:val="20"/>
    <w:qFormat/>
    <w:rPr>
      <w:i/>
      <w:iCs/>
    </w:rPr>
  </w:style>
  <w:style w:type="character" w:customStyle="1" w:styleId="af">
    <w:name w:val="页眉 字符"/>
    <w:basedOn w:val="a2"/>
    <w:link w:val="ae"/>
    <w:uiPriority w:val="99"/>
    <w:qFormat/>
  </w:style>
  <w:style w:type="character" w:customStyle="1" w:styleId="ad">
    <w:name w:val="页脚 字符"/>
    <w:basedOn w:val="a2"/>
    <w:link w:val="ac"/>
    <w:uiPriority w:val="99"/>
    <w:qFormat/>
  </w:style>
  <w:style w:type="paragraph" w:styleId="aff0">
    <w:name w:val="No Spacing"/>
    <w:uiPriority w:val="1"/>
    <w:qFormat/>
    <w:rPr>
      <w:rFonts w:asciiTheme="minorHAnsi" w:eastAsiaTheme="minorEastAsia" w:hAnsiTheme="minorHAnsi" w:cstheme="minorBidi"/>
      <w:sz w:val="22"/>
      <w:szCs w:val="22"/>
      <w:lang w:eastAsia="en-US"/>
    </w:rPr>
  </w:style>
  <w:style w:type="character" w:customStyle="1" w:styleId="10">
    <w:name w:val="标题 1 字符"/>
    <w:basedOn w:val="a2"/>
    <w:link w:val="1"/>
    <w:uiPriority w:val="9"/>
    <w:qFormat/>
    <w:rPr>
      <w:rFonts w:asciiTheme="majorHAnsi" w:eastAsiaTheme="majorEastAsia" w:hAnsiTheme="majorHAnsi" w:cstheme="majorBidi"/>
      <w:b/>
      <w:bCs/>
      <w:color w:val="365F91" w:themeColor="accent1" w:themeShade="BF"/>
      <w:sz w:val="28"/>
      <w:szCs w:val="28"/>
    </w:rPr>
  </w:style>
  <w:style w:type="character" w:customStyle="1" w:styleId="22">
    <w:name w:val="标题 2 字符"/>
    <w:basedOn w:val="a2"/>
    <w:link w:val="21"/>
    <w:uiPriority w:val="9"/>
    <w:qFormat/>
    <w:rPr>
      <w:rFonts w:asciiTheme="majorHAnsi" w:eastAsiaTheme="majorEastAsia" w:hAnsiTheme="majorHAnsi" w:cstheme="majorBidi"/>
      <w:b/>
      <w:bCs/>
      <w:color w:val="4F81BD" w:themeColor="accent1"/>
      <w:sz w:val="26"/>
      <w:szCs w:val="26"/>
    </w:rPr>
  </w:style>
  <w:style w:type="character" w:customStyle="1" w:styleId="32">
    <w:name w:val="标题 3 字符"/>
    <w:basedOn w:val="a2"/>
    <w:link w:val="31"/>
    <w:uiPriority w:val="9"/>
    <w:qFormat/>
    <w:rPr>
      <w:rFonts w:asciiTheme="majorHAnsi" w:eastAsiaTheme="majorEastAsia" w:hAnsiTheme="majorHAnsi" w:cstheme="majorBidi"/>
      <w:b/>
      <w:bCs/>
      <w:color w:val="4F81BD" w:themeColor="accent1"/>
    </w:rPr>
  </w:style>
  <w:style w:type="character" w:customStyle="1" w:styleId="af5">
    <w:name w:val="标题 字符"/>
    <w:basedOn w:val="a2"/>
    <w:link w:val="af4"/>
    <w:uiPriority w:val="10"/>
    <w:qFormat/>
    <w:rPr>
      <w:rFonts w:asciiTheme="majorHAnsi" w:eastAsiaTheme="majorEastAsia" w:hAnsiTheme="majorHAnsi" w:cstheme="majorBidi"/>
      <w:color w:val="17365D" w:themeColor="text2" w:themeShade="BF"/>
      <w:spacing w:val="5"/>
      <w:kern w:val="28"/>
      <w:sz w:val="52"/>
      <w:szCs w:val="52"/>
    </w:rPr>
  </w:style>
  <w:style w:type="character" w:customStyle="1" w:styleId="af1">
    <w:name w:val="副标题 字符"/>
    <w:basedOn w:val="a2"/>
    <w:link w:val="af0"/>
    <w:uiPriority w:val="11"/>
    <w:qFormat/>
    <w:rPr>
      <w:rFonts w:asciiTheme="majorHAnsi" w:eastAsiaTheme="majorEastAsia" w:hAnsiTheme="majorHAnsi" w:cstheme="majorBidi"/>
      <w:i/>
      <w:iCs/>
      <w:color w:val="4F81BD" w:themeColor="accent1"/>
      <w:spacing w:val="15"/>
      <w:sz w:val="24"/>
      <w:szCs w:val="24"/>
    </w:rPr>
  </w:style>
  <w:style w:type="paragraph" w:styleId="aff1">
    <w:name w:val="List Paragraph"/>
    <w:basedOn w:val="a1"/>
    <w:uiPriority w:val="34"/>
    <w:qFormat/>
    <w:pPr>
      <w:ind w:left="720"/>
      <w:contextualSpacing/>
    </w:pPr>
  </w:style>
  <w:style w:type="character" w:customStyle="1" w:styleId="aa">
    <w:name w:val="正文文本 字符"/>
    <w:basedOn w:val="a2"/>
    <w:link w:val="a9"/>
    <w:uiPriority w:val="99"/>
    <w:qFormat/>
  </w:style>
  <w:style w:type="character" w:customStyle="1" w:styleId="25">
    <w:name w:val="正文文本 2 字符"/>
    <w:basedOn w:val="a2"/>
    <w:link w:val="24"/>
    <w:uiPriority w:val="99"/>
    <w:qFormat/>
  </w:style>
  <w:style w:type="character" w:customStyle="1" w:styleId="35">
    <w:name w:val="正文文本 3 字符"/>
    <w:basedOn w:val="a2"/>
    <w:link w:val="34"/>
    <w:uiPriority w:val="99"/>
    <w:qFormat/>
    <w:rPr>
      <w:sz w:val="16"/>
      <w:szCs w:val="16"/>
    </w:rPr>
  </w:style>
  <w:style w:type="character" w:customStyle="1" w:styleId="a6">
    <w:name w:val="宏文本 字符"/>
    <w:basedOn w:val="a2"/>
    <w:link w:val="a5"/>
    <w:uiPriority w:val="99"/>
    <w:qFormat/>
    <w:rPr>
      <w:rFonts w:ascii="Courier" w:hAnsi="Courier"/>
      <w:sz w:val="20"/>
      <w:szCs w:val="20"/>
    </w:rPr>
  </w:style>
  <w:style w:type="paragraph" w:styleId="aff2">
    <w:name w:val="Quote"/>
    <w:basedOn w:val="a1"/>
    <w:next w:val="a1"/>
    <w:link w:val="aff3"/>
    <w:uiPriority w:val="29"/>
    <w:qFormat/>
    <w:rPr>
      <w:i/>
      <w:iCs/>
      <w:color w:val="000000" w:themeColor="text1"/>
    </w:rPr>
  </w:style>
  <w:style w:type="character" w:customStyle="1" w:styleId="aff3">
    <w:name w:val="引用 字符"/>
    <w:basedOn w:val="a2"/>
    <w:link w:val="aff2"/>
    <w:uiPriority w:val="29"/>
    <w:qFormat/>
    <w:rPr>
      <w:i/>
      <w:iCs/>
      <w:color w:val="000000" w:themeColor="text1"/>
    </w:rPr>
  </w:style>
  <w:style w:type="character" w:customStyle="1" w:styleId="40">
    <w:name w:val="标题 4 字符"/>
    <w:basedOn w:val="a2"/>
    <w:link w:val="4"/>
    <w:uiPriority w:val="9"/>
    <w:semiHidden/>
    <w:qFormat/>
    <w:rPr>
      <w:rFonts w:asciiTheme="majorHAnsi" w:eastAsiaTheme="majorEastAsia" w:hAnsiTheme="majorHAnsi" w:cstheme="majorBidi"/>
      <w:b/>
      <w:bCs/>
      <w:i/>
      <w:iCs/>
      <w:color w:val="4F81BD" w:themeColor="accent1"/>
    </w:rPr>
  </w:style>
  <w:style w:type="character" w:customStyle="1" w:styleId="50">
    <w:name w:val="标题 5 字符"/>
    <w:basedOn w:val="a2"/>
    <w:link w:val="5"/>
    <w:uiPriority w:val="9"/>
    <w:semiHidden/>
    <w:qFormat/>
    <w:rPr>
      <w:rFonts w:asciiTheme="majorHAnsi" w:eastAsiaTheme="majorEastAsia" w:hAnsiTheme="majorHAnsi" w:cstheme="majorBidi"/>
      <w:color w:val="244061" w:themeColor="accent1" w:themeShade="80"/>
    </w:rPr>
  </w:style>
  <w:style w:type="character" w:customStyle="1" w:styleId="60">
    <w:name w:val="标题 6 字符"/>
    <w:basedOn w:val="a2"/>
    <w:link w:val="6"/>
    <w:uiPriority w:val="9"/>
    <w:semiHidden/>
    <w:qFormat/>
    <w:rPr>
      <w:rFonts w:asciiTheme="majorHAnsi" w:eastAsiaTheme="majorEastAsia" w:hAnsiTheme="majorHAnsi" w:cstheme="majorBidi"/>
      <w:i/>
      <w:iCs/>
      <w:color w:val="244061" w:themeColor="accent1" w:themeShade="80"/>
    </w:rPr>
  </w:style>
  <w:style w:type="character" w:customStyle="1" w:styleId="70">
    <w:name w:val="标题 7 字符"/>
    <w:basedOn w:val="a2"/>
    <w:link w:val="7"/>
    <w:uiPriority w:val="9"/>
    <w:semiHidden/>
    <w:qFormat/>
    <w:rPr>
      <w:rFonts w:asciiTheme="majorHAnsi" w:eastAsiaTheme="majorEastAsia" w:hAnsiTheme="majorHAnsi" w:cstheme="majorBidi"/>
      <w:i/>
      <w:iCs/>
      <w:color w:val="404040" w:themeColor="text1" w:themeTint="BF"/>
    </w:rPr>
  </w:style>
  <w:style w:type="character" w:customStyle="1" w:styleId="80">
    <w:name w:val="标题 8 字符"/>
    <w:basedOn w:val="a2"/>
    <w:link w:val="8"/>
    <w:uiPriority w:val="9"/>
    <w:semiHidden/>
    <w:qFormat/>
    <w:rPr>
      <w:rFonts w:asciiTheme="majorHAnsi" w:eastAsiaTheme="majorEastAsia" w:hAnsiTheme="majorHAnsi" w:cstheme="majorBidi"/>
      <w:color w:val="4F81BD" w:themeColor="accent1"/>
      <w:sz w:val="20"/>
      <w:szCs w:val="20"/>
    </w:rPr>
  </w:style>
  <w:style w:type="character" w:customStyle="1" w:styleId="90">
    <w:name w:val="标题 9 字符"/>
    <w:basedOn w:val="a2"/>
    <w:link w:val="9"/>
    <w:uiPriority w:val="9"/>
    <w:semiHidden/>
    <w:qFormat/>
    <w:rPr>
      <w:rFonts w:asciiTheme="majorHAnsi" w:eastAsiaTheme="majorEastAsia" w:hAnsiTheme="majorHAnsi" w:cstheme="majorBidi"/>
      <w:i/>
      <w:iCs/>
      <w:color w:val="404040" w:themeColor="text1" w:themeTint="BF"/>
      <w:sz w:val="20"/>
      <w:szCs w:val="20"/>
    </w:rPr>
  </w:style>
  <w:style w:type="paragraph" w:styleId="aff4">
    <w:name w:val="Intense Quote"/>
    <w:basedOn w:val="a1"/>
    <w:next w:val="a1"/>
    <w:link w:val="aff5"/>
    <w:uiPriority w:val="30"/>
    <w:qFormat/>
    <w:pPr>
      <w:pBdr>
        <w:bottom w:val="single" w:sz="4" w:space="4" w:color="4F81BD" w:themeColor="accent1"/>
      </w:pBdr>
      <w:spacing w:before="200" w:after="280"/>
      <w:ind w:left="936" w:right="936"/>
    </w:pPr>
    <w:rPr>
      <w:b/>
      <w:bCs/>
      <w:i/>
      <w:iCs/>
      <w:color w:val="4F81BD" w:themeColor="accent1"/>
    </w:rPr>
  </w:style>
  <w:style w:type="character" w:customStyle="1" w:styleId="aff5">
    <w:name w:val="明显引用 字符"/>
    <w:basedOn w:val="a2"/>
    <w:link w:val="aff4"/>
    <w:uiPriority w:val="30"/>
    <w:qFormat/>
    <w:rPr>
      <w:b/>
      <w:bCs/>
      <w:i/>
      <w:iCs/>
      <w:color w:val="4F81BD" w:themeColor="accent1"/>
    </w:rPr>
  </w:style>
  <w:style w:type="character" w:customStyle="1" w:styleId="14">
    <w:name w:val="不明显强调1"/>
    <w:basedOn w:val="a2"/>
    <w:uiPriority w:val="19"/>
    <w:qFormat/>
    <w:rPr>
      <w:i/>
      <w:iCs/>
      <w:color w:val="7F7F7F" w:themeColor="text1" w:themeTint="80"/>
    </w:rPr>
  </w:style>
  <w:style w:type="character" w:customStyle="1" w:styleId="15">
    <w:name w:val="明显强调1"/>
    <w:basedOn w:val="a2"/>
    <w:uiPriority w:val="21"/>
    <w:qFormat/>
    <w:rPr>
      <w:b/>
      <w:bCs/>
      <w:i/>
      <w:iCs/>
      <w:color w:val="4F81BD" w:themeColor="accent1"/>
    </w:rPr>
  </w:style>
  <w:style w:type="character" w:customStyle="1" w:styleId="16">
    <w:name w:val="不明显参考1"/>
    <w:basedOn w:val="a2"/>
    <w:uiPriority w:val="31"/>
    <w:qFormat/>
    <w:rPr>
      <w:smallCaps/>
      <w:color w:val="C0504D" w:themeColor="accent2"/>
      <w:u w:val="single"/>
    </w:rPr>
  </w:style>
  <w:style w:type="character" w:customStyle="1" w:styleId="17">
    <w:name w:val="明显参考1"/>
    <w:basedOn w:val="a2"/>
    <w:uiPriority w:val="32"/>
    <w:qFormat/>
    <w:rPr>
      <w:b/>
      <w:bCs/>
      <w:smallCaps/>
      <w:color w:val="C0504D" w:themeColor="accent2"/>
      <w:spacing w:val="5"/>
      <w:u w:val="single"/>
    </w:rPr>
  </w:style>
  <w:style w:type="character" w:customStyle="1" w:styleId="18">
    <w:name w:val="书籍标题1"/>
    <w:basedOn w:val="a2"/>
    <w:uiPriority w:val="33"/>
    <w:qFormat/>
    <w:rPr>
      <w:b/>
      <w:bCs/>
      <w:smallCaps/>
      <w:spacing w:val="5"/>
    </w:rPr>
  </w:style>
  <w:style w:type="paragraph" w:customStyle="1" w:styleId="TOC1">
    <w:name w:val="TOC 标题1"/>
    <w:basedOn w:val="1"/>
    <w:next w:val="a1"/>
    <w:uiPriority w:val="39"/>
    <w:semiHidden/>
    <w:unhideWhenUsed/>
    <w:qFormat/>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19</Pages>
  <Words>1562</Words>
  <Characters>8907</Characters>
  <Application>Microsoft Office Word</Application>
  <DocSecurity>0</DocSecurity>
  <Lines>74</Lines>
  <Paragraphs>20</Paragraphs>
  <ScaleCrop>false</ScaleCrop>
  <Company/>
  <LinksUpToDate>false</LinksUpToDate>
  <CharactersWithSpaces>10449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《河湖健康评价技术指南》编制说明</dc:title>
  <dc:subject>《河湖健康评价技术指南》修订配套编制说明</dc:subject>
  <dc:creator>标准编写组</dc:creator>
  <cp:keywords>河湖健康评价 技术指南 编制说明 上海</cp:keywords>
  <dc:description>generated by python-docx</dc:description>
  <cp:lastModifiedBy>8613918772292</cp:lastModifiedBy>
  <cp:revision>4</cp:revision>
  <dcterms:created xsi:type="dcterms:W3CDTF">2026-10-20T01:30:00Z</dcterms:created>
  <dcterms:modified xsi:type="dcterms:W3CDTF">2026-10-20T01:47:00Z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eyJoZGlkIjoiOTE0MDg1ZTZkYjU1NTc3YzczM2M0OTNiZWQ4YjM3ZDciLCJ1c2VySWQiOiIxMTQxNDU5ODY1In0=</vt:lpwstr>
  </property>
  <property fmtid="{D5CDD505-2E9C-101B-9397-08002B2CF9AE}" pid="3" name="KSOProductBuildVer">
    <vt:lpwstr>2052-12.1.0.29161</vt:lpwstr>
  </property>
  <property fmtid="{D5CDD505-2E9C-101B-9397-08002B2CF9AE}" pid="4" name="ICV">
    <vt:lpwstr>10372F90DE9A4391973F60D7AFDDCF09_12</vt:lpwstr>
  </property>
</Properties>
</file>