
<file path=[Content_Types].xml><?xml version="1.0" encoding="utf-8"?>
<Types xmlns="http://schemas.openxmlformats.org/package/2006/content-types">
  <Default Extension="xml" ContentType="application/xml"/>
  <Default Extension="xlsx" ContentType="application/vnd.openxmlformats-officedocument.spreadsheetml.sheet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olors1.xml" ContentType="application/vnd.ms-office.chartcolorstyle+xml"/>
  <Override PartName="/word/charts/colors2.xml" ContentType="application/vnd.ms-office.chartcolorstyle+xml"/>
  <Override PartName="/word/charts/colors3.xml" ContentType="application/vnd.ms-office.chartcolorstyle+xml"/>
  <Override PartName="/word/charts/colors4.xml" ContentType="application/vnd.ms-office.chartcolorstyle+xml"/>
  <Override PartName="/word/charts/colors5.xml" ContentType="application/vnd.ms-office.chartcolorstyle+xml"/>
  <Override PartName="/word/charts/colors6.xml" ContentType="application/vnd.ms-office.chartcolorstyle+xml"/>
  <Override PartName="/word/charts/style1.xml" ContentType="application/vnd.ms-office.chartstyle+xml"/>
  <Override PartName="/word/charts/style2.xml" ContentType="application/vnd.ms-office.chartstyle+xml"/>
  <Override PartName="/word/charts/style3.xml" ContentType="application/vnd.ms-office.chartstyle+xml"/>
  <Override PartName="/word/charts/style4.xml" ContentType="application/vnd.ms-office.chartstyle+xml"/>
  <Override PartName="/word/charts/style5.xml" ContentType="application/vnd.ms-office.chartstyle+xml"/>
  <Override PartName="/word/charts/style6.xml" ContentType="application/vnd.ms-office.chartstyle+xml"/>
  <Override PartName="/word/diagrams/colors1.xml" ContentType="application/vnd.openxmlformats-officedocument.drawingml.diagramColors+xml"/>
  <Override PartName="/word/diagrams/data1.xml" ContentType="application/vnd.openxmlformats-officedocument.drawingml.diagramData+xml"/>
  <Override PartName="/word/diagrams/drawing1.xml" ContentType="application/vnd.ms-office.drawingml.diagramDrawing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ocument.xml" ContentType="application/vnd.openxmlformats-officedocument.wordprocessingml.document.main+xml"/>
  <Override PartName="/word/drawings/drawing1.xml" ContentType="application/vnd.openxmlformats-officedocument.drawingml.chartshap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theme/themeOverride1.xml" ContentType="application/vnd.openxmlformats-officedocument.themeOverride+xml"/>
  <Override PartName="/word/theme/themeOverride2.xml" ContentType="application/vnd.openxmlformats-officedocument.themeOverride+xml"/>
  <Override PartName="/word/theme/themeOverride3.xml" ContentType="application/vnd.openxmlformats-officedocument.themeOverride+xml"/>
  <Override PartName="/word/theme/themeOverride4.xml" ContentType="application/vnd.openxmlformats-officedocument.themeOverride+xml"/>
  <Override PartName="/word/theme/themeOverride5.xml" ContentType="application/vnd.openxmlformats-officedocument.themeOverride+xml"/>
  <Override PartName="/word/theme/themeOverride6.xml" ContentType="application/vnd.openxmlformats-officedocument.themeOverride+xml"/>
  <Override PartName="/word/theme/themeOverride7.xml" ContentType="application/vnd.openxmlformats-officedocument.themeOverrid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C0A534">
      <w:pPr>
        <w:jc w:val="center"/>
        <w:rPr>
          <w:rFonts w:hint="eastAsia" w:ascii="宋体" w:hAnsi="宋体"/>
          <w:b/>
          <w:sz w:val="44"/>
          <w:szCs w:val="44"/>
        </w:rPr>
      </w:pPr>
      <w:bookmarkStart w:id="0" w:name="_Hlk82851982"/>
    </w:p>
    <w:p w14:paraId="528E7A4E">
      <w:pPr>
        <w:jc w:val="center"/>
        <w:rPr>
          <w:rFonts w:ascii="宋体" w:hAnsi="宋体"/>
          <w:b/>
          <w:sz w:val="44"/>
          <w:szCs w:val="44"/>
        </w:rPr>
      </w:pPr>
    </w:p>
    <w:p w14:paraId="3EF6E7F0">
      <w:pPr>
        <w:jc w:val="center"/>
        <w:rPr>
          <w:rFonts w:ascii="宋体" w:hAnsi="宋体"/>
          <w:b/>
          <w:sz w:val="44"/>
          <w:szCs w:val="44"/>
        </w:rPr>
      </w:pPr>
    </w:p>
    <w:p w14:paraId="212CC7B8">
      <w:pPr>
        <w:jc w:val="center"/>
        <w:rPr>
          <w:rFonts w:ascii="宋体" w:hAnsi="宋体"/>
          <w:b/>
          <w:sz w:val="44"/>
          <w:szCs w:val="44"/>
        </w:rPr>
      </w:pPr>
    </w:p>
    <w:p w14:paraId="4DF6960A">
      <w:pPr>
        <w:jc w:val="center"/>
        <w:rPr>
          <w:rFonts w:ascii="宋体" w:hAnsi="宋体"/>
          <w:b/>
          <w:sz w:val="44"/>
          <w:szCs w:val="44"/>
        </w:rPr>
      </w:pPr>
    </w:p>
    <w:p w14:paraId="07E6E051">
      <w:pPr>
        <w:jc w:val="center"/>
        <w:rPr>
          <w:rFonts w:ascii="宋体" w:hAnsi="宋体"/>
          <w:b/>
          <w:sz w:val="44"/>
          <w:szCs w:val="44"/>
        </w:rPr>
      </w:pPr>
    </w:p>
    <w:bookmarkEnd w:id="0"/>
    <w:p w14:paraId="3F383F5E">
      <w:pPr>
        <w:jc w:val="center"/>
        <w:rPr>
          <w:rFonts w:ascii="微软雅黑" w:hAnsi="微软雅黑" w:eastAsia="微软雅黑"/>
          <w:b/>
          <w:sz w:val="44"/>
          <w:szCs w:val="44"/>
        </w:rPr>
      </w:pPr>
      <w:r>
        <w:rPr>
          <w:rFonts w:hint="eastAsia" w:ascii="微软雅黑" w:hAnsi="微软雅黑" w:eastAsia="微软雅黑"/>
          <w:b/>
          <w:sz w:val="44"/>
          <w:szCs w:val="44"/>
        </w:rPr>
        <w:t>202</w:t>
      </w:r>
      <w:r>
        <w:rPr>
          <w:rFonts w:ascii="微软雅黑" w:hAnsi="微软雅黑" w:eastAsia="微软雅黑"/>
          <w:b/>
          <w:sz w:val="44"/>
          <w:szCs w:val="44"/>
        </w:rPr>
        <w:t>6</w:t>
      </w:r>
      <w:r>
        <w:rPr>
          <w:rFonts w:hint="eastAsia" w:ascii="微软雅黑" w:hAnsi="微软雅黑" w:eastAsia="微软雅黑"/>
          <w:b/>
          <w:sz w:val="44"/>
          <w:szCs w:val="44"/>
        </w:rPr>
        <w:t>年上海市供水接入服务质量</w:t>
      </w:r>
    </w:p>
    <w:p w14:paraId="6BE3DEF9">
      <w:pPr>
        <w:jc w:val="center"/>
        <w:rPr>
          <w:rFonts w:ascii="微软雅黑" w:hAnsi="微软雅黑" w:eastAsia="微软雅黑"/>
          <w:b/>
          <w:sz w:val="44"/>
          <w:szCs w:val="44"/>
        </w:rPr>
      </w:pPr>
      <w:r>
        <w:rPr>
          <w:rFonts w:hint="eastAsia" w:ascii="微软雅黑" w:hAnsi="微软雅黑" w:eastAsia="微软雅黑"/>
          <w:b/>
          <w:sz w:val="44"/>
          <w:szCs w:val="44"/>
        </w:rPr>
        <w:t>调查报告</w:t>
      </w:r>
    </w:p>
    <w:p w14:paraId="1FEDF0E4">
      <w:pPr>
        <w:rPr>
          <w:rFonts w:ascii="微软雅黑" w:hAnsi="微软雅黑" w:eastAsia="微软雅黑"/>
          <w:b/>
        </w:rPr>
      </w:pPr>
      <w:bookmarkStart w:id="1" w:name="_Hlk82849700"/>
      <w:bookmarkStart w:id="2" w:name="_Hlk82849688"/>
    </w:p>
    <w:p w14:paraId="063F2D2E">
      <w:pPr>
        <w:rPr>
          <w:rFonts w:ascii="微软雅黑" w:hAnsi="微软雅黑" w:eastAsia="微软雅黑"/>
          <w:b/>
        </w:rPr>
      </w:pPr>
    </w:p>
    <w:p w14:paraId="40B4E2BA">
      <w:pPr>
        <w:rPr>
          <w:rFonts w:ascii="微软雅黑" w:hAnsi="微软雅黑" w:eastAsia="微软雅黑"/>
          <w:b/>
        </w:rPr>
      </w:pPr>
    </w:p>
    <w:p w14:paraId="766AC911">
      <w:pPr>
        <w:rPr>
          <w:rFonts w:ascii="微软雅黑" w:hAnsi="微软雅黑" w:eastAsia="微软雅黑"/>
          <w:b/>
        </w:rPr>
      </w:pPr>
    </w:p>
    <w:p w14:paraId="79B086A9">
      <w:pPr>
        <w:rPr>
          <w:rFonts w:ascii="微软雅黑" w:hAnsi="微软雅黑" w:eastAsia="微软雅黑"/>
          <w:b/>
        </w:rPr>
      </w:pPr>
    </w:p>
    <w:p w14:paraId="042AFA68">
      <w:pPr>
        <w:rPr>
          <w:rFonts w:ascii="微软雅黑" w:hAnsi="微软雅黑" w:eastAsia="微软雅黑"/>
          <w:b/>
        </w:rPr>
      </w:pPr>
    </w:p>
    <w:p w14:paraId="7FD528BE">
      <w:pPr>
        <w:rPr>
          <w:rFonts w:ascii="微软雅黑" w:hAnsi="微软雅黑" w:eastAsia="微软雅黑"/>
          <w:b/>
        </w:rPr>
      </w:pPr>
    </w:p>
    <w:p w14:paraId="2F88ED5F">
      <w:pPr>
        <w:rPr>
          <w:rFonts w:ascii="微软雅黑" w:hAnsi="微软雅黑" w:eastAsia="微软雅黑"/>
          <w:b/>
        </w:rPr>
      </w:pPr>
    </w:p>
    <w:bookmarkEnd w:id="1"/>
    <w:p w14:paraId="3307222A">
      <w:pPr>
        <w:jc w:val="right"/>
        <w:rPr>
          <w:rFonts w:ascii="微软雅黑" w:hAnsi="微软雅黑" w:eastAsia="微软雅黑"/>
          <w:b/>
          <w:sz w:val="28"/>
          <w:szCs w:val="36"/>
        </w:rPr>
      </w:pPr>
      <w:r>
        <w:rPr>
          <w:rFonts w:hint="eastAsia" w:ascii="微软雅黑" w:hAnsi="微软雅黑" w:eastAsia="微软雅黑"/>
          <w:b/>
          <w:sz w:val="28"/>
          <w:szCs w:val="36"/>
        </w:rPr>
        <w:t>上海质量认证咨询中心</w:t>
      </w:r>
    </w:p>
    <w:p w14:paraId="33B67821">
      <w:pPr>
        <w:jc w:val="right"/>
        <w:rPr>
          <w:rFonts w:ascii="微软雅黑" w:hAnsi="微软雅黑" w:eastAsia="微软雅黑"/>
          <w:b/>
          <w:sz w:val="28"/>
          <w:szCs w:val="36"/>
        </w:rPr>
      </w:pPr>
      <w:r>
        <w:rPr>
          <w:rFonts w:hint="eastAsia" w:ascii="微软雅黑" w:hAnsi="微软雅黑" w:eastAsia="微软雅黑"/>
          <w:b/>
          <w:sz w:val="28"/>
          <w:szCs w:val="36"/>
        </w:rPr>
        <w:t>202</w:t>
      </w:r>
      <w:r>
        <w:rPr>
          <w:rFonts w:ascii="微软雅黑" w:hAnsi="微软雅黑" w:eastAsia="微软雅黑"/>
          <w:b/>
          <w:sz w:val="28"/>
          <w:szCs w:val="36"/>
        </w:rPr>
        <w:t>6</w:t>
      </w:r>
      <w:r>
        <w:rPr>
          <w:rFonts w:hint="eastAsia" w:ascii="微软雅黑" w:hAnsi="微软雅黑" w:eastAsia="微软雅黑"/>
          <w:b/>
          <w:sz w:val="28"/>
          <w:szCs w:val="36"/>
        </w:rPr>
        <w:t>年9月</w:t>
      </w:r>
    </w:p>
    <w:p w14:paraId="7A2B5FC7">
      <w:pPr>
        <w:rPr>
          <w:rFonts w:ascii="微软雅黑" w:hAnsi="微软雅黑" w:eastAsia="微软雅黑"/>
          <w:b/>
        </w:rPr>
      </w:pPr>
      <w:bookmarkStart w:id="3" w:name="_Hlk82849705"/>
    </w:p>
    <w:bookmarkEnd w:id="3"/>
    <w:p w14:paraId="6D0654AB">
      <w:pPr>
        <w:rPr>
          <w:rFonts w:ascii="微软雅黑" w:hAnsi="微软雅黑" w:eastAsia="微软雅黑"/>
          <w:b/>
        </w:rPr>
      </w:pPr>
    </w:p>
    <w:bookmarkEnd w:id="2"/>
    <w:p w14:paraId="26EB1C3C">
      <w:pPr>
        <w:pStyle w:val="36"/>
        <w:tabs>
          <w:tab w:val="left" w:pos="2074"/>
          <w:tab w:val="center" w:pos="4153"/>
        </w:tabs>
        <w:rPr>
          <w:rFonts w:ascii="仿宋_GB2312" w:eastAsia="仿宋_GB2312"/>
          <w:color w:val="auto"/>
          <w:sz w:val="48"/>
          <w:lang w:val="zh-CN"/>
        </w:rPr>
      </w:pPr>
      <w:r>
        <w:rPr>
          <w:rFonts w:hint="eastAsia" w:ascii="仿宋_GB2312" w:eastAsia="仿宋_GB2312"/>
          <w:color w:val="auto"/>
          <w:sz w:val="48"/>
          <w:lang w:val="zh-CN"/>
        </w:rPr>
        <w:tab/>
      </w:r>
      <w:r>
        <w:rPr>
          <w:rFonts w:hint="eastAsia" w:ascii="仿宋_GB2312" w:eastAsia="仿宋_GB2312"/>
          <w:color w:val="auto"/>
          <w:sz w:val="48"/>
          <w:lang w:val="zh-CN"/>
        </w:rPr>
        <w:tab/>
      </w:r>
      <w:r>
        <w:rPr>
          <w:rFonts w:hint="eastAsia" w:ascii="仿宋_GB2312" w:eastAsia="仿宋_GB2312"/>
          <w:color w:val="auto"/>
          <w:sz w:val="48"/>
          <w:lang w:val="zh-CN"/>
        </w:rPr>
        <w:t>目  录</w:t>
      </w:r>
    </w:p>
    <w:p w14:paraId="24A6E3DE">
      <w:pPr>
        <w:rPr>
          <w:rFonts w:ascii="仿宋_GB2312" w:eastAsia="仿宋_GB2312"/>
          <w:lang w:val="zh-CN"/>
        </w:rPr>
      </w:pPr>
    </w:p>
    <w:p w14:paraId="0E728586">
      <w:pPr>
        <w:pStyle w:val="10"/>
        <w:spacing w:line="720" w:lineRule="auto"/>
        <w:rPr>
          <w:rFonts w:hAnsiTheme="minorHAnsi" w:cstheme="minorBidi"/>
        </w:rPr>
      </w:pPr>
      <w:r>
        <w:rPr>
          <w:rFonts w:hint="eastAsia" w:hAnsi="宋体"/>
        </w:rPr>
        <w:fldChar w:fldCharType="begin"/>
      </w:r>
      <w:r>
        <w:rPr>
          <w:rFonts w:hint="eastAsia" w:hAnsi="宋体"/>
        </w:rPr>
        <w:instrText xml:space="preserve"> TOC \o "1-3" \h \z \u </w:instrText>
      </w:r>
      <w:r>
        <w:rPr>
          <w:rFonts w:hint="eastAsia" w:hAnsi="宋体"/>
        </w:rPr>
        <w:fldChar w:fldCharType="separate"/>
      </w:r>
      <w:r>
        <w:fldChar w:fldCharType="begin"/>
      </w:r>
      <w:r>
        <w:instrText xml:space="preserve"> HYPERLINK \l "_Toc145100747" </w:instrText>
      </w:r>
      <w:r>
        <w:fldChar w:fldCharType="separate"/>
      </w:r>
      <w:r>
        <w:rPr>
          <w:rStyle w:val="24"/>
          <w:rFonts w:hint="eastAsia"/>
          <w:color w:val="auto"/>
        </w:rPr>
        <w:t>一、调查概况</w:t>
      </w:r>
      <w:r>
        <w:rPr>
          <w:rFonts w:hint="eastAsia"/>
        </w:rPr>
        <w:tab/>
      </w:r>
      <w:r>
        <w:rPr>
          <w:rFonts w:hint="eastAsia"/>
        </w:rPr>
        <w:fldChar w:fldCharType="begin"/>
      </w:r>
      <w:r>
        <w:rPr>
          <w:rFonts w:hint="eastAsia"/>
        </w:rPr>
        <w:instrText xml:space="preserve"> PAGEREF _Toc145100747 \h </w:instrText>
      </w:r>
      <w:r>
        <w:rPr>
          <w:rFonts w:hint="eastAsia"/>
        </w:rPr>
        <w:fldChar w:fldCharType="separate"/>
      </w:r>
      <w:r>
        <w:t>1</w:t>
      </w:r>
      <w:r>
        <w:rPr>
          <w:rFonts w:hint="eastAsia"/>
        </w:rPr>
        <w:fldChar w:fldCharType="end"/>
      </w:r>
      <w:r>
        <w:rPr>
          <w:rFonts w:hint="eastAsia"/>
        </w:rPr>
        <w:fldChar w:fldCharType="end"/>
      </w:r>
    </w:p>
    <w:p w14:paraId="5A790C44">
      <w:pPr>
        <w:pStyle w:val="13"/>
        <w:tabs>
          <w:tab w:val="right" w:leader="dot" w:pos="8296"/>
        </w:tabs>
        <w:spacing w:line="720" w:lineRule="auto"/>
        <w:rPr>
          <w:rFonts w:ascii="仿宋_GB2312" w:eastAsia="仿宋_GB2312" w:hAnsiTheme="minorHAnsi" w:cstheme="minorBidi"/>
          <w:sz w:val="28"/>
          <w:szCs w:val="28"/>
        </w:rPr>
      </w:pPr>
      <w:r>
        <w:fldChar w:fldCharType="begin"/>
      </w:r>
      <w:r>
        <w:instrText xml:space="preserve"> HYPERLINK \l "_Toc145100748" </w:instrText>
      </w:r>
      <w:r>
        <w:fldChar w:fldCharType="separate"/>
      </w:r>
      <w:r>
        <w:rPr>
          <w:rStyle w:val="24"/>
          <w:rFonts w:hint="eastAsia" w:ascii="仿宋_GB2312" w:hAnsi="仿宋" w:eastAsia="仿宋_GB2312"/>
          <w:color w:val="auto"/>
          <w:sz w:val="28"/>
          <w:szCs w:val="28"/>
        </w:rPr>
        <w:t>（一）调查范围和样本量</w:t>
      </w:r>
      <w:r>
        <w:rPr>
          <w:rFonts w:hint="eastAsia" w:ascii="仿宋_GB2312" w:eastAsia="仿宋_GB2312"/>
          <w:sz w:val="28"/>
          <w:szCs w:val="28"/>
        </w:rPr>
        <w:tab/>
      </w:r>
      <w:r>
        <w:rPr>
          <w:rFonts w:hint="eastAsia" w:ascii="仿宋_GB2312" w:eastAsia="仿宋_GB2312"/>
          <w:sz w:val="28"/>
          <w:szCs w:val="28"/>
        </w:rPr>
        <w:fldChar w:fldCharType="begin"/>
      </w:r>
      <w:r>
        <w:rPr>
          <w:rFonts w:hint="eastAsia" w:ascii="仿宋_GB2312" w:eastAsia="仿宋_GB2312"/>
          <w:sz w:val="28"/>
          <w:szCs w:val="28"/>
        </w:rPr>
        <w:instrText xml:space="preserve"> PAGEREF _Toc145100748 \h </w:instrText>
      </w:r>
      <w:r>
        <w:rPr>
          <w:rFonts w:hint="eastAsia" w:ascii="仿宋_GB2312" w:eastAsia="仿宋_GB2312"/>
          <w:sz w:val="28"/>
          <w:szCs w:val="28"/>
        </w:rPr>
        <w:fldChar w:fldCharType="separate"/>
      </w:r>
      <w:r>
        <w:rPr>
          <w:rFonts w:ascii="仿宋_GB2312" w:eastAsia="仿宋_GB2312"/>
          <w:sz w:val="28"/>
          <w:szCs w:val="28"/>
        </w:rPr>
        <w:t>1</w:t>
      </w:r>
      <w:r>
        <w:rPr>
          <w:rFonts w:hint="eastAsia" w:ascii="仿宋_GB2312" w:eastAsia="仿宋_GB2312"/>
          <w:sz w:val="28"/>
          <w:szCs w:val="28"/>
        </w:rPr>
        <w:fldChar w:fldCharType="end"/>
      </w:r>
      <w:r>
        <w:rPr>
          <w:rFonts w:hint="eastAsia" w:ascii="仿宋_GB2312" w:eastAsia="仿宋_GB2312"/>
          <w:sz w:val="28"/>
          <w:szCs w:val="28"/>
        </w:rPr>
        <w:fldChar w:fldCharType="end"/>
      </w:r>
    </w:p>
    <w:p w14:paraId="70D87B72">
      <w:pPr>
        <w:pStyle w:val="13"/>
        <w:tabs>
          <w:tab w:val="right" w:leader="dot" w:pos="8296"/>
        </w:tabs>
        <w:spacing w:line="720" w:lineRule="auto"/>
        <w:rPr>
          <w:rFonts w:ascii="仿宋_GB2312" w:eastAsia="仿宋_GB2312" w:hAnsiTheme="minorHAnsi" w:cstheme="minorBidi"/>
          <w:sz w:val="28"/>
          <w:szCs w:val="28"/>
        </w:rPr>
      </w:pPr>
      <w:r>
        <w:fldChar w:fldCharType="begin"/>
      </w:r>
      <w:r>
        <w:instrText xml:space="preserve"> HYPERLINK \l "_Toc145100749" </w:instrText>
      </w:r>
      <w:r>
        <w:fldChar w:fldCharType="separate"/>
      </w:r>
      <w:r>
        <w:rPr>
          <w:rStyle w:val="24"/>
          <w:rFonts w:hint="eastAsia" w:ascii="仿宋_GB2312" w:hAnsi="仿宋" w:eastAsia="仿宋_GB2312"/>
          <w:color w:val="auto"/>
          <w:sz w:val="28"/>
          <w:szCs w:val="28"/>
        </w:rPr>
        <w:t>（二）调查内容</w:t>
      </w:r>
      <w:r>
        <w:rPr>
          <w:rFonts w:hint="eastAsia" w:ascii="仿宋_GB2312" w:eastAsia="仿宋_GB2312"/>
          <w:sz w:val="28"/>
          <w:szCs w:val="28"/>
        </w:rPr>
        <w:tab/>
      </w:r>
      <w:r>
        <w:rPr>
          <w:rFonts w:hint="eastAsia" w:ascii="仿宋_GB2312" w:eastAsia="仿宋_GB2312"/>
          <w:sz w:val="28"/>
          <w:szCs w:val="28"/>
        </w:rPr>
        <w:fldChar w:fldCharType="begin"/>
      </w:r>
      <w:r>
        <w:rPr>
          <w:rFonts w:hint="eastAsia" w:ascii="仿宋_GB2312" w:eastAsia="仿宋_GB2312"/>
          <w:sz w:val="28"/>
          <w:szCs w:val="28"/>
        </w:rPr>
        <w:instrText xml:space="preserve"> PAGEREF _Toc145100749 \h </w:instrText>
      </w:r>
      <w:r>
        <w:rPr>
          <w:rFonts w:hint="eastAsia" w:ascii="仿宋_GB2312" w:eastAsia="仿宋_GB2312"/>
          <w:sz w:val="28"/>
          <w:szCs w:val="28"/>
        </w:rPr>
        <w:fldChar w:fldCharType="separate"/>
      </w:r>
      <w:r>
        <w:rPr>
          <w:rFonts w:ascii="仿宋_GB2312" w:eastAsia="仿宋_GB2312"/>
          <w:sz w:val="28"/>
          <w:szCs w:val="28"/>
        </w:rPr>
        <w:t>2</w:t>
      </w:r>
      <w:r>
        <w:rPr>
          <w:rFonts w:hint="eastAsia" w:ascii="仿宋_GB2312" w:eastAsia="仿宋_GB2312"/>
          <w:sz w:val="28"/>
          <w:szCs w:val="28"/>
        </w:rPr>
        <w:fldChar w:fldCharType="end"/>
      </w:r>
      <w:r>
        <w:rPr>
          <w:rFonts w:hint="eastAsia" w:ascii="仿宋_GB2312" w:eastAsia="仿宋_GB2312"/>
          <w:sz w:val="28"/>
          <w:szCs w:val="28"/>
        </w:rPr>
        <w:fldChar w:fldCharType="end"/>
      </w:r>
    </w:p>
    <w:p w14:paraId="3C04B016">
      <w:pPr>
        <w:pStyle w:val="13"/>
        <w:tabs>
          <w:tab w:val="right" w:leader="dot" w:pos="8296"/>
        </w:tabs>
        <w:spacing w:line="720" w:lineRule="auto"/>
        <w:rPr>
          <w:rFonts w:ascii="仿宋_GB2312" w:eastAsia="仿宋_GB2312" w:hAnsiTheme="minorHAnsi" w:cstheme="minorBidi"/>
          <w:sz w:val="28"/>
          <w:szCs w:val="28"/>
        </w:rPr>
      </w:pPr>
      <w:r>
        <w:fldChar w:fldCharType="begin"/>
      </w:r>
      <w:r>
        <w:instrText xml:space="preserve"> HYPERLINK \l "_Toc145100750" </w:instrText>
      </w:r>
      <w:r>
        <w:fldChar w:fldCharType="separate"/>
      </w:r>
      <w:r>
        <w:rPr>
          <w:rStyle w:val="24"/>
          <w:rFonts w:hint="eastAsia" w:ascii="仿宋_GB2312" w:hAnsi="仿宋" w:eastAsia="仿宋_GB2312"/>
          <w:color w:val="auto"/>
          <w:sz w:val="28"/>
          <w:szCs w:val="28"/>
        </w:rPr>
        <w:t>（三）统计方式</w:t>
      </w:r>
      <w:r>
        <w:rPr>
          <w:rFonts w:hint="eastAsia" w:ascii="仿宋_GB2312" w:eastAsia="仿宋_GB2312"/>
          <w:sz w:val="28"/>
          <w:szCs w:val="28"/>
        </w:rPr>
        <w:tab/>
      </w:r>
      <w:r>
        <w:rPr>
          <w:rFonts w:hint="eastAsia" w:ascii="仿宋_GB2312" w:eastAsia="仿宋_GB2312"/>
          <w:sz w:val="28"/>
          <w:szCs w:val="28"/>
        </w:rPr>
        <w:fldChar w:fldCharType="begin"/>
      </w:r>
      <w:r>
        <w:rPr>
          <w:rFonts w:hint="eastAsia" w:ascii="仿宋_GB2312" w:eastAsia="仿宋_GB2312"/>
          <w:sz w:val="28"/>
          <w:szCs w:val="28"/>
        </w:rPr>
        <w:instrText xml:space="preserve"> PAGEREF _Toc145100750 \h </w:instrText>
      </w:r>
      <w:r>
        <w:rPr>
          <w:rFonts w:hint="eastAsia" w:ascii="仿宋_GB2312" w:eastAsia="仿宋_GB2312"/>
          <w:sz w:val="28"/>
          <w:szCs w:val="28"/>
        </w:rPr>
        <w:fldChar w:fldCharType="separate"/>
      </w:r>
      <w:r>
        <w:rPr>
          <w:rFonts w:ascii="仿宋_GB2312" w:eastAsia="仿宋_GB2312"/>
          <w:sz w:val="28"/>
          <w:szCs w:val="28"/>
        </w:rPr>
        <w:t>3</w:t>
      </w:r>
      <w:r>
        <w:rPr>
          <w:rFonts w:hint="eastAsia" w:ascii="仿宋_GB2312" w:eastAsia="仿宋_GB2312"/>
          <w:sz w:val="28"/>
          <w:szCs w:val="28"/>
        </w:rPr>
        <w:fldChar w:fldCharType="end"/>
      </w:r>
      <w:r>
        <w:rPr>
          <w:rFonts w:hint="eastAsia" w:ascii="仿宋_GB2312" w:eastAsia="仿宋_GB2312"/>
          <w:sz w:val="28"/>
          <w:szCs w:val="28"/>
        </w:rPr>
        <w:fldChar w:fldCharType="end"/>
      </w:r>
    </w:p>
    <w:p w14:paraId="18B31505">
      <w:pPr>
        <w:pStyle w:val="10"/>
        <w:spacing w:line="720" w:lineRule="auto"/>
        <w:rPr>
          <w:rFonts w:hAnsiTheme="minorHAnsi" w:cstheme="minorBidi"/>
        </w:rPr>
      </w:pPr>
      <w:r>
        <w:fldChar w:fldCharType="begin"/>
      </w:r>
      <w:r>
        <w:instrText xml:space="preserve"> HYPERLINK \l "_Toc145100753" </w:instrText>
      </w:r>
      <w:r>
        <w:fldChar w:fldCharType="separate"/>
      </w:r>
      <w:r>
        <w:rPr>
          <w:rStyle w:val="24"/>
          <w:rFonts w:hint="eastAsia"/>
          <w:color w:val="auto"/>
        </w:rPr>
        <w:t>二、调查结果</w:t>
      </w:r>
      <w:r>
        <w:rPr>
          <w:rFonts w:hint="eastAsia"/>
        </w:rPr>
        <w:tab/>
      </w:r>
      <w:r>
        <w:rPr>
          <w:rFonts w:hint="eastAsia"/>
        </w:rPr>
        <w:fldChar w:fldCharType="begin"/>
      </w:r>
      <w:r>
        <w:rPr>
          <w:rFonts w:hint="eastAsia"/>
        </w:rPr>
        <w:instrText xml:space="preserve"> PAGEREF _Toc145100753 \h </w:instrText>
      </w:r>
      <w:r>
        <w:rPr>
          <w:rFonts w:hint="eastAsia"/>
        </w:rPr>
        <w:fldChar w:fldCharType="separate"/>
      </w:r>
      <w:r>
        <w:t>4</w:t>
      </w:r>
      <w:r>
        <w:rPr>
          <w:rFonts w:hint="eastAsia"/>
        </w:rPr>
        <w:fldChar w:fldCharType="end"/>
      </w:r>
      <w:r>
        <w:rPr>
          <w:rFonts w:hint="eastAsia"/>
        </w:rPr>
        <w:fldChar w:fldCharType="end"/>
      </w:r>
    </w:p>
    <w:p w14:paraId="293A32CA">
      <w:pPr>
        <w:pStyle w:val="13"/>
        <w:tabs>
          <w:tab w:val="right" w:leader="dot" w:pos="8296"/>
        </w:tabs>
        <w:spacing w:line="720" w:lineRule="auto"/>
        <w:rPr>
          <w:rFonts w:ascii="仿宋_GB2312" w:eastAsia="仿宋_GB2312" w:hAnsiTheme="minorHAnsi" w:cstheme="minorBidi"/>
          <w:sz w:val="28"/>
          <w:szCs w:val="28"/>
        </w:rPr>
      </w:pPr>
      <w:r>
        <w:fldChar w:fldCharType="begin"/>
      </w:r>
      <w:r>
        <w:instrText xml:space="preserve"> HYPERLINK \l "_Toc145100754" </w:instrText>
      </w:r>
      <w:r>
        <w:fldChar w:fldCharType="separate"/>
      </w:r>
      <w:r>
        <w:rPr>
          <w:rStyle w:val="24"/>
          <w:rFonts w:hint="eastAsia" w:ascii="仿宋_GB2312" w:hAnsi="仿宋" w:eastAsia="仿宋_GB2312"/>
          <w:color w:val="auto"/>
          <w:sz w:val="28"/>
          <w:szCs w:val="28"/>
        </w:rPr>
        <w:t>（一）总体调查结果</w:t>
      </w:r>
      <w:r>
        <w:rPr>
          <w:rFonts w:hint="eastAsia" w:ascii="仿宋_GB2312" w:eastAsia="仿宋_GB2312"/>
          <w:sz w:val="28"/>
          <w:szCs w:val="28"/>
        </w:rPr>
        <w:tab/>
      </w:r>
      <w:r>
        <w:rPr>
          <w:rFonts w:hint="eastAsia" w:ascii="仿宋_GB2312" w:eastAsia="仿宋_GB2312"/>
          <w:sz w:val="28"/>
          <w:szCs w:val="28"/>
        </w:rPr>
        <w:fldChar w:fldCharType="begin"/>
      </w:r>
      <w:r>
        <w:rPr>
          <w:rFonts w:hint="eastAsia" w:ascii="仿宋_GB2312" w:eastAsia="仿宋_GB2312"/>
          <w:sz w:val="28"/>
          <w:szCs w:val="28"/>
        </w:rPr>
        <w:instrText xml:space="preserve"> PAGEREF _Toc145100754 \h </w:instrText>
      </w:r>
      <w:r>
        <w:rPr>
          <w:rFonts w:hint="eastAsia" w:ascii="仿宋_GB2312" w:eastAsia="仿宋_GB2312"/>
          <w:sz w:val="28"/>
          <w:szCs w:val="28"/>
        </w:rPr>
        <w:fldChar w:fldCharType="separate"/>
      </w:r>
      <w:r>
        <w:rPr>
          <w:rFonts w:ascii="仿宋_GB2312" w:eastAsia="仿宋_GB2312"/>
          <w:sz w:val="28"/>
          <w:szCs w:val="28"/>
        </w:rPr>
        <w:t>4</w:t>
      </w:r>
      <w:r>
        <w:rPr>
          <w:rFonts w:hint="eastAsia" w:ascii="仿宋_GB2312" w:eastAsia="仿宋_GB2312"/>
          <w:sz w:val="28"/>
          <w:szCs w:val="28"/>
        </w:rPr>
        <w:fldChar w:fldCharType="end"/>
      </w:r>
      <w:r>
        <w:rPr>
          <w:rFonts w:hint="eastAsia" w:ascii="仿宋_GB2312" w:eastAsia="仿宋_GB2312"/>
          <w:sz w:val="28"/>
          <w:szCs w:val="28"/>
        </w:rPr>
        <w:fldChar w:fldCharType="end"/>
      </w:r>
    </w:p>
    <w:p w14:paraId="6362B41B">
      <w:pPr>
        <w:pStyle w:val="13"/>
        <w:tabs>
          <w:tab w:val="right" w:leader="dot" w:pos="8296"/>
        </w:tabs>
        <w:spacing w:line="720" w:lineRule="auto"/>
        <w:rPr>
          <w:rFonts w:ascii="仿宋_GB2312" w:eastAsia="仿宋_GB2312" w:hAnsiTheme="minorHAnsi" w:cstheme="minorBidi"/>
          <w:sz w:val="28"/>
          <w:szCs w:val="28"/>
        </w:rPr>
      </w:pPr>
      <w:r>
        <w:fldChar w:fldCharType="begin"/>
      </w:r>
      <w:r>
        <w:instrText xml:space="preserve"> HYPERLINK \l "_Toc145100760" </w:instrText>
      </w:r>
      <w:r>
        <w:fldChar w:fldCharType="separate"/>
      </w:r>
      <w:r>
        <w:rPr>
          <w:rStyle w:val="24"/>
          <w:rFonts w:hint="eastAsia" w:ascii="仿宋_GB2312" w:hAnsi="仿宋" w:eastAsia="仿宋_GB2312"/>
          <w:color w:val="auto"/>
          <w:sz w:val="28"/>
          <w:szCs w:val="28"/>
        </w:rPr>
        <w:t>（二）各水司调查结果</w:t>
      </w:r>
      <w:r>
        <w:rPr>
          <w:rFonts w:hint="eastAsia" w:ascii="仿宋_GB2312" w:eastAsia="仿宋_GB2312"/>
          <w:sz w:val="28"/>
          <w:szCs w:val="28"/>
        </w:rPr>
        <w:tab/>
      </w:r>
      <w:r>
        <w:rPr>
          <w:rFonts w:hint="eastAsia" w:ascii="仿宋_GB2312" w:eastAsia="仿宋_GB2312"/>
          <w:sz w:val="28"/>
          <w:szCs w:val="28"/>
        </w:rPr>
        <w:fldChar w:fldCharType="begin"/>
      </w:r>
      <w:r>
        <w:rPr>
          <w:rFonts w:hint="eastAsia" w:ascii="仿宋_GB2312" w:eastAsia="仿宋_GB2312"/>
          <w:sz w:val="28"/>
          <w:szCs w:val="28"/>
        </w:rPr>
        <w:instrText xml:space="preserve"> PAGEREF _Toc145100760 \h </w:instrText>
      </w:r>
      <w:r>
        <w:rPr>
          <w:rFonts w:hint="eastAsia" w:ascii="仿宋_GB2312" w:eastAsia="仿宋_GB2312"/>
          <w:sz w:val="28"/>
          <w:szCs w:val="28"/>
        </w:rPr>
        <w:fldChar w:fldCharType="separate"/>
      </w:r>
      <w:r>
        <w:rPr>
          <w:rFonts w:ascii="仿宋_GB2312" w:eastAsia="仿宋_GB2312"/>
          <w:sz w:val="28"/>
          <w:szCs w:val="28"/>
        </w:rPr>
        <w:t>11</w:t>
      </w:r>
      <w:r>
        <w:rPr>
          <w:rFonts w:hint="eastAsia" w:ascii="仿宋_GB2312" w:eastAsia="仿宋_GB2312"/>
          <w:sz w:val="28"/>
          <w:szCs w:val="28"/>
        </w:rPr>
        <w:fldChar w:fldCharType="end"/>
      </w:r>
      <w:r>
        <w:rPr>
          <w:rFonts w:hint="eastAsia" w:ascii="仿宋_GB2312" w:eastAsia="仿宋_GB2312"/>
          <w:sz w:val="28"/>
          <w:szCs w:val="28"/>
        </w:rPr>
        <w:fldChar w:fldCharType="end"/>
      </w:r>
    </w:p>
    <w:p w14:paraId="2703BD41">
      <w:pPr>
        <w:pStyle w:val="10"/>
        <w:spacing w:line="720" w:lineRule="auto"/>
        <w:rPr>
          <w:rFonts w:hAnsiTheme="minorHAnsi" w:cstheme="minorBidi"/>
        </w:rPr>
      </w:pPr>
      <w:r>
        <w:fldChar w:fldCharType="begin"/>
      </w:r>
      <w:r>
        <w:instrText xml:space="preserve"> HYPERLINK \l "_Toc145100763" </w:instrText>
      </w:r>
      <w:r>
        <w:fldChar w:fldCharType="separate"/>
      </w:r>
      <w:r>
        <w:rPr>
          <w:rStyle w:val="24"/>
          <w:rFonts w:hint="eastAsia"/>
          <w:color w:val="auto"/>
        </w:rPr>
        <w:t>三、主要结论和建议</w:t>
      </w:r>
      <w:r>
        <w:rPr>
          <w:rFonts w:hint="eastAsia"/>
        </w:rPr>
        <w:tab/>
      </w:r>
      <w:r>
        <w:rPr>
          <w:rFonts w:hint="eastAsia"/>
        </w:rPr>
        <w:fldChar w:fldCharType="begin"/>
      </w:r>
      <w:r>
        <w:rPr>
          <w:rFonts w:hint="eastAsia"/>
        </w:rPr>
        <w:instrText xml:space="preserve"> PAGEREF _Toc145100763 \h </w:instrText>
      </w:r>
      <w:r>
        <w:rPr>
          <w:rFonts w:hint="eastAsia"/>
        </w:rPr>
        <w:fldChar w:fldCharType="separate"/>
      </w:r>
      <w:r>
        <w:t>15</w:t>
      </w:r>
      <w:r>
        <w:rPr>
          <w:rFonts w:hint="eastAsia"/>
        </w:rPr>
        <w:fldChar w:fldCharType="end"/>
      </w:r>
      <w:r>
        <w:rPr>
          <w:rFonts w:hint="eastAsia"/>
        </w:rPr>
        <w:fldChar w:fldCharType="end"/>
      </w:r>
    </w:p>
    <w:p w14:paraId="55804060">
      <w:pPr>
        <w:pStyle w:val="10"/>
        <w:spacing w:line="720" w:lineRule="auto"/>
        <w:rPr>
          <w:rFonts w:hAnsiTheme="minorHAnsi" w:cstheme="minorBidi"/>
        </w:rPr>
      </w:pPr>
      <w:r>
        <w:fldChar w:fldCharType="begin"/>
      </w:r>
      <w:r>
        <w:instrText xml:space="preserve"> HYPERLINK \l "_Toc145100764" </w:instrText>
      </w:r>
      <w:r>
        <w:fldChar w:fldCharType="separate"/>
      </w:r>
      <w:r>
        <w:rPr>
          <w:rStyle w:val="24"/>
          <w:rFonts w:hint="eastAsia"/>
          <w:color w:val="auto"/>
        </w:rPr>
        <w:t>附：受访者提出的意见建议</w:t>
      </w:r>
      <w:r>
        <w:rPr>
          <w:rFonts w:hint="eastAsia"/>
        </w:rPr>
        <w:tab/>
      </w:r>
      <w:r>
        <w:rPr>
          <w:rFonts w:hint="eastAsia"/>
        </w:rPr>
        <w:fldChar w:fldCharType="begin"/>
      </w:r>
      <w:r>
        <w:rPr>
          <w:rFonts w:hint="eastAsia"/>
        </w:rPr>
        <w:instrText xml:space="preserve"> PAGEREF _Toc145100764 \h </w:instrText>
      </w:r>
      <w:r>
        <w:rPr>
          <w:rFonts w:hint="eastAsia"/>
        </w:rPr>
        <w:fldChar w:fldCharType="separate"/>
      </w:r>
      <w:r>
        <w:t>17</w:t>
      </w:r>
      <w:r>
        <w:rPr>
          <w:rFonts w:hint="eastAsia"/>
        </w:rPr>
        <w:fldChar w:fldCharType="end"/>
      </w:r>
      <w:r>
        <w:rPr>
          <w:rFonts w:hint="eastAsia"/>
        </w:rPr>
        <w:fldChar w:fldCharType="end"/>
      </w:r>
    </w:p>
    <w:p w14:paraId="0CF3FBA9">
      <w:pPr>
        <w:spacing w:line="720" w:lineRule="auto"/>
        <w:rPr>
          <w:rFonts w:ascii="宋体" w:hAnsi="宋体"/>
          <w:bCs/>
          <w:sz w:val="32"/>
          <w:lang w:val="zh-CN"/>
        </w:rPr>
        <w:sectPr>
          <w:headerReference r:id="rId3" w:type="default"/>
          <w:pgSz w:w="11906" w:h="16838"/>
          <w:pgMar w:top="1440" w:right="1800" w:bottom="1440" w:left="1800" w:header="851" w:footer="992" w:gutter="0"/>
          <w:pgNumType w:start="0"/>
          <w:cols w:space="425" w:num="1"/>
          <w:titlePg/>
          <w:docGrid w:type="lines" w:linePitch="312" w:charSpace="0"/>
        </w:sectPr>
      </w:pPr>
      <w:r>
        <w:rPr>
          <w:rFonts w:hint="eastAsia" w:ascii="仿宋_GB2312" w:hAnsi="宋体" w:eastAsia="仿宋_GB2312"/>
          <w:sz w:val="28"/>
          <w:szCs w:val="28"/>
          <w:lang w:val="zh-CN"/>
        </w:rPr>
        <w:fldChar w:fldCharType="end"/>
      </w:r>
    </w:p>
    <w:p w14:paraId="070A39B2">
      <w:pPr>
        <w:jc w:val="center"/>
        <w:rPr>
          <w:rFonts w:ascii="黑体" w:hAnsi="宋体" w:eastAsia="黑体"/>
          <w:b/>
          <w:sz w:val="44"/>
          <w:szCs w:val="44"/>
        </w:rPr>
      </w:pPr>
    </w:p>
    <w:p w14:paraId="6D2E1F92">
      <w:pPr>
        <w:jc w:val="center"/>
        <w:rPr>
          <w:rFonts w:ascii="黑体" w:hAnsi="宋体" w:eastAsia="黑体"/>
          <w:b/>
          <w:sz w:val="44"/>
          <w:szCs w:val="44"/>
        </w:rPr>
      </w:pPr>
      <w:r>
        <w:rPr>
          <w:rFonts w:hint="eastAsia" w:ascii="黑体" w:hAnsi="宋体" w:eastAsia="黑体"/>
          <w:b/>
          <w:sz w:val="44"/>
          <w:szCs w:val="44"/>
        </w:rPr>
        <w:t>202</w:t>
      </w:r>
      <w:r>
        <w:rPr>
          <w:rFonts w:ascii="黑体" w:hAnsi="宋体" w:eastAsia="黑体"/>
          <w:b/>
          <w:sz w:val="44"/>
          <w:szCs w:val="44"/>
        </w:rPr>
        <w:t>6</w:t>
      </w:r>
      <w:r>
        <w:rPr>
          <w:rFonts w:hint="eastAsia" w:ascii="黑体" w:hAnsi="宋体" w:eastAsia="黑体"/>
          <w:b/>
          <w:sz w:val="44"/>
          <w:szCs w:val="44"/>
        </w:rPr>
        <w:t>年上海市供水接入服务质量调查报告</w:t>
      </w:r>
    </w:p>
    <w:p w14:paraId="1D7E1914">
      <w:pPr>
        <w:jc w:val="center"/>
        <w:rPr>
          <w:rFonts w:ascii="方正小标宋简体" w:hAnsi="宋体" w:eastAsia="方正小标宋简体"/>
          <w:b/>
          <w:sz w:val="48"/>
          <w:szCs w:val="36"/>
        </w:rPr>
      </w:pPr>
    </w:p>
    <w:p w14:paraId="0994E39E">
      <w:pPr>
        <w:ind w:firstLine="640" w:firstLineChars="2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为进一步深化上海市供排水接入改革，完善监管、提升服务，助力打造国际化、法制化、便利化的营商环境，上海市供水管理事务中心委托第三方测评机构，开展202</w:t>
      </w:r>
      <w:r>
        <w:rPr>
          <w:rFonts w:ascii="仿宋_GB2312" w:hAnsi="宋体" w:eastAsia="仿宋_GB2312" w:cs="宋体"/>
          <w:kern w:val="0"/>
          <w:sz w:val="32"/>
          <w:szCs w:val="32"/>
        </w:rPr>
        <w:t>6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年上海市供水接入服务质量调查，通过对办理过供水接入服务的企业用户进行调查，了解办理供水接入业务的便利性和服务满意率。</w:t>
      </w:r>
    </w:p>
    <w:p w14:paraId="2FECE596">
      <w:pPr>
        <w:ind w:firstLine="640" w:firstLineChars="2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</w:p>
    <w:p w14:paraId="2E308662">
      <w:pPr>
        <w:pStyle w:val="14"/>
        <w:jc w:val="left"/>
        <w:rPr>
          <w:rFonts w:ascii="仿宋_GB2312" w:hAnsi="仿宋" w:eastAsia="仿宋_GB2312"/>
        </w:rPr>
      </w:pPr>
      <w:bookmarkStart w:id="4" w:name="_Toc145100747"/>
      <w:r>
        <w:rPr>
          <w:rFonts w:hint="eastAsia" w:ascii="仿宋_GB2312" w:hAnsi="仿宋" w:eastAsia="仿宋_GB2312"/>
        </w:rPr>
        <w:t>一、调查概况</w:t>
      </w:r>
      <w:bookmarkEnd w:id="4"/>
    </w:p>
    <w:p w14:paraId="5874D5AE">
      <w:pPr>
        <w:autoSpaceDE w:val="0"/>
        <w:autoSpaceDN w:val="0"/>
        <w:adjustRightInd w:val="0"/>
        <w:spacing w:line="360" w:lineRule="auto"/>
        <w:jc w:val="left"/>
        <w:outlineLvl w:val="1"/>
        <w:rPr>
          <w:rFonts w:ascii="仿宋_GB2312" w:hAnsi="仿宋" w:eastAsia="仿宋_GB2312"/>
          <w:b/>
          <w:sz w:val="32"/>
          <w:szCs w:val="32"/>
        </w:rPr>
      </w:pPr>
      <w:bookmarkStart w:id="5" w:name="_Toc145100748"/>
      <w:r>
        <w:rPr>
          <w:rFonts w:hint="eastAsia" w:ascii="仿宋_GB2312" w:hAnsi="仿宋" w:eastAsia="仿宋_GB2312"/>
          <w:b/>
          <w:sz w:val="32"/>
          <w:szCs w:val="32"/>
        </w:rPr>
        <w:t>（一）调查范围和样本量</w:t>
      </w:r>
      <w:bookmarkEnd w:id="5"/>
    </w:p>
    <w:p w14:paraId="6C17D8F6">
      <w:pPr>
        <w:autoSpaceDE w:val="0"/>
        <w:autoSpaceDN w:val="0"/>
        <w:adjustRightInd w:val="0"/>
        <w:spacing w:line="360" w:lineRule="auto"/>
        <w:ind w:firstLine="640" w:firstLineChars="2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本次调查于202</w:t>
      </w:r>
      <w:r>
        <w:rPr>
          <w:rFonts w:ascii="仿宋_GB2312" w:eastAsia="仿宋_GB2312"/>
          <w:sz w:val="32"/>
          <w:szCs w:val="32"/>
        </w:rPr>
        <w:t>6</w:t>
      </w: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ascii="仿宋_GB2312" w:eastAsia="仿宋_GB2312"/>
          <w:sz w:val="32"/>
          <w:szCs w:val="32"/>
        </w:rPr>
        <w:t>9</w:t>
      </w:r>
      <w:r>
        <w:rPr>
          <w:rFonts w:hint="eastAsia" w:ascii="仿宋_GB2312" w:eastAsia="仿宋_GB2312"/>
          <w:sz w:val="32"/>
          <w:szCs w:val="32"/>
        </w:rPr>
        <w:t>月期间，采用面访、电话调查等多种方式相结合，对</w:t>
      </w:r>
      <w:r>
        <w:rPr>
          <w:rFonts w:hint="eastAsia" w:ascii="仿宋_GB2312" w:hAnsi="Times New Roman" w:eastAsia="仿宋_GB2312"/>
          <w:spacing w:val="-6"/>
          <w:sz w:val="32"/>
          <w:szCs w:val="32"/>
        </w:rPr>
        <w:t>2</w:t>
      </w:r>
      <w:r>
        <w:rPr>
          <w:rFonts w:ascii="仿宋_GB2312" w:hAnsi="Times New Roman" w:eastAsia="仿宋_GB2312"/>
          <w:spacing w:val="-6"/>
          <w:sz w:val="32"/>
          <w:szCs w:val="32"/>
        </w:rPr>
        <w:t>02</w:t>
      </w:r>
      <w:r>
        <w:rPr>
          <w:rFonts w:hint="eastAsia" w:ascii="仿宋_GB2312" w:hAnsi="Times New Roman" w:eastAsia="仿宋_GB2312"/>
          <w:spacing w:val="-6"/>
          <w:sz w:val="32"/>
          <w:szCs w:val="32"/>
          <w:lang w:val="en-US" w:eastAsia="zh-CN"/>
        </w:rPr>
        <w:t>5</w:t>
      </w:r>
      <w:r>
        <w:rPr>
          <w:rFonts w:hint="eastAsia" w:ascii="仿宋_GB2312" w:hAnsi="Times New Roman" w:eastAsia="仿宋_GB2312"/>
          <w:spacing w:val="-6"/>
          <w:sz w:val="32"/>
          <w:szCs w:val="32"/>
        </w:rPr>
        <w:t>年7月1日至2</w:t>
      </w:r>
      <w:r>
        <w:rPr>
          <w:rFonts w:ascii="仿宋_GB2312" w:hAnsi="Times New Roman" w:eastAsia="仿宋_GB2312"/>
          <w:spacing w:val="-6"/>
          <w:sz w:val="32"/>
          <w:szCs w:val="32"/>
        </w:rPr>
        <w:t>02</w:t>
      </w:r>
      <w:r>
        <w:rPr>
          <w:rFonts w:hint="eastAsia" w:ascii="仿宋_GB2312" w:hAnsi="Times New Roman" w:eastAsia="仿宋_GB2312"/>
          <w:spacing w:val="-6"/>
          <w:sz w:val="32"/>
          <w:szCs w:val="32"/>
          <w:lang w:val="en-US" w:eastAsia="zh-CN"/>
        </w:rPr>
        <w:t>6</w:t>
      </w:r>
      <w:r>
        <w:rPr>
          <w:rFonts w:hint="eastAsia" w:ascii="仿宋_GB2312" w:hAnsi="Times New Roman" w:eastAsia="仿宋_GB2312"/>
          <w:spacing w:val="-6"/>
          <w:sz w:val="32"/>
          <w:szCs w:val="32"/>
        </w:rPr>
        <w:t>年6月30日</w:t>
      </w:r>
      <w:r>
        <w:rPr>
          <w:rFonts w:hint="eastAsia" w:ascii="仿宋_GB2312" w:eastAsia="仿宋_GB2312"/>
          <w:sz w:val="32"/>
          <w:szCs w:val="32"/>
        </w:rPr>
        <w:t>在本市申请过供水接入服务的企业用户开展问卷调查。</w:t>
      </w:r>
    </w:p>
    <w:p w14:paraId="40EA10A3">
      <w:pPr>
        <w:autoSpaceDE w:val="0"/>
        <w:autoSpaceDN w:val="0"/>
        <w:adjustRightInd w:val="0"/>
        <w:spacing w:line="360" w:lineRule="auto"/>
        <w:ind w:firstLine="640" w:firstLineChars="2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服务的提供者共涉及本市1</w:t>
      </w:r>
      <w:r>
        <w:rPr>
          <w:rFonts w:ascii="仿宋_GB2312" w:eastAsia="仿宋_GB2312"/>
          <w:sz w:val="32"/>
          <w:szCs w:val="32"/>
        </w:rPr>
        <w:t>2</w:t>
      </w:r>
      <w:r>
        <w:rPr>
          <w:rFonts w:hint="eastAsia" w:ascii="仿宋_GB2312" w:eastAsia="仿宋_GB2312"/>
          <w:sz w:val="32"/>
          <w:szCs w:val="32"/>
        </w:rPr>
        <w:t>家供水企业,共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回收有效问卷</w:t>
      </w:r>
      <w:r>
        <w:rPr>
          <w:rFonts w:ascii="仿宋_GB2312" w:hAnsi="宋体" w:eastAsia="仿宋_GB2312" w:cs="宋体"/>
          <w:kern w:val="0"/>
          <w:sz w:val="32"/>
          <w:szCs w:val="32"/>
        </w:rPr>
        <w:t>500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份。填表人的性别比例分别为女性1</w:t>
      </w:r>
      <w:r>
        <w:rPr>
          <w:rFonts w:ascii="仿宋_GB2312" w:hAnsi="宋体" w:eastAsia="仿宋_GB2312" w:cs="宋体"/>
          <w:kern w:val="0"/>
          <w:sz w:val="32"/>
          <w:szCs w:val="32"/>
        </w:rPr>
        <w:t>3.4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%、男性</w:t>
      </w:r>
      <w:r>
        <w:rPr>
          <w:rFonts w:ascii="仿宋_GB2312" w:hAnsi="宋体" w:eastAsia="仿宋_GB2312" w:cs="宋体"/>
          <w:kern w:val="0"/>
          <w:sz w:val="32"/>
          <w:szCs w:val="32"/>
        </w:rPr>
        <w:t>86.6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%。其中，有</w:t>
      </w:r>
      <w:r>
        <w:rPr>
          <w:rFonts w:ascii="仿宋_GB2312" w:hAnsi="宋体" w:eastAsia="仿宋_GB2312" w:cs="宋体"/>
          <w:kern w:val="0"/>
          <w:sz w:val="32"/>
          <w:szCs w:val="32"/>
        </w:rPr>
        <w:t>50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位受访者表示其所在单位的管理者（中层及以上）中有女性（其余</w:t>
      </w:r>
      <w:r>
        <w:rPr>
          <w:rFonts w:ascii="仿宋_GB2312" w:hAnsi="宋体" w:eastAsia="仿宋_GB2312" w:cs="宋体"/>
          <w:kern w:val="0"/>
          <w:sz w:val="32"/>
          <w:szCs w:val="32"/>
        </w:rPr>
        <w:t>450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位表示不清楚），女性管</w:t>
      </w:r>
      <w:bookmarkStart w:id="23" w:name="_GoBack"/>
      <w:bookmarkEnd w:id="23"/>
      <w:r>
        <w:rPr>
          <w:rFonts w:hint="eastAsia" w:ascii="仿宋_GB2312" w:hAnsi="宋体" w:eastAsia="仿宋_GB2312" w:cs="宋体"/>
          <w:kern w:val="0"/>
          <w:sz w:val="32"/>
          <w:szCs w:val="32"/>
        </w:rPr>
        <w:t>理者平均占比为</w:t>
      </w:r>
      <w:r>
        <w:rPr>
          <w:rFonts w:ascii="仿宋_GB2312" w:hAnsi="宋体" w:eastAsia="仿宋_GB2312" w:cs="宋体"/>
          <w:kern w:val="0"/>
          <w:sz w:val="32"/>
          <w:szCs w:val="32"/>
        </w:rPr>
        <w:t>28.4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%。</w:t>
      </w:r>
    </w:p>
    <w:p w14:paraId="6E8D12A1"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回收的样本分布如下表：</w:t>
      </w:r>
    </w:p>
    <w:tbl>
      <w:tblPr>
        <w:tblStyle w:val="16"/>
        <w:tblW w:w="7467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1"/>
        <w:gridCol w:w="4115"/>
        <w:gridCol w:w="1559"/>
        <w:gridCol w:w="1082"/>
      </w:tblGrid>
      <w:tr w14:paraId="657436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tblHeader/>
          <w:jc w:val="center"/>
        </w:trPr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10AD64">
            <w:pPr>
              <w:widowControl/>
              <w:jc w:val="center"/>
              <w:rPr>
                <w:rFonts w:ascii="仿宋_GB2312" w:hAnsi="仿宋" w:eastAsia="仿宋_GB2312" w:cs="Arial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仿宋" w:eastAsia="仿宋_GB2312" w:cs="Arial"/>
                <w:b/>
                <w:bCs/>
                <w:kern w:val="0"/>
                <w:sz w:val="24"/>
              </w:rPr>
              <w:t>序号</w:t>
            </w:r>
          </w:p>
        </w:tc>
        <w:tc>
          <w:tcPr>
            <w:tcW w:w="41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D89564">
            <w:pPr>
              <w:widowControl/>
              <w:jc w:val="center"/>
              <w:rPr>
                <w:rFonts w:ascii="仿宋_GB2312" w:hAnsi="仿宋" w:eastAsia="仿宋_GB2312" w:cs="Arial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仿宋" w:eastAsia="仿宋_GB2312" w:cs="Arial"/>
                <w:b/>
                <w:bCs/>
                <w:kern w:val="0"/>
                <w:sz w:val="24"/>
              </w:rPr>
              <w:t>供水企业</w:t>
            </w: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F5B929">
            <w:pPr>
              <w:widowControl/>
              <w:spacing w:line="300" w:lineRule="exact"/>
              <w:jc w:val="center"/>
              <w:rPr>
                <w:rFonts w:ascii="仿宋_GB2312" w:hAnsi="仿宋" w:eastAsia="仿宋_GB2312" w:cs="Arial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仿宋" w:eastAsia="仿宋_GB2312" w:cs="Arial"/>
                <w:b/>
                <w:bCs/>
                <w:kern w:val="0"/>
                <w:sz w:val="24"/>
              </w:rPr>
              <w:t>回收有效</w:t>
            </w:r>
          </w:p>
          <w:p w14:paraId="45BF8A3F">
            <w:pPr>
              <w:widowControl/>
              <w:spacing w:line="300" w:lineRule="exact"/>
              <w:jc w:val="center"/>
              <w:rPr>
                <w:rFonts w:ascii="仿宋_GB2312" w:hAnsi="仿宋" w:eastAsia="仿宋_GB2312" w:cs="Arial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仿宋" w:eastAsia="仿宋_GB2312" w:cs="Arial"/>
                <w:b/>
                <w:bCs/>
                <w:kern w:val="0"/>
                <w:sz w:val="24"/>
              </w:rPr>
              <w:t>样本量（份）</w:t>
            </w:r>
          </w:p>
        </w:tc>
        <w:tc>
          <w:tcPr>
            <w:tcW w:w="108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2779B0">
            <w:pPr>
              <w:widowControl/>
              <w:jc w:val="center"/>
              <w:rPr>
                <w:rFonts w:ascii="仿宋_GB2312" w:hAnsi="仿宋" w:eastAsia="仿宋_GB2312" w:cs="Arial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仿宋" w:eastAsia="仿宋_GB2312" w:cs="Arial"/>
                <w:b/>
                <w:bCs/>
                <w:kern w:val="0"/>
                <w:sz w:val="24"/>
              </w:rPr>
              <w:t>占比</w:t>
            </w:r>
          </w:p>
        </w:tc>
      </w:tr>
      <w:tr w14:paraId="686475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6AC962">
            <w:pPr>
              <w:widowControl/>
              <w:jc w:val="center"/>
              <w:rPr>
                <w:rFonts w:ascii="仿宋_GB2312" w:hAnsi="仿宋" w:eastAsia="仿宋_GB2312" w:cs="Arial"/>
                <w:kern w:val="0"/>
                <w:sz w:val="24"/>
              </w:rPr>
            </w:pPr>
            <w:r>
              <w:rPr>
                <w:rFonts w:hint="eastAsia" w:ascii="仿宋_GB2312" w:hAnsi="仿宋" w:eastAsia="仿宋_GB2312" w:cs="Arial"/>
                <w:kern w:val="0"/>
                <w:sz w:val="24"/>
              </w:rPr>
              <w:t>1</w:t>
            </w:r>
          </w:p>
        </w:tc>
        <w:tc>
          <w:tcPr>
            <w:tcW w:w="4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BC9C3A">
            <w:pPr>
              <w:widowControl/>
              <w:rPr>
                <w:rFonts w:ascii="仿宋_GB2312" w:hAnsi="仿宋" w:eastAsia="仿宋_GB2312" w:cs="Arial"/>
                <w:kern w:val="0"/>
                <w:sz w:val="24"/>
              </w:rPr>
            </w:pPr>
            <w:r>
              <w:rPr>
                <w:rFonts w:hint="eastAsia" w:ascii="仿宋_GB2312" w:hAnsi="仿宋" w:eastAsia="仿宋_GB2312" w:cs="Arial"/>
                <w:kern w:val="0"/>
                <w:sz w:val="24"/>
              </w:rPr>
              <w:t>上海城投水务（集团）有限公司自来水业务受理分公司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F7CC6C">
            <w:pPr>
              <w:widowControl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250</w:t>
            </w:r>
          </w:p>
        </w:tc>
        <w:tc>
          <w:tcPr>
            <w:tcW w:w="10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6A3AF4">
            <w:pPr>
              <w:widowControl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50.0%</w:t>
            </w:r>
          </w:p>
        </w:tc>
      </w:tr>
      <w:tr w14:paraId="48515A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69CC00">
            <w:pPr>
              <w:widowControl/>
              <w:jc w:val="center"/>
              <w:rPr>
                <w:rFonts w:ascii="仿宋_GB2312" w:hAnsi="仿宋" w:eastAsia="仿宋_GB2312" w:cs="Arial"/>
                <w:kern w:val="0"/>
                <w:sz w:val="24"/>
              </w:rPr>
            </w:pPr>
            <w:r>
              <w:rPr>
                <w:rFonts w:hint="eastAsia" w:ascii="仿宋_GB2312" w:hAnsi="仿宋" w:eastAsia="仿宋_GB2312" w:cs="Arial"/>
                <w:kern w:val="0"/>
                <w:sz w:val="24"/>
              </w:rPr>
              <w:t>2</w:t>
            </w:r>
          </w:p>
        </w:tc>
        <w:tc>
          <w:tcPr>
            <w:tcW w:w="4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C3DE51">
            <w:pPr>
              <w:widowControl/>
              <w:rPr>
                <w:rFonts w:ascii="仿宋_GB2312" w:hAnsi="仿宋" w:eastAsia="仿宋_GB2312" w:cs="Arial"/>
                <w:kern w:val="0"/>
                <w:sz w:val="24"/>
              </w:rPr>
            </w:pPr>
            <w:r>
              <w:rPr>
                <w:rFonts w:hint="eastAsia" w:ascii="仿宋_GB2312" w:hAnsi="仿宋" w:eastAsia="仿宋_GB2312" w:cs="Arial"/>
                <w:kern w:val="0"/>
                <w:sz w:val="24"/>
              </w:rPr>
              <w:t>上海浦东威立雅自来水有限公司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3B6C03">
            <w:pPr>
              <w:widowControl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60</w:t>
            </w:r>
          </w:p>
        </w:tc>
        <w:tc>
          <w:tcPr>
            <w:tcW w:w="10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ABA121">
            <w:pPr>
              <w:widowControl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12.0%</w:t>
            </w:r>
          </w:p>
        </w:tc>
      </w:tr>
      <w:tr w14:paraId="358414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7D62F5">
            <w:pPr>
              <w:widowControl/>
              <w:jc w:val="center"/>
              <w:rPr>
                <w:rFonts w:ascii="仿宋_GB2312" w:hAnsi="仿宋" w:eastAsia="仿宋_GB2312" w:cs="Arial"/>
                <w:kern w:val="0"/>
                <w:sz w:val="24"/>
              </w:rPr>
            </w:pPr>
            <w:r>
              <w:rPr>
                <w:rFonts w:hint="eastAsia" w:ascii="仿宋_GB2312" w:hAnsi="仿宋" w:eastAsia="仿宋_GB2312" w:cs="Arial"/>
                <w:kern w:val="0"/>
                <w:sz w:val="24"/>
              </w:rPr>
              <w:t>3</w:t>
            </w:r>
          </w:p>
        </w:tc>
        <w:tc>
          <w:tcPr>
            <w:tcW w:w="4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4A2B5F">
            <w:pPr>
              <w:widowControl/>
              <w:rPr>
                <w:rFonts w:ascii="仿宋_GB2312" w:hAnsi="仿宋" w:eastAsia="仿宋_GB2312" w:cs="Arial"/>
                <w:kern w:val="0"/>
                <w:sz w:val="24"/>
              </w:rPr>
            </w:pPr>
            <w:r>
              <w:rPr>
                <w:rFonts w:hint="eastAsia" w:ascii="仿宋_GB2312" w:hAnsi="仿宋" w:eastAsia="仿宋_GB2312" w:cs="Arial"/>
                <w:kern w:val="0"/>
                <w:sz w:val="24"/>
              </w:rPr>
              <w:t>上海市浦东新区自来水有限公司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C68DB3">
            <w:pPr>
              <w:widowControl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50</w:t>
            </w:r>
          </w:p>
        </w:tc>
        <w:tc>
          <w:tcPr>
            <w:tcW w:w="10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37033E">
            <w:pPr>
              <w:widowControl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10.0%</w:t>
            </w:r>
          </w:p>
        </w:tc>
      </w:tr>
      <w:tr w14:paraId="337614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1AF331">
            <w:pPr>
              <w:widowControl/>
              <w:jc w:val="center"/>
              <w:rPr>
                <w:rFonts w:ascii="仿宋_GB2312" w:hAnsi="仿宋" w:eastAsia="仿宋_GB2312" w:cs="Arial"/>
                <w:kern w:val="0"/>
                <w:sz w:val="24"/>
              </w:rPr>
            </w:pPr>
            <w:r>
              <w:rPr>
                <w:rFonts w:hint="eastAsia" w:ascii="仿宋_GB2312" w:hAnsi="仿宋" w:eastAsia="仿宋_GB2312" w:cs="Arial"/>
                <w:kern w:val="0"/>
                <w:sz w:val="24"/>
              </w:rPr>
              <w:t>4</w:t>
            </w:r>
          </w:p>
        </w:tc>
        <w:tc>
          <w:tcPr>
            <w:tcW w:w="4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4FF0624F">
            <w:pPr>
              <w:widowControl/>
              <w:rPr>
                <w:rFonts w:ascii="仿宋_GB2312" w:hAnsi="仿宋" w:eastAsia="仿宋_GB2312" w:cs="Arial"/>
                <w:kern w:val="0"/>
                <w:sz w:val="24"/>
              </w:rPr>
            </w:pPr>
            <w:r>
              <w:rPr>
                <w:rFonts w:hint="eastAsia" w:ascii="仿宋_GB2312" w:hAnsi="仿宋" w:eastAsia="仿宋_GB2312" w:cs="Arial"/>
                <w:kern w:val="0"/>
                <w:sz w:val="24"/>
              </w:rPr>
              <w:t>上海市北宝山自来水有限公司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191638">
            <w:pPr>
              <w:widowControl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25</w:t>
            </w:r>
          </w:p>
        </w:tc>
        <w:tc>
          <w:tcPr>
            <w:tcW w:w="10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765A62">
            <w:pPr>
              <w:widowControl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5.0%</w:t>
            </w:r>
          </w:p>
        </w:tc>
      </w:tr>
      <w:tr w14:paraId="38F308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6A7720">
            <w:pPr>
              <w:widowControl/>
              <w:jc w:val="center"/>
              <w:rPr>
                <w:rFonts w:ascii="仿宋_GB2312" w:hAnsi="仿宋" w:eastAsia="仿宋_GB2312" w:cs="Arial"/>
                <w:kern w:val="0"/>
                <w:sz w:val="24"/>
              </w:rPr>
            </w:pPr>
            <w:r>
              <w:rPr>
                <w:rFonts w:hint="eastAsia" w:ascii="仿宋_GB2312" w:hAnsi="仿宋" w:eastAsia="仿宋_GB2312" w:cs="Arial"/>
                <w:kern w:val="0"/>
                <w:sz w:val="24"/>
              </w:rPr>
              <w:t>5</w:t>
            </w:r>
          </w:p>
        </w:tc>
        <w:tc>
          <w:tcPr>
            <w:tcW w:w="4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68E14B">
            <w:pPr>
              <w:widowControl/>
              <w:rPr>
                <w:rFonts w:ascii="仿宋_GB2312" w:hAnsi="仿宋" w:eastAsia="仿宋_GB2312" w:cs="Arial"/>
                <w:kern w:val="0"/>
                <w:sz w:val="24"/>
              </w:rPr>
            </w:pPr>
            <w:r>
              <w:rPr>
                <w:rFonts w:hint="eastAsia" w:ascii="仿宋_GB2312" w:hAnsi="仿宋" w:eastAsia="仿宋_GB2312" w:cs="Arial"/>
                <w:kern w:val="0"/>
                <w:sz w:val="24"/>
              </w:rPr>
              <w:t>上海南汇自来水有限公司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97A57B">
            <w:pPr>
              <w:widowControl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40</w:t>
            </w:r>
          </w:p>
        </w:tc>
        <w:tc>
          <w:tcPr>
            <w:tcW w:w="10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B4321B">
            <w:pPr>
              <w:widowControl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8.0%</w:t>
            </w:r>
          </w:p>
        </w:tc>
      </w:tr>
      <w:tr w14:paraId="475589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E2606F">
            <w:pPr>
              <w:widowControl/>
              <w:jc w:val="center"/>
              <w:rPr>
                <w:rFonts w:ascii="仿宋_GB2312" w:hAnsi="仿宋" w:eastAsia="仿宋_GB2312" w:cs="Arial"/>
                <w:kern w:val="0"/>
                <w:sz w:val="24"/>
              </w:rPr>
            </w:pPr>
            <w:r>
              <w:rPr>
                <w:rFonts w:hint="eastAsia" w:ascii="仿宋_GB2312" w:hAnsi="仿宋" w:eastAsia="仿宋_GB2312" w:cs="Arial"/>
                <w:kern w:val="0"/>
                <w:sz w:val="24"/>
              </w:rPr>
              <w:t>6</w:t>
            </w:r>
          </w:p>
        </w:tc>
        <w:tc>
          <w:tcPr>
            <w:tcW w:w="4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9A2EAE">
            <w:pPr>
              <w:widowControl/>
              <w:rPr>
                <w:rFonts w:ascii="仿宋_GB2312" w:hAnsi="仿宋" w:eastAsia="仿宋_GB2312" w:cs="Arial"/>
                <w:kern w:val="0"/>
                <w:sz w:val="24"/>
              </w:rPr>
            </w:pPr>
            <w:r>
              <w:rPr>
                <w:rFonts w:hint="eastAsia" w:ascii="仿宋_GB2312" w:hAnsi="仿宋" w:eastAsia="仿宋_GB2312" w:cs="Arial"/>
                <w:kern w:val="0"/>
                <w:sz w:val="24"/>
              </w:rPr>
              <w:t>上海金山自来水有限公司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72D838">
            <w:pPr>
              <w:widowControl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6</w:t>
            </w:r>
          </w:p>
        </w:tc>
        <w:tc>
          <w:tcPr>
            <w:tcW w:w="10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DDAD7F">
            <w:pPr>
              <w:widowControl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1.2%</w:t>
            </w:r>
          </w:p>
        </w:tc>
      </w:tr>
      <w:tr w14:paraId="371D50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A07CB4">
            <w:pPr>
              <w:widowControl/>
              <w:jc w:val="center"/>
              <w:rPr>
                <w:rFonts w:ascii="仿宋_GB2312" w:hAnsi="仿宋" w:eastAsia="仿宋_GB2312" w:cs="Arial"/>
                <w:kern w:val="0"/>
                <w:sz w:val="24"/>
              </w:rPr>
            </w:pPr>
            <w:r>
              <w:rPr>
                <w:rFonts w:hint="eastAsia" w:ascii="仿宋_GB2312" w:hAnsi="仿宋" w:eastAsia="仿宋_GB2312" w:cs="Arial"/>
                <w:kern w:val="0"/>
                <w:sz w:val="24"/>
              </w:rPr>
              <w:t>7</w:t>
            </w:r>
          </w:p>
        </w:tc>
        <w:tc>
          <w:tcPr>
            <w:tcW w:w="4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4EDCDF61">
            <w:pPr>
              <w:widowControl/>
              <w:rPr>
                <w:rFonts w:ascii="仿宋_GB2312" w:hAnsi="仿宋" w:eastAsia="仿宋_GB2312" w:cs="Arial"/>
                <w:kern w:val="0"/>
                <w:sz w:val="24"/>
              </w:rPr>
            </w:pPr>
            <w:r>
              <w:rPr>
                <w:rFonts w:hint="eastAsia" w:ascii="仿宋_GB2312" w:hAnsi="仿宋" w:eastAsia="仿宋_GB2312" w:cs="Arial"/>
                <w:kern w:val="0"/>
                <w:sz w:val="24"/>
              </w:rPr>
              <w:t>上海市松江自来水有限公司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726BDA">
            <w:pPr>
              <w:widowControl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8</w:t>
            </w:r>
          </w:p>
        </w:tc>
        <w:tc>
          <w:tcPr>
            <w:tcW w:w="10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A034FA">
            <w:pPr>
              <w:widowControl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1.6%</w:t>
            </w:r>
          </w:p>
        </w:tc>
      </w:tr>
      <w:tr w14:paraId="4BC280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F461F3">
            <w:pPr>
              <w:widowControl/>
              <w:jc w:val="center"/>
              <w:rPr>
                <w:rFonts w:ascii="仿宋_GB2312" w:hAnsi="仿宋" w:eastAsia="仿宋_GB2312" w:cs="Arial"/>
                <w:kern w:val="0"/>
                <w:sz w:val="24"/>
              </w:rPr>
            </w:pPr>
            <w:r>
              <w:rPr>
                <w:rFonts w:hint="eastAsia" w:ascii="仿宋_GB2312" w:hAnsi="仿宋" w:eastAsia="仿宋_GB2312" w:cs="Arial"/>
                <w:kern w:val="0"/>
                <w:sz w:val="24"/>
              </w:rPr>
              <w:t>8</w:t>
            </w:r>
          </w:p>
        </w:tc>
        <w:tc>
          <w:tcPr>
            <w:tcW w:w="4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5E858A">
            <w:pPr>
              <w:widowControl/>
              <w:rPr>
                <w:rFonts w:ascii="仿宋_GB2312" w:hAnsi="仿宋" w:eastAsia="仿宋_GB2312" w:cs="Arial"/>
                <w:kern w:val="0"/>
                <w:sz w:val="24"/>
              </w:rPr>
            </w:pPr>
            <w:r>
              <w:rPr>
                <w:rFonts w:hint="eastAsia" w:ascii="仿宋_GB2312" w:hAnsi="仿宋" w:eastAsia="仿宋_GB2312" w:cs="Arial"/>
                <w:kern w:val="0"/>
                <w:sz w:val="24"/>
              </w:rPr>
              <w:t>上海市嘉定自来水有限公司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35C618">
            <w:pPr>
              <w:widowControl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23</w:t>
            </w:r>
          </w:p>
        </w:tc>
        <w:tc>
          <w:tcPr>
            <w:tcW w:w="10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FD3AB8">
            <w:pPr>
              <w:widowControl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4.6%</w:t>
            </w:r>
          </w:p>
        </w:tc>
      </w:tr>
      <w:tr w14:paraId="49A802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D90D5D">
            <w:pPr>
              <w:widowControl/>
              <w:jc w:val="center"/>
              <w:rPr>
                <w:rFonts w:ascii="仿宋_GB2312" w:hAnsi="仿宋" w:eastAsia="仿宋_GB2312" w:cs="Arial"/>
                <w:kern w:val="0"/>
                <w:sz w:val="24"/>
              </w:rPr>
            </w:pPr>
            <w:r>
              <w:rPr>
                <w:rFonts w:hint="eastAsia" w:ascii="仿宋_GB2312" w:hAnsi="仿宋" w:eastAsia="仿宋_GB2312" w:cs="Arial"/>
                <w:kern w:val="0"/>
                <w:sz w:val="24"/>
              </w:rPr>
              <w:t>9</w:t>
            </w:r>
          </w:p>
        </w:tc>
        <w:tc>
          <w:tcPr>
            <w:tcW w:w="4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44E29FFF">
            <w:pPr>
              <w:widowControl/>
              <w:rPr>
                <w:rFonts w:ascii="仿宋_GB2312" w:hAnsi="仿宋" w:eastAsia="仿宋_GB2312" w:cs="Arial"/>
                <w:kern w:val="0"/>
                <w:sz w:val="24"/>
              </w:rPr>
            </w:pPr>
            <w:r>
              <w:rPr>
                <w:rFonts w:hint="eastAsia" w:ascii="仿宋_GB2312" w:hAnsi="仿宋" w:eastAsia="仿宋_GB2312" w:cs="Arial"/>
                <w:kern w:val="0"/>
                <w:sz w:val="24"/>
              </w:rPr>
              <w:t>上海青浦自来水有限公司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20D32D">
            <w:pPr>
              <w:widowControl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7</w:t>
            </w:r>
          </w:p>
        </w:tc>
        <w:tc>
          <w:tcPr>
            <w:tcW w:w="10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524183">
            <w:pPr>
              <w:widowControl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1.4%</w:t>
            </w:r>
          </w:p>
        </w:tc>
      </w:tr>
      <w:tr w14:paraId="41A578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656C2C">
            <w:pPr>
              <w:widowControl/>
              <w:jc w:val="center"/>
              <w:rPr>
                <w:rFonts w:ascii="仿宋_GB2312" w:hAnsi="仿宋" w:eastAsia="仿宋_GB2312" w:cs="Arial"/>
                <w:kern w:val="0"/>
                <w:sz w:val="24"/>
              </w:rPr>
            </w:pPr>
            <w:r>
              <w:rPr>
                <w:rFonts w:hint="eastAsia" w:ascii="仿宋_GB2312" w:hAnsi="仿宋" w:eastAsia="仿宋_GB2312" w:cs="Arial"/>
                <w:kern w:val="0"/>
                <w:sz w:val="24"/>
              </w:rPr>
              <w:t>1</w:t>
            </w:r>
            <w:r>
              <w:rPr>
                <w:rFonts w:ascii="仿宋_GB2312" w:hAnsi="仿宋" w:eastAsia="仿宋_GB2312" w:cs="Arial"/>
                <w:kern w:val="0"/>
                <w:sz w:val="24"/>
              </w:rPr>
              <w:t>0</w:t>
            </w:r>
          </w:p>
        </w:tc>
        <w:tc>
          <w:tcPr>
            <w:tcW w:w="4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F3ADD3">
            <w:pPr>
              <w:widowControl/>
              <w:rPr>
                <w:rFonts w:ascii="仿宋_GB2312" w:hAnsi="仿宋" w:eastAsia="仿宋_GB2312" w:cs="Arial"/>
                <w:kern w:val="0"/>
                <w:sz w:val="24"/>
              </w:rPr>
            </w:pPr>
            <w:r>
              <w:rPr>
                <w:rFonts w:hint="eastAsia" w:ascii="仿宋_GB2312" w:hAnsi="仿宋" w:eastAsia="仿宋_GB2312" w:cs="Arial"/>
                <w:kern w:val="0"/>
                <w:sz w:val="24"/>
              </w:rPr>
              <w:t>上海市自来水奉贤有限公司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604954">
            <w:pPr>
              <w:widowControl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18</w:t>
            </w:r>
          </w:p>
        </w:tc>
        <w:tc>
          <w:tcPr>
            <w:tcW w:w="10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E9CE8B">
            <w:pPr>
              <w:widowControl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3.6%</w:t>
            </w:r>
          </w:p>
        </w:tc>
      </w:tr>
      <w:tr w14:paraId="11896E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E1DBDE">
            <w:pPr>
              <w:widowControl/>
              <w:jc w:val="center"/>
              <w:rPr>
                <w:rFonts w:ascii="仿宋_GB2312" w:hAnsi="仿宋" w:eastAsia="仿宋_GB2312" w:cs="Arial"/>
                <w:kern w:val="0"/>
                <w:sz w:val="24"/>
              </w:rPr>
            </w:pPr>
            <w:r>
              <w:rPr>
                <w:rFonts w:hint="eastAsia" w:ascii="仿宋_GB2312" w:hAnsi="仿宋" w:eastAsia="仿宋_GB2312" w:cs="Arial"/>
                <w:kern w:val="0"/>
                <w:sz w:val="24"/>
              </w:rPr>
              <w:t>1</w:t>
            </w:r>
            <w:r>
              <w:rPr>
                <w:rFonts w:ascii="仿宋_GB2312" w:hAnsi="仿宋" w:eastAsia="仿宋_GB2312" w:cs="Arial"/>
                <w:kern w:val="0"/>
                <w:sz w:val="24"/>
              </w:rPr>
              <w:t>1</w:t>
            </w:r>
          </w:p>
        </w:tc>
        <w:tc>
          <w:tcPr>
            <w:tcW w:w="4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55BCB8BA">
            <w:pPr>
              <w:widowControl/>
              <w:rPr>
                <w:rFonts w:ascii="仿宋_GB2312" w:hAnsi="仿宋" w:eastAsia="仿宋_GB2312" w:cs="Arial"/>
                <w:kern w:val="0"/>
                <w:sz w:val="24"/>
              </w:rPr>
            </w:pPr>
            <w:r>
              <w:rPr>
                <w:rFonts w:hint="eastAsia" w:ascii="仿宋_GB2312" w:hAnsi="仿宋" w:eastAsia="仿宋_GB2312" w:cs="Arial"/>
                <w:kern w:val="0"/>
                <w:sz w:val="24"/>
              </w:rPr>
              <w:t>上海临港供排水发展有限公司（供水）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93189D">
            <w:pPr>
              <w:widowControl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12</w:t>
            </w:r>
          </w:p>
        </w:tc>
        <w:tc>
          <w:tcPr>
            <w:tcW w:w="10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244575">
            <w:pPr>
              <w:widowControl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2.4%</w:t>
            </w:r>
          </w:p>
        </w:tc>
      </w:tr>
      <w:tr w14:paraId="768EE8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02F56F">
            <w:pPr>
              <w:widowControl/>
              <w:jc w:val="center"/>
              <w:rPr>
                <w:rFonts w:ascii="仿宋_GB2312" w:hAnsi="仿宋" w:eastAsia="仿宋_GB2312" w:cs="Arial"/>
                <w:kern w:val="0"/>
                <w:sz w:val="24"/>
              </w:rPr>
            </w:pPr>
            <w:r>
              <w:rPr>
                <w:rFonts w:hint="eastAsia" w:ascii="仿宋_GB2312" w:hAnsi="仿宋" w:eastAsia="仿宋_GB2312" w:cs="Arial"/>
                <w:kern w:val="0"/>
                <w:sz w:val="24"/>
              </w:rPr>
              <w:t>1</w:t>
            </w:r>
            <w:r>
              <w:rPr>
                <w:rFonts w:ascii="仿宋_GB2312" w:hAnsi="仿宋" w:eastAsia="仿宋_GB2312" w:cs="Arial"/>
                <w:kern w:val="0"/>
                <w:sz w:val="24"/>
              </w:rPr>
              <w:t>2</w:t>
            </w:r>
          </w:p>
        </w:tc>
        <w:tc>
          <w:tcPr>
            <w:tcW w:w="4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8E8D0C">
            <w:pPr>
              <w:widowControl/>
              <w:rPr>
                <w:rFonts w:ascii="仿宋_GB2312" w:hAnsi="仿宋" w:eastAsia="仿宋_GB2312" w:cs="Arial"/>
                <w:kern w:val="0"/>
                <w:sz w:val="24"/>
              </w:rPr>
            </w:pPr>
            <w:r>
              <w:rPr>
                <w:rFonts w:hint="eastAsia" w:ascii="仿宋_GB2312" w:hAnsi="仿宋" w:eastAsia="仿宋_GB2312" w:cs="Arial"/>
                <w:kern w:val="0"/>
                <w:sz w:val="24"/>
              </w:rPr>
              <w:t>上海市崇明区自来水公司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C5EA83">
            <w:pPr>
              <w:widowControl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1</w:t>
            </w:r>
          </w:p>
        </w:tc>
        <w:tc>
          <w:tcPr>
            <w:tcW w:w="10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C285AC">
            <w:pPr>
              <w:widowControl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0.2%</w:t>
            </w:r>
          </w:p>
        </w:tc>
      </w:tr>
      <w:tr w14:paraId="3CFF78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B1F5AF">
            <w:pPr>
              <w:widowControl/>
              <w:jc w:val="center"/>
              <w:rPr>
                <w:rFonts w:ascii="仿宋_GB2312" w:hAnsi="仿宋" w:eastAsia="仿宋_GB2312" w:cs="Arial"/>
                <w:kern w:val="0"/>
                <w:sz w:val="24"/>
              </w:rPr>
            </w:pPr>
            <w:r>
              <w:rPr>
                <w:rFonts w:hint="eastAsia" w:ascii="仿宋_GB2312" w:hAnsi="仿宋" w:eastAsia="仿宋_GB2312" w:cs="Arial"/>
                <w:kern w:val="0"/>
                <w:sz w:val="24"/>
              </w:rPr>
              <w:t>1</w:t>
            </w:r>
            <w:r>
              <w:rPr>
                <w:rFonts w:ascii="仿宋_GB2312" w:hAnsi="仿宋" w:eastAsia="仿宋_GB2312" w:cs="Arial"/>
                <w:kern w:val="0"/>
                <w:sz w:val="24"/>
              </w:rPr>
              <w:t>3</w:t>
            </w:r>
          </w:p>
        </w:tc>
        <w:tc>
          <w:tcPr>
            <w:tcW w:w="4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62AED4E">
            <w:pPr>
              <w:widowControl/>
              <w:rPr>
                <w:rFonts w:ascii="仿宋_GB2312" w:hAnsi="仿宋" w:eastAsia="仿宋_GB2312" w:cs="Arial"/>
                <w:kern w:val="0"/>
                <w:sz w:val="24"/>
              </w:rPr>
            </w:pPr>
            <w:r>
              <w:rPr>
                <w:rFonts w:hint="eastAsia" w:ascii="仿宋_GB2312" w:hAnsi="仿宋" w:eastAsia="仿宋_GB2312" w:cs="Arial"/>
                <w:kern w:val="0"/>
                <w:sz w:val="24"/>
              </w:rPr>
              <w:t>上海市松江西部自来水有限公司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3BEB2C">
            <w:pPr>
              <w:widowControl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1</w:t>
            </w:r>
          </w:p>
        </w:tc>
        <w:tc>
          <w:tcPr>
            <w:tcW w:w="10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B9E7D3">
            <w:pPr>
              <w:widowControl/>
              <w:jc w:val="center"/>
              <w:rPr>
                <w:rFonts w:ascii="仿宋_GB2312" w:hAnsi="仿宋" w:eastAsia="仿宋_GB2312" w:cs="Arial"/>
                <w:kern w:val="0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0.2%</w:t>
            </w:r>
          </w:p>
        </w:tc>
      </w:tr>
      <w:tr w14:paraId="5D2E1D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4826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0FCF0E">
            <w:pPr>
              <w:widowControl/>
              <w:jc w:val="center"/>
              <w:rPr>
                <w:rFonts w:ascii="仿宋_GB2312" w:hAnsi="仿宋" w:eastAsia="仿宋_GB2312" w:cs="Arial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 w:cs="Arial"/>
                <w:b/>
                <w:bCs/>
                <w:kern w:val="0"/>
                <w:sz w:val="28"/>
                <w:szCs w:val="28"/>
              </w:rPr>
              <w:t>合计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027603">
            <w:pPr>
              <w:widowControl/>
              <w:jc w:val="center"/>
              <w:rPr>
                <w:rFonts w:ascii="仿宋_GB2312" w:hAnsi="仿宋" w:eastAsia="仿宋_GB2312" w:cs="Arial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 w:cs="Arial"/>
                <w:b/>
                <w:bCs/>
                <w:kern w:val="0"/>
                <w:sz w:val="28"/>
                <w:szCs w:val="28"/>
              </w:rPr>
              <w:t>5</w:t>
            </w:r>
            <w:r>
              <w:rPr>
                <w:rFonts w:ascii="仿宋_GB2312" w:hAnsi="仿宋" w:eastAsia="仿宋_GB2312" w:cs="Arial"/>
                <w:b/>
                <w:bCs/>
                <w:kern w:val="0"/>
                <w:sz w:val="28"/>
                <w:szCs w:val="28"/>
              </w:rPr>
              <w:t>00</w:t>
            </w:r>
          </w:p>
        </w:tc>
        <w:tc>
          <w:tcPr>
            <w:tcW w:w="10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763DD0">
            <w:pPr>
              <w:widowControl/>
              <w:jc w:val="center"/>
              <w:rPr>
                <w:rFonts w:ascii="仿宋_GB2312" w:hAnsi="仿宋" w:eastAsia="仿宋_GB2312" w:cs="Arial"/>
                <w:b/>
                <w:bCs/>
                <w:kern w:val="0"/>
                <w:sz w:val="28"/>
                <w:szCs w:val="28"/>
              </w:rPr>
            </w:pPr>
            <w:r>
              <w:rPr>
                <w:rFonts w:ascii="仿宋_GB2312" w:hAnsi="仿宋" w:eastAsia="仿宋_GB2312" w:cs="Arial"/>
                <w:b/>
                <w:bCs/>
                <w:kern w:val="0"/>
                <w:sz w:val="28"/>
                <w:szCs w:val="28"/>
              </w:rPr>
              <w:t>100</w:t>
            </w:r>
            <w:r>
              <w:rPr>
                <w:rFonts w:hint="eastAsia" w:ascii="仿宋_GB2312" w:hAnsi="仿宋" w:eastAsia="仿宋_GB2312" w:cs="Arial"/>
                <w:b/>
                <w:bCs/>
                <w:kern w:val="0"/>
                <w:sz w:val="28"/>
                <w:szCs w:val="28"/>
              </w:rPr>
              <w:t>.</w:t>
            </w:r>
            <w:r>
              <w:rPr>
                <w:rFonts w:ascii="仿宋_GB2312" w:hAnsi="仿宋" w:eastAsia="仿宋_GB2312" w:cs="Arial"/>
                <w:b/>
                <w:bCs/>
                <w:kern w:val="0"/>
                <w:sz w:val="28"/>
                <w:szCs w:val="28"/>
              </w:rPr>
              <w:t>0</w:t>
            </w:r>
            <w:r>
              <w:rPr>
                <w:rFonts w:hint="eastAsia" w:ascii="仿宋_GB2312" w:hAnsi="仿宋" w:eastAsia="仿宋_GB2312" w:cs="Arial"/>
                <w:b/>
                <w:bCs/>
                <w:kern w:val="0"/>
                <w:sz w:val="28"/>
                <w:szCs w:val="28"/>
              </w:rPr>
              <w:t>%</w:t>
            </w:r>
          </w:p>
        </w:tc>
      </w:tr>
    </w:tbl>
    <w:p w14:paraId="4D33140F">
      <w:pPr>
        <w:ind w:firstLine="640" w:firstLineChars="2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</w:p>
    <w:p w14:paraId="0E385B64">
      <w:pPr>
        <w:autoSpaceDE w:val="0"/>
        <w:autoSpaceDN w:val="0"/>
        <w:adjustRightInd w:val="0"/>
        <w:spacing w:line="360" w:lineRule="auto"/>
        <w:jc w:val="left"/>
        <w:outlineLvl w:val="1"/>
        <w:rPr>
          <w:rFonts w:ascii="仿宋_GB2312" w:hAnsi="仿宋" w:eastAsia="仿宋_GB2312"/>
          <w:b/>
          <w:sz w:val="32"/>
          <w:szCs w:val="32"/>
        </w:rPr>
      </w:pPr>
      <w:bookmarkStart w:id="6" w:name="_Toc145100749"/>
      <w:r>
        <w:rPr>
          <w:rFonts w:hint="eastAsia" w:ascii="仿宋_GB2312" w:hAnsi="仿宋" w:eastAsia="仿宋_GB2312"/>
          <w:b/>
          <w:sz w:val="32"/>
          <w:szCs w:val="32"/>
        </w:rPr>
        <w:t>（二）调查内容</w:t>
      </w:r>
      <w:bookmarkEnd w:id="6"/>
    </w:p>
    <w:p w14:paraId="58153F8F"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参照城镇供水服务标准及行业相关服务要求，问卷内容根据供水接入服务的各个环节展开，主要包含以下内容：</w:t>
      </w:r>
    </w:p>
    <w:p w14:paraId="6CF58B95">
      <w:pPr>
        <w:autoSpaceDE w:val="0"/>
        <w:autoSpaceDN w:val="0"/>
        <w:adjustRightInd w:val="0"/>
        <w:spacing w:line="360" w:lineRule="auto"/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  <w:drawing>
          <wp:inline distT="0" distB="0" distL="0" distR="0">
            <wp:extent cx="5702300" cy="2357755"/>
            <wp:effectExtent l="38100" t="0" r="0" b="4445"/>
            <wp:docPr id="2" name="图示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7" r:lo="rId8" r:qs="rId9" r:cs="rId10"/>
              </a:graphicData>
            </a:graphic>
          </wp:inline>
        </w:drawing>
      </w:r>
    </w:p>
    <w:p w14:paraId="02AF7F8A">
      <w:pPr>
        <w:autoSpaceDE w:val="0"/>
        <w:autoSpaceDN w:val="0"/>
        <w:adjustRightInd w:val="0"/>
        <w:spacing w:line="360" w:lineRule="auto"/>
        <w:jc w:val="left"/>
        <w:outlineLvl w:val="1"/>
        <w:rPr>
          <w:rFonts w:ascii="仿宋_GB2312" w:hAnsi="仿宋" w:eastAsia="仿宋_GB2312"/>
          <w:b/>
          <w:sz w:val="32"/>
          <w:szCs w:val="32"/>
        </w:rPr>
      </w:pPr>
      <w:bookmarkStart w:id="7" w:name="_Toc145100750"/>
      <w:r>
        <w:rPr>
          <w:rFonts w:hint="eastAsia" w:ascii="仿宋_GB2312" w:hAnsi="仿宋" w:eastAsia="仿宋_GB2312"/>
          <w:b/>
          <w:sz w:val="32"/>
          <w:szCs w:val="32"/>
        </w:rPr>
        <w:t>（三）</w:t>
      </w:r>
      <w:bookmarkEnd w:id="7"/>
      <w:r>
        <w:rPr>
          <w:rFonts w:hint="eastAsia" w:ascii="仿宋_GB2312" w:hAnsi="仿宋" w:eastAsia="仿宋_GB2312"/>
          <w:b/>
          <w:sz w:val="32"/>
          <w:szCs w:val="32"/>
        </w:rPr>
        <w:t>统计方式</w:t>
      </w:r>
    </w:p>
    <w:p w14:paraId="06ED9E61"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调查问卷的每项指标分为“非常满意”、“满意”、“基本满意”及“不满意”四个评价梯度，按照选项的比例统计结果。</w:t>
      </w:r>
    </w:p>
    <w:p w14:paraId="7E85EF82">
      <w:pPr>
        <w:pStyle w:val="14"/>
        <w:jc w:val="left"/>
        <w:outlineLvl w:val="2"/>
        <w:rPr>
          <w:rFonts w:ascii="仿宋_GB2312" w:hAnsi="宋体" w:eastAsia="仿宋_GB2312" w:cs="宋体"/>
          <w:kern w:val="0"/>
        </w:rPr>
      </w:pPr>
      <w:bookmarkStart w:id="8" w:name="_Toc145100751"/>
      <w:r>
        <w:rPr>
          <w:rFonts w:hint="eastAsia" w:ascii="仿宋_GB2312" w:hAnsi="仿宋" w:eastAsia="仿宋_GB2312"/>
        </w:rPr>
        <w:t>1、</w:t>
      </w:r>
      <w:r>
        <w:rPr>
          <w:rFonts w:hint="eastAsia" w:ascii="仿宋_GB2312" w:eastAsia="仿宋_GB2312"/>
        </w:rPr>
        <w:t>总体满意率</w:t>
      </w:r>
      <w:bookmarkEnd w:id="8"/>
    </w:p>
    <w:p w14:paraId="53AA8DFB">
      <w:pPr>
        <w:ind w:firstLine="640" w:firstLineChars="200"/>
        <w:jc w:val="center"/>
        <w:rPr>
          <w:rFonts w:ascii="仿宋_GB2312" w:eastAsia="仿宋_GB2312"/>
          <w:sz w:val="32"/>
          <w:szCs w:val="32"/>
        </w:rPr>
      </w:pPr>
      <m:oMathPara>
        <m:oMath>
          <m:r>
            <m:rPr/>
            <w:rPr>
              <w:rFonts w:ascii="Cambria Math" w:hAnsi="Cambria Math" w:eastAsia="仿宋_GB2312"/>
              <w:sz w:val="32"/>
              <w:szCs w:val="32"/>
            </w:rPr>
            <m:t>P=</m:t>
          </m:r>
          <m:f>
            <m:fPr>
              <m:ctrlPr>
                <w:rPr>
                  <w:rFonts w:ascii="Cambria Math" w:hAnsi="Cambria Math" w:eastAsia="仿宋_GB2312"/>
                  <w:i/>
                  <w:sz w:val="32"/>
                  <w:szCs w:val="32"/>
                </w:rPr>
              </m:ctrlPr>
            </m:fPr>
            <m:num>
              <m:nary>
                <m:naryPr>
                  <m:chr m:val="∑"/>
                  <m:limLoc m:val="undOvr"/>
                  <m:subHide m:val="1"/>
                  <m:supHide m:val="1"/>
                  <m:ctrlPr>
                    <w:rPr>
                      <w:rFonts w:ascii="Cambria Math" w:hAnsi="Cambria Math" w:eastAsia="仿宋_GB2312"/>
                      <w:i/>
                      <w:sz w:val="32"/>
                      <w:szCs w:val="32"/>
                    </w:rPr>
                  </m:ctrlPr>
                </m:naryPr>
                <m:sub>
                  <m:ctrlPr>
                    <w:rPr>
                      <w:rFonts w:ascii="Cambria Math" w:hAnsi="Cambria Math" w:eastAsia="仿宋_GB2312"/>
                      <w:i/>
                      <w:sz w:val="32"/>
                      <w:szCs w:val="32"/>
                    </w:rPr>
                  </m:ctrlPr>
                </m:sub>
                <m:sup>
                  <m:ctrlPr>
                    <w:rPr>
                      <w:rFonts w:ascii="Cambria Math" w:hAnsi="Cambria Math" w:eastAsia="仿宋_GB2312"/>
                      <w:i/>
                      <w:sz w:val="32"/>
                      <w:szCs w:val="32"/>
                    </w:rPr>
                  </m:ctrlPr>
                </m:sup>
                <m:e>
                  <m:sSub>
                    <m:sSubPr>
                      <m:ctrlPr>
                        <w:rPr>
                          <w:rFonts w:ascii="Cambria Math" w:hAnsi="Cambria Math" w:eastAsia="仿宋_GB2312"/>
                          <w:i/>
                          <w:sz w:val="32"/>
                          <w:szCs w:val="32"/>
                        </w:rPr>
                      </m:ctrlPr>
                    </m:sSubPr>
                    <m:e>
                      <m:r>
                        <m:rPr/>
                        <w:rPr>
                          <w:rFonts w:ascii="Cambria Math" w:hAnsi="Cambria Math" w:eastAsia="仿宋_GB2312"/>
                          <w:sz w:val="32"/>
                          <w:szCs w:val="32"/>
                        </w:rPr>
                        <m:t>p</m:t>
                      </m:r>
                      <m:ctrlPr>
                        <w:rPr>
                          <w:rFonts w:ascii="Cambria Math" w:hAnsi="Cambria Math" w:eastAsia="仿宋_GB2312"/>
                          <w:i/>
                          <w:sz w:val="32"/>
                          <w:szCs w:val="32"/>
                        </w:rPr>
                      </m:ctrlPr>
                    </m:e>
                    <m:sub>
                      <m:r>
                        <m:rPr/>
                        <w:rPr>
                          <w:rFonts w:ascii="Cambria Math" w:hAnsi="Cambria Math" w:eastAsia="仿宋_GB2312"/>
                          <w:sz w:val="32"/>
                          <w:szCs w:val="32"/>
                        </w:rPr>
                        <m:t>i</m:t>
                      </m:r>
                      <m:ctrlPr>
                        <w:rPr>
                          <w:rFonts w:ascii="Cambria Math" w:hAnsi="Cambria Math" w:eastAsia="仿宋_GB2312"/>
                          <w:i/>
                          <w:sz w:val="32"/>
                          <w:szCs w:val="32"/>
                        </w:rPr>
                      </m:ctrlPr>
                    </m:sub>
                  </m:sSub>
                  <m:ctrlPr>
                    <w:rPr>
                      <w:rFonts w:ascii="Cambria Math" w:hAnsi="Cambria Math" w:eastAsia="仿宋_GB2312"/>
                      <w:i/>
                      <w:sz w:val="32"/>
                      <w:szCs w:val="32"/>
                    </w:rPr>
                  </m:ctrlPr>
                </m:e>
              </m:nary>
              <m:ctrlPr>
                <w:rPr>
                  <w:rFonts w:ascii="Cambria Math" w:hAnsi="Cambria Math" w:eastAsia="仿宋_GB2312"/>
                  <w:i/>
                  <w:sz w:val="32"/>
                  <w:szCs w:val="32"/>
                </w:rPr>
              </m:ctrlPr>
            </m:num>
            <m:den>
              <m:r>
                <m:rPr/>
                <w:rPr>
                  <w:rFonts w:ascii="Cambria Math" w:hAnsi="Cambria Math" w:eastAsia="仿宋_GB2312"/>
                  <w:sz w:val="32"/>
                  <w:szCs w:val="32"/>
                </w:rPr>
                <m:t>i</m:t>
              </m:r>
              <m:ctrlPr>
                <w:rPr>
                  <w:rFonts w:ascii="Cambria Math" w:hAnsi="Cambria Math" w:eastAsia="仿宋_GB2312"/>
                  <w:i/>
                  <w:sz w:val="32"/>
                  <w:szCs w:val="32"/>
                </w:rPr>
              </m:ctrlPr>
            </m:den>
          </m:f>
        </m:oMath>
      </m:oMathPara>
    </w:p>
    <w:p w14:paraId="19F2FB14">
      <w:pPr>
        <w:pStyle w:val="42"/>
        <w:ind w:firstLine="56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其中：</w:t>
      </w:r>
    </w:p>
    <w:p w14:paraId="1996F6CD">
      <w:pPr>
        <w:pStyle w:val="42"/>
        <w:ind w:firstLine="864" w:firstLineChars="270"/>
        <w:jc w:val="left"/>
        <w:rPr>
          <w:rFonts w:ascii="仿宋_GB2312" w:eastAsia="仿宋_GB2312"/>
          <w:sz w:val="28"/>
          <w:szCs w:val="28"/>
        </w:rPr>
      </w:pPr>
      <m:oMath>
        <m:r>
          <m:rPr/>
          <w:rPr>
            <w:rFonts w:ascii="Cambria Math" w:hAnsi="Cambria Math" w:eastAsia="仿宋_GB2312"/>
            <w:sz w:val="32"/>
            <w:szCs w:val="32"/>
          </w:rPr>
          <m:t>P</m:t>
        </m:r>
      </m:oMath>
      <w:r>
        <w:rPr>
          <w:rFonts w:hint="eastAsia" w:ascii="仿宋_GB2312" w:eastAsia="仿宋_GB2312"/>
          <w:sz w:val="28"/>
          <w:szCs w:val="28"/>
        </w:rPr>
        <w:t>：总体满意率结果（%）；</w:t>
      </w:r>
    </w:p>
    <w:p w14:paraId="5FC4E1A8">
      <w:pPr>
        <w:pStyle w:val="42"/>
        <w:ind w:firstLine="864" w:firstLineChars="270"/>
        <w:jc w:val="left"/>
        <w:rPr>
          <w:rFonts w:ascii="Cambria Math" w:hAnsi="Cambria Math" w:eastAsia="仿宋_GB2312"/>
          <w:i/>
          <w:sz w:val="32"/>
          <w:szCs w:val="32"/>
        </w:rPr>
      </w:pPr>
      <m:oMath>
        <m:sSub>
          <m:sSubPr>
            <m:ctrlPr>
              <w:rPr>
                <w:rFonts w:ascii="Cambria Math" w:hAnsi="Cambria Math" w:eastAsia="仿宋_GB2312"/>
                <w:i/>
                <w:kern w:val="2"/>
                <w:sz w:val="32"/>
                <w:szCs w:val="32"/>
              </w:rPr>
            </m:ctrlPr>
          </m:sSubPr>
          <m:e>
            <m:r>
              <m:rPr/>
              <w:rPr>
                <w:rFonts w:ascii="Cambria Math" w:hAnsi="Cambria Math" w:eastAsia="仿宋_GB2312"/>
                <w:sz w:val="32"/>
                <w:szCs w:val="32"/>
              </w:rPr>
              <m:t>p</m:t>
            </m:r>
            <m:ctrlPr>
              <w:rPr>
                <w:rFonts w:ascii="Cambria Math" w:hAnsi="Cambria Math" w:eastAsia="仿宋_GB2312"/>
                <w:i/>
                <w:kern w:val="2"/>
                <w:sz w:val="32"/>
                <w:szCs w:val="32"/>
              </w:rPr>
            </m:ctrlPr>
          </m:e>
          <m:sub>
            <m:r>
              <m:rPr/>
              <w:rPr>
                <w:rFonts w:ascii="Cambria Math" w:hAnsi="Cambria Math" w:eastAsia="仿宋_GB2312"/>
                <w:sz w:val="32"/>
                <w:szCs w:val="32"/>
              </w:rPr>
              <m:t>i</m:t>
            </m:r>
            <m:ctrlPr>
              <w:rPr>
                <w:rFonts w:ascii="Cambria Math" w:hAnsi="Cambria Math" w:eastAsia="仿宋_GB2312"/>
                <w:i/>
                <w:kern w:val="2"/>
                <w:sz w:val="32"/>
                <w:szCs w:val="32"/>
              </w:rPr>
            </m:ctrlPr>
          </m:sub>
        </m:sSub>
      </m:oMath>
      <w:r>
        <w:rPr>
          <w:rFonts w:hint="eastAsia" w:ascii="仿宋_GB2312" w:eastAsia="仿宋_GB2312"/>
          <w:sz w:val="28"/>
          <w:szCs w:val="28"/>
        </w:rPr>
        <w:t>：各项指标的满意率（%）；</w:t>
      </w:r>
    </w:p>
    <w:p w14:paraId="3F61C332">
      <w:pPr>
        <w:pStyle w:val="42"/>
        <w:ind w:firstLine="864" w:firstLineChars="270"/>
        <w:jc w:val="left"/>
        <w:rPr>
          <w:rFonts w:ascii="Cambria Math" w:hAnsi="Cambria Math" w:eastAsia="仿宋_GB2312"/>
          <w:i/>
          <w:sz w:val="32"/>
          <w:szCs w:val="32"/>
        </w:rPr>
      </w:pPr>
      <m:oMath>
        <m:r>
          <m:rPr/>
          <w:rPr>
            <w:rFonts w:ascii="Cambria Math" w:hAnsi="Cambria Math" w:eastAsia="仿宋_GB2312"/>
            <w:sz w:val="32"/>
            <w:szCs w:val="32"/>
          </w:rPr>
          <m:t>i</m:t>
        </m:r>
      </m:oMath>
      <w:r>
        <w:rPr>
          <w:rFonts w:hint="eastAsia" w:ascii="仿宋_GB2312" w:eastAsia="仿宋_GB2312"/>
          <w:sz w:val="28"/>
          <w:szCs w:val="28"/>
        </w:rPr>
        <w:t>：指标</w:t>
      </w:r>
      <w:r>
        <w:rPr>
          <w:rFonts w:ascii="仿宋_GB2312" w:eastAsia="仿宋_GB2312"/>
          <w:sz w:val="28"/>
          <w:szCs w:val="28"/>
        </w:rPr>
        <w:t>的个数</w:t>
      </w:r>
      <w:r>
        <w:rPr>
          <w:rFonts w:ascii="Cambria Math" w:hAnsi="Cambria Math" w:eastAsia="仿宋_GB2312"/>
          <w:i/>
          <w:sz w:val="32"/>
          <w:szCs w:val="32"/>
        </w:rPr>
        <w:t>。</w:t>
      </w:r>
    </w:p>
    <w:p w14:paraId="1DA1FEDF">
      <w:pPr>
        <w:pStyle w:val="14"/>
        <w:jc w:val="left"/>
        <w:outlineLvl w:val="2"/>
        <w:rPr>
          <w:rFonts w:ascii="仿宋_GB2312" w:hAnsi="宋体" w:eastAsia="仿宋_GB2312" w:cs="宋体"/>
          <w:kern w:val="0"/>
        </w:rPr>
      </w:pPr>
      <w:bookmarkStart w:id="9" w:name="_Toc145100752"/>
      <w:r>
        <w:rPr>
          <w:rFonts w:ascii="仿宋_GB2312" w:hAnsi="仿宋" w:eastAsia="仿宋_GB2312"/>
        </w:rPr>
        <w:t>2</w:t>
      </w:r>
      <w:r>
        <w:rPr>
          <w:rFonts w:hint="eastAsia" w:ascii="仿宋_GB2312" w:hAnsi="仿宋" w:eastAsia="仿宋_GB2312"/>
        </w:rPr>
        <w:t>、各</w:t>
      </w:r>
      <w:r>
        <w:rPr>
          <w:rFonts w:hint="eastAsia" w:ascii="仿宋_GB2312" w:eastAsia="仿宋_GB2312"/>
        </w:rPr>
        <w:t>指标的满意率</w:t>
      </w:r>
      <w:bookmarkEnd w:id="9"/>
    </w:p>
    <w:p w14:paraId="24ABFB29">
      <w:pPr>
        <w:ind w:firstLine="640" w:firstLineChars="200"/>
        <w:rPr>
          <w:rFonts w:ascii="仿宋_GB2312" w:eastAsia="仿宋_GB2312"/>
          <w:sz w:val="32"/>
          <w:szCs w:val="32"/>
        </w:rPr>
      </w:pPr>
      <m:oMath>
        <m:sSub>
          <m:sSubPr>
            <m:ctrlPr>
              <w:rPr>
                <w:rFonts w:ascii="Cambria Math" w:hAnsi="Cambria Math" w:eastAsia="仿宋_GB2312"/>
                <w:i/>
                <w:sz w:val="32"/>
                <w:szCs w:val="32"/>
              </w:rPr>
            </m:ctrlPr>
          </m:sSubPr>
          <m:e>
            <m:r>
              <m:rPr/>
              <w:rPr>
                <w:rFonts w:ascii="Cambria Math" w:hAnsi="Cambria Math" w:eastAsia="仿宋_GB2312"/>
                <w:sz w:val="32"/>
                <w:szCs w:val="32"/>
              </w:rPr>
              <m:t>p</m:t>
            </m:r>
            <m:ctrlPr>
              <w:rPr>
                <w:rFonts w:ascii="Cambria Math" w:hAnsi="Cambria Math" w:eastAsia="仿宋_GB2312"/>
                <w:i/>
                <w:sz w:val="32"/>
                <w:szCs w:val="32"/>
              </w:rPr>
            </m:ctrlPr>
          </m:e>
          <m:sub>
            <m:r>
              <m:rPr/>
              <w:rPr>
                <w:rFonts w:ascii="Cambria Math" w:hAnsi="Cambria Math" w:eastAsia="仿宋_GB2312"/>
                <w:sz w:val="32"/>
                <w:szCs w:val="32"/>
              </w:rPr>
              <m:t>i</m:t>
            </m:r>
            <m:ctrlPr>
              <w:rPr>
                <w:rFonts w:ascii="Cambria Math" w:hAnsi="Cambria Math" w:eastAsia="仿宋_GB2312"/>
                <w:i/>
                <w:sz w:val="32"/>
                <w:szCs w:val="32"/>
              </w:rPr>
            </m:ctrlPr>
          </m:sub>
        </m:sSub>
      </m:oMath>
      <w:r>
        <w:rPr>
          <w:rFonts w:hint="eastAsia" w:ascii="仿宋_GB2312" w:eastAsia="仿宋_GB2312"/>
          <w:sz w:val="32"/>
          <w:szCs w:val="32"/>
        </w:rPr>
        <w:t>各项指标的满意率（%）=非常满意（%）+满意（%）+基本满意（%）</w:t>
      </w:r>
    </w:p>
    <w:p w14:paraId="51CA3B7B">
      <w:pPr>
        <w:ind w:firstLine="640" w:firstLineChars="2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</w:p>
    <w:p w14:paraId="7ACBFAB3">
      <w:pPr>
        <w:ind w:firstLine="640" w:firstLineChars="2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</w:p>
    <w:p w14:paraId="6AE60B2D">
      <w:pPr>
        <w:ind w:firstLine="640" w:firstLineChars="2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</w:p>
    <w:p w14:paraId="2F09233D">
      <w:pPr>
        <w:ind w:firstLine="640" w:firstLineChars="2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</w:p>
    <w:p w14:paraId="7B5225C1">
      <w:pPr>
        <w:ind w:firstLine="640" w:firstLineChars="2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</w:p>
    <w:p w14:paraId="42D604A8">
      <w:pPr>
        <w:ind w:firstLine="640" w:firstLineChars="2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</w:p>
    <w:p w14:paraId="15581DBF">
      <w:pPr>
        <w:ind w:firstLine="640" w:firstLineChars="2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</w:p>
    <w:p w14:paraId="28D1107C">
      <w:pPr>
        <w:pStyle w:val="14"/>
        <w:jc w:val="left"/>
        <w:rPr>
          <w:rFonts w:ascii="仿宋_GB2312" w:hAnsi="仿宋" w:eastAsia="仿宋_GB2312"/>
        </w:rPr>
      </w:pPr>
      <w:bookmarkStart w:id="10" w:name="_Toc145100753"/>
      <w:r>
        <w:rPr>
          <w:rFonts w:hint="eastAsia" w:ascii="仿宋_GB2312" w:hAnsi="仿宋" w:eastAsia="仿宋_GB2312"/>
        </w:rPr>
        <w:t>二、调查结果</w:t>
      </w:r>
      <w:bookmarkEnd w:id="10"/>
    </w:p>
    <w:p w14:paraId="386AF864">
      <w:pPr>
        <w:pStyle w:val="14"/>
        <w:jc w:val="left"/>
        <w:outlineLvl w:val="1"/>
        <w:rPr>
          <w:rFonts w:ascii="仿宋_GB2312" w:hAnsi="仿宋" w:eastAsia="仿宋_GB2312"/>
        </w:rPr>
      </w:pPr>
      <w:bookmarkStart w:id="11" w:name="_Toc145100754"/>
      <w:r>
        <w:rPr>
          <w:rFonts w:hint="eastAsia" w:ascii="仿宋_GB2312" w:hAnsi="仿宋" w:eastAsia="仿宋_GB2312"/>
        </w:rPr>
        <w:t>（一）总体调查结果</w:t>
      </w:r>
      <w:bookmarkEnd w:id="11"/>
    </w:p>
    <w:p w14:paraId="57309FB5"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此次调查涉及供水接入服务的前期咨询和申请受理、现场查勘和编制/复核供水方案、工程质量验收、签订供用水合同和总体服务等五项指标</w:t>
      </w:r>
      <w:r>
        <w:rPr>
          <w:rFonts w:hint="eastAsia" w:ascii="仿宋_GB2312" w:eastAsia="仿宋_GB2312"/>
          <w:sz w:val="32"/>
          <w:szCs w:val="32"/>
        </w:rPr>
        <w:t>。五项指标的满意率详见下图：</w:t>
      </w:r>
    </w:p>
    <w:p w14:paraId="51B84625">
      <w:pPr>
        <w:ind w:leftChars="-135" w:right="-197" w:rightChars="-94" w:hanging="283" w:hangingChars="135"/>
        <w:jc w:val="center"/>
        <w:rPr>
          <w:rFonts w:ascii="仿宋_GB2312" w:eastAsia="仿宋_GB2312"/>
          <w:sz w:val="32"/>
          <w:szCs w:val="32"/>
        </w:rPr>
      </w:pPr>
      <w:r>
        <w:drawing>
          <wp:inline distT="0" distB="0" distL="0" distR="0">
            <wp:extent cx="5274310" cy="3074035"/>
            <wp:effectExtent l="0" t="0" r="0" b="0"/>
            <wp:docPr id="7" name="图表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13890AFC"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从回收到的问卷统计结果来看，</w:t>
      </w:r>
      <w:r>
        <w:rPr>
          <w:rFonts w:hint="eastAsia" w:ascii="仿宋_GB2312" w:eastAsia="仿宋_GB2312"/>
          <w:b/>
          <w:bCs/>
          <w:sz w:val="32"/>
          <w:szCs w:val="32"/>
        </w:rPr>
        <w:t>2026年上海市供水接入服务质量调查总体满意率为</w:t>
      </w:r>
      <w:r>
        <w:rPr>
          <w:rFonts w:ascii="仿宋_GB2312" w:eastAsia="仿宋_GB2312"/>
          <w:b/>
          <w:bCs/>
          <w:sz w:val="32"/>
          <w:szCs w:val="32"/>
        </w:rPr>
        <w:t>100.00</w:t>
      </w:r>
      <w:r>
        <w:rPr>
          <w:rFonts w:hint="eastAsia" w:ascii="仿宋_GB2312" w:eastAsia="仿宋_GB2312"/>
          <w:b/>
          <w:bCs/>
          <w:sz w:val="32"/>
          <w:szCs w:val="32"/>
        </w:rPr>
        <w:t>%</w:t>
      </w:r>
      <w:r>
        <w:rPr>
          <w:rFonts w:hint="eastAsia" w:ascii="仿宋_GB2312" w:eastAsia="仿宋_GB2312"/>
          <w:sz w:val="32"/>
          <w:szCs w:val="32"/>
        </w:rPr>
        <w:t>，受访者对本市供水接入工作表达了高度认可。在五项指标中，“前期咨询和申请受理”“现场查勘和编制/复核供水方案”“签订供用水合同”“总体服务”和“工程质量验收”的满意率均为100.00%。</w:t>
      </w:r>
    </w:p>
    <w:p w14:paraId="602FD6A0">
      <w:pPr>
        <w:ind w:firstLine="640" w:firstLineChars="200"/>
        <w:rPr>
          <w:rFonts w:ascii="仿宋_GB2312" w:eastAsia="仿宋_GB2312"/>
          <w:color w:val="FF0000"/>
          <w:sz w:val="32"/>
          <w:szCs w:val="32"/>
        </w:rPr>
      </w:pPr>
    </w:p>
    <w:p w14:paraId="73E0E829">
      <w:pPr>
        <w:ind w:firstLine="640" w:firstLineChars="200"/>
        <w:rPr>
          <w:rFonts w:ascii="仿宋_GB2312" w:eastAsia="仿宋_GB2312"/>
          <w:color w:val="FF0000"/>
          <w:sz w:val="32"/>
          <w:szCs w:val="32"/>
        </w:rPr>
      </w:pPr>
    </w:p>
    <w:p w14:paraId="66363747">
      <w:pPr>
        <w:ind w:firstLine="640" w:firstLineChars="200"/>
        <w:rPr>
          <w:rFonts w:ascii="仿宋_GB2312" w:eastAsia="仿宋_GB2312"/>
          <w:color w:val="FF0000"/>
          <w:sz w:val="32"/>
          <w:szCs w:val="32"/>
        </w:rPr>
      </w:pPr>
    </w:p>
    <w:p w14:paraId="3F3FD6F3">
      <w:pPr>
        <w:ind w:firstLine="640" w:firstLineChars="200"/>
        <w:rPr>
          <w:rFonts w:ascii="仿宋_GB2312" w:eastAsia="仿宋_GB2312"/>
          <w:sz w:val="32"/>
          <w:szCs w:val="32"/>
        </w:rPr>
      </w:pPr>
    </w:p>
    <w:tbl>
      <w:tblPr>
        <w:tblStyle w:val="18"/>
        <w:tblW w:w="8447" w:type="dxa"/>
        <w:tblInd w:w="0" w:type="dxa"/>
        <w:tblBorders>
          <w:top w:val="single" w:color="4F81BD" w:themeColor="accent1" w:sz="8" w:space="0"/>
          <w:left w:val="none" w:color="auto" w:sz="0" w:space="0"/>
          <w:bottom w:val="single" w:color="4F81BD" w:themeColor="accent1" w:sz="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72"/>
        <w:gridCol w:w="1814"/>
        <w:gridCol w:w="1814"/>
        <w:gridCol w:w="1247"/>
      </w:tblGrid>
      <w:tr w14:paraId="1640967E">
        <w:tblPrEx>
          <w:tblBorders>
            <w:top w:val="single" w:color="4F81BD" w:themeColor="accent1" w:sz="8" w:space="0"/>
            <w:left w:val="none" w:color="auto" w:sz="0" w:space="0"/>
            <w:bottom w:val="single" w:color="4F81BD" w:themeColor="accen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572" w:type="dxa"/>
            <w:tcBorders>
              <w:top w:val="single" w:color="4F81BD" w:themeColor="accent1" w:sz="8" w:space="0"/>
              <w:left w:val="nil"/>
              <w:bottom w:val="single" w:color="4F81BD" w:themeColor="accent1" w:sz="8" w:space="0"/>
              <w:right w:val="nil"/>
              <w:insideH w:val="single" w:sz="8" w:space="0"/>
              <w:insideV w:val="nil"/>
            </w:tcBorders>
            <w:noWrap/>
            <w:vAlign w:val="center"/>
          </w:tcPr>
          <w:p w14:paraId="53F5CAFE">
            <w:pPr>
              <w:widowControl/>
              <w:spacing w:before="0" w:after="0" w:line="240" w:lineRule="auto"/>
              <w:jc w:val="center"/>
              <w:rPr>
                <w:rFonts w:ascii="仿宋_GB2312" w:hAnsi="仿宋" w:eastAsia="仿宋_GB2312" w:cs="宋体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b/>
                <w:bCs/>
                <w:color w:val="auto"/>
                <w:kern w:val="0"/>
                <w:sz w:val="24"/>
              </w:rPr>
              <w:t>指  标</w:t>
            </w:r>
          </w:p>
        </w:tc>
        <w:tc>
          <w:tcPr>
            <w:tcW w:w="1814" w:type="dxa"/>
            <w:tcBorders>
              <w:top w:val="single" w:color="4F81BD" w:themeColor="accent1" w:sz="8" w:space="0"/>
              <w:bottom w:val="single" w:color="4F81BD" w:themeColor="accent1" w:sz="8" w:space="0"/>
              <w:right w:val="nil"/>
              <w:insideH w:val="single" w:sz="8" w:space="0"/>
              <w:insideV w:val="nil"/>
            </w:tcBorders>
            <w:noWrap/>
            <w:vAlign w:val="center"/>
          </w:tcPr>
          <w:p w14:paraId="17795A47">
            <w:pPr>
              <w:widowControl/>
              <w:spacing w:before="0" w:after="0" w:line="240" w:lineRule="auto"/>
              <w:jc w:val="center"/>
              <w:rPr>
                <w:rFonts w:ascii="仿宋_GB2312" w:hAnsi="仿宋" w:eastAsia="仿宋_GB2312" w:cs="宋体"/>
                <w:b/>
                <w:bCs/>
                <w:color w:val="auto"/>
                <w:kern w:val="0"/>
                <w:sz w:val="24"/>
              </w:rPr>
            </w:pPr>
            <w:r>
              <w:rPr>
                <w:rFonts w:ascii="仿宋_GB2312" w:hAnsi="仿宋" w:eastAsia="仿宋_GB2312" w:cs="宋体"/>
                <w:b/>
                <w:bCs/>
                <w:color w:val="auto"/>
                <w:kern w:val="0"/>
                <w:sz w:val="24"/>
              </w:rPr>
              <w:t>20</w:t>
            </w:r>
            <w:r>
              <w:rPr>
                <w:rFonts w:hint="eastAsia" w:ascii="仿宋_GB2312" w:hAnsi="仿宋" w:eastAsia="仿宋_GB2312" w:cs="宋体"/>
                <w:b/>
                <w:bCs/>
                <w:color w:val="auto"/>
                <w:kern w:val="0"/>
                <w:sz w:val="24"/>
              </w:rPr>
              <w:t>2</w:t>
            </w:r>
            <w:r>
              <w:rPr>
                <w:rFonts w:ascii="仿宋_GB2312" w:hAnsi="仿宋" w:eastAsia="仿宋_GB2312" w:cs="宋体"/>
                <w:b/>
                <w:bCs/>
                <w:color w:val="auto"/>
                <w:kern w:val="0"/>
                <w:sz w:val="24"/>
              </w:rPr>
              <w:t>6</w:t>
            </w:r>
            <w:r>
              <w:rPr>
                <w:rFonts w:hint="eastAsia" w:ascii="仿宋_GB2312" w:hAnsi="仿宋" w:eastAsia="仿宋_GB2312" w:cs="宋体"/>
                <w:b/>
                <w:bCs/>
                <w:color w:val="auto"/>
                <w:kern w:val="0"/>
                <w:sz w:val="24"/>
              </w:rPr>
              <w:t>年满意率</w:t>
            </w:r>
          </w:p>
        </w:tc>
        <w:tc>
          <w:tcPr>
            <w:tcW w:w="1814" w:type="dxa"/>
            <w:tcBorders>
              <w:top w:val="single" w:color="4F81BD" w:themeColor="accent1" w:sz="8" w:space="0"/>
              <w:bottom w:val="single" w:color="4F81BD" w:themeColor="accent1" w:sz="8" w:space="0"/>
              <w:right w:val="nil"/>
              <w:insideH w:val="single" w:sz="8" w:space="0"/>
              <w:insideV w:val="nil"/>
            </w:tcBorders>
            <w:vAlign w:val="center"/>
          </w:tcPr>
          <w:p w14:paraId="25118BEE">
            <w:pPr>
              <w:widowControl/>
              <w:spacing w:before="0" w:after="0" w:line="240" w:lineRule="auto"/>
              <w:jc w:val="center"/>
              <w:rPr>
                <w:rFonts w:ascii="仿宋_GB2312" w:hAnsi="仿宋" w:eastAsia="仿宋_GB2312" w:cs="宋体"/>
                <w:b/>
                <w:bCs/>
                <w:color w:val="auto"/>
                <w:kern w:val="0"/>
                <w:sz w:val="24"/>
              </w:rPr>
            </w:pPr>
            <w:r>
              <w:rPr>
                <w:rFonts w:ascii="仿宋_GB2312" w:hAnsi="仿宋" w:eastAsia="仿宋_GB2312" w:cs="宋体"/>
                <w:b/>
                <w:bCs/>
                <w:color w:val="auto"/>
                <w:kern w:val="0"/>
                <w:sz w:val="24"/>
              </w:rPr>
              <w:t>20</w:t>
            </w:r>
            <w:r>
              <w:rPr>
                <w:rFonts w:hint="eastAsia" w:ascii="仿宋_GB2312" w:hAnsi="仿宋" w:eastAsia="仿宋_GB2312" w:cs="宋体"/>
                <w:b/>
                <w:bCs/>
                <w:color w:val="auto"/>
                <w:kern w:val="0"/>
                <w:sz w:val="24"/>
              </w:rPr>
              <w:t>2</w:t>
            </w:r>
            <w:r>
              <w:rPr>
                <w:rFonts w:ascii="仿宋_GB2312" w:hAnsi="仿宋" w:eastAsia="仿宋_GB2312" w:cs="宋体"/>
                <w:b/>
                <w:bCs/>
                <w:color w:val="auto"/>
                <w:kern w:val="0"/>
                <w:sz w:val="24"/>
              </w:rPr>
              <w:t>5</w:t>
            </w:r>
            <w:r>
              <w:rPr>
                <w:rFonts w:hint="eastAsia" w:ascii="仿宋_GB2312" w:hAnsi="仿宋" w:eastAsia="仿宋_GB2312" w:cs="宋体"/>
                <w:b/>
                <w:bCs/>
                <w:color w:val="auto"/>
                <w:kern w:val="0"/>
                <w:sz w:val="24"/>
              </w:rPr>
              <w:t>年满意率</w:t>
            </w:r>
          </w:p>
        </w:tc>
        <w:tc>
          <w:tcPr>
            <w:tcW w:w="1247" w:type="dxa"/>
            <w:tcBorders>
              <w:top w:val="single" w:color="4F81BD" w:themeColor="accent1" w:sz="8" w:space="0"/>
              <w:bottom w:val="single" w:color="4F81BD" w:themeColor="accent1" w:sz="8" w:space="0"/>
              <w:right w:val="nil"/>
              <w:insideH w:val="single" w:sz="8" w:space="0"/>
              <w:insideV w:val="nil"/>
            </w:tcBorders>
            <w:vAlign w:val="center"/>
          </w:tcPr>
          <w:p w14:paraId="15E1E5FB">
            <w:pPr>
              <w:widowControl/>
              <w:spacing w:before="0" w:after="0" w:line="240" w:lineRule="auto"/>
              <w:jc w:val="center"/>
              <w:rPr>
                <w:rFonts w:ascii="仿宋_GB2312" w:hAnsi="仿宋" w:eastAsia="仿宋_GB2312" w:cs="宋体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b/>
                <w:bCs/>
                <w:color w:val="auto"/>
                <w:kern w:val="0"/>
                <w:sz w:val="24"/>
              </w:rPr>
              <w:t>变化</w:t>
            </w:r>
          </w:p>
        </w:tc>
      </w:tr>
      <w:tr w14:paraId="7F36C273">
        <w:tblPrEx>
          <w:tblBorders>
            <w:top w:val="single" w:color="4F81BD" w:themeColor="accent1" w:sz="8" w:space="0"/>
            <w:left w:val="none" w:color="auto" w:sz="0" w:space="0"/>
            <w:bottom w:val="single" w:color="4F81BD" w:themeColor="accen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572" w:type="dxa"/>
            <w:tcBorders>
              <w:left w:val="nil"/>
              <w:right w:val="nil"/>
              <w:insideV w:val="nil"/>
            </w:tcBorders>
            <w:shd w:val="clear" w:color="auto" w:fill="D3DFEE" w:themeFill="accent1" w:themeFillTint="3F"/>
            <w:noWrap/>
            <w:vAlign w:val="center"/>
          </w:tcPr>
          <w:p w14:paraId="46DA1E1D">
            <w:pPr>
              <w:widowControl/>
              <w:jc w:val="left"/>
              <w:rPr>
                <w:rFonts w:ascii="仿宋_GB2312" w:hAnsi="仿宋" w:eastAsia="仿宋_GB2312" w:cs="宋体"/>
                <w:b w:val="0"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b w:val="0"/>
                <w:bCs/>
                <w:color w:val="auto"/>
                <w:kern w:val="0"/>
                <w:sz w:val="24"/>
              </w:rPr>
              <w:t>前期咨询和申请受理</w:t>
            </w:r>
          </w:p>
        </w:tc>
        <w:tc>
          <w:tcPr>
            <w:tcW w:w="1814" w:type="dxa"/>
            <w:tcBorders>
              <w:right w:val="nil"/>
              <w:insideV w:val="nil"/>
            </w:tcBorders>
            <w:shd w:val="clear" w:color="auto" w:fill="D3DFEE" w:themeFill="accent1" w:themeFillTint="3F"/>
            <w:noWrap/>
            <w:vAlign w:val="center"/>
          </w:tcPr>
          <w:p w14:paraId="38C21D2C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ascii="仿宋_GB2312" w:eastAsia="仿宋_GB2312"/>
                <w:color w:val="auto"/>
                <w:sz w:val="24"/>
              </w:rPr>
              <w:t>100.00</w:t>
            </w:r>
            <w:r>
              <w:rPr>
                <w:rFonts w:hint="eastAsia" w:ascii="仿宋_GB2312" w:eastAsia="仿宋_GB2312"/>
                <w:color w:val="auto"/>
                <w:sz w:val="24"/>
              </w:rPr>
              <w:t>%</w:t>
            </w:r>
          </w:p>
        </w:tc>
        <w:tc>
          <w:tcPr>
            <w:tcW w:w="1814" w:type="dxa"/>
            <w:tcBorders>
              <w:right w:val="nil"/>
              <w:insideV w:val="nil"/>
            </w:tcBorders>
            <w:shd w:val="clear" w:color="auto" w:fill="D3DFEE" w:themeFill="accent1" w:themeFillTint="3F"/>
            <w:vAlign w:val="center"/>
          </w:tcPr>
          <w:p w14:paraId="6D856E64">
            <w:pPr>
              <w:widowControl/>
              <w:jc w:val="center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ascii="仿宋_GB2312" w:eastAsia="仿宋_GB2312"/>
                <w:color w:val="auto"/>
                <w:sz w:val="24"/>
              </w:rPr>
              <w:t>100.00</w:t>
            </w:r>
            <w:r>
              <w:rPr>
                <w:rFonts w:hint="eastAsia" w:ascii="仿宋_GB2312" w:eastAsia="仿宋_GB2312"/>
                <w:color w:val="auto"/>
                <w:sz w:val="24"/>
              </w:rPr>
              <w:t>%</w:t>
            </w:r>
          </w:p>
        </w:tc>
        <w:tc>
          <w:tcPr>
            <w:tcW w:w="1247" w:type="dxa"/>
            <w:tcBorders>
              <w:right w:val="nil"/>
              <w:insideV w:val="nil"/>
            </w:tcBorders>
            <w:shd w:val="clear" w:color="auto" w:fill="D3DFEE" w:themeFill="accent1" w:themeFillTint="3F"/>
            <w:vAlign w:val="center"/>
          </w:tcPr>
          <w:p w14:paraId="53730940">
            <w:pPr>
              <w:widowControl/>
              <w:jc w:val="center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-</w:t>
            </w:r>
            <w:r>
              <w:rPr>
                <w:rFonts w:ascii="仿宋_GB2312" w:eastAsia="仿宋_GB2312"/>
                <w:color w:val="auto"/>
                <w:sz w:val="24"/>
              </w:rPr>
              <w:t>-</w:t>
            </w:r>
          </w:p>
        </w:tc>
      </w:tr>
      <w:tr w14:paraId="06DC25D4">
        <w:tblPrEx>
          <w:tblBorders>
            <w:top w:val="single" w:color="4F81BD" w:themeColor="accent1" w:sz="8" w:space="0"/>
            <w:left w:val="none" w:color="auto" w:sz="0" w:space="0"/>
            <w:bottom w:val="single" w:color="4F81BD" w:themeColor="accen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572" w:type="dxa"/>
            <w:noWrap/>
            <w:vAlign w:val="center"/>
          </w:tcPr>
          <w:p w14:paraId="72CEACB0">
            <w:pPr>
              <w:widowControl/>
              <w:jc w:val="left"/>
              <w:rPr>
                <w:rFonts w:ascii="仿宋_GB2312" w:hAnsi="仿宋" w:eastAsia="仿宋_GB2312" w:cs="宋体"/>
                <w:b w:val="0"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b w:val="0"/>
                <w:bCs/>
                <w:color w:val="auto"/>
                <w:kern w:val="0"/>
                <w:sz w:val="24"/>
              </w:rPr>
              <w:t>现场查勘和编制/复核供水方案</w:t>
            </w:r>
          </w:p>
        </w:tc>
        <w:tc>
          <w:tcPr>
            <w:tcW w:w="1814" w:type="dxa"/>
            <w:noWrap/>
            <w:vAlign w:val="center"/>
          </w:tcPr>
          <w:p w14:paraId="7DC3BFF7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ascii="仿宋_GB2312" w:eastAsia="仿宋_GB2312"/>
                <w:color w:val="auto"/>
                <w:sz w:val="24"/>
              </w:rPr>
              <w:t>100.00</w:t>
            </w:r>
            <w:r>
              <w:rPr>
                <w:rFonts w:hint="eastAsia" w:ascii="仿宋_GB2312" w:eastAsia="仿宋_GB2312"/>
                <w:color w:val="auto"/>
                <w:sz w:val="24"/>
              </w:rPr>
              <w:t>%</w:t>
            </w:r>
          </w:p>
        </w:tc>
        <w:tc>
          <w:tcPr>
            <w:tcW w:w="1814" w:type="dxa"/>
            <w:vAlign w:val="center"/>
          </w:tcPr>
          <w:p w14:paraId="2B79B681">
            <w:pPr>
              <w:widowControl/>
              <w:jc w:val="center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ascii="仿宋_GB2312" w:eastAsia="仿宋_GB2312"/>
                <w:color w:val="auto"/>
                <w:sz w:val="24"/>
              </w:rPr>
              <w:t>100.00</w:t>
            </w:r>
            <w:r>
              <w:rPr>
                <w:rFonts w:hint="eastAsia" w:ascii="仿宋_GB2312" w:eastAsia="仿宋_GB2312"/>
                <w:color w:val="auto"/>
                <w:sz w:val="24"/>
              </w:rPr>
              <w:t>%</w:t>
            </w:r>
          </w:p>
        </w:tc>
        <w:tc>
          <w:tcPr>
            <w:tcW w:w="1247" w:type="dxa"/>
            <w:vAlign w:val="center"/>
          </w:tcPr>
          <w:p w14:paraId="29965233">
            <w:pPr>
              <w:widowControl/>
              <w:jc w:val="center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-</w:t>
            </w:r>
            <w:r>
              <w:rPr>
                <w:rFonts w:ascii="仿宋_GB2312" w:eastAsia="仿宋_GB2312"/>
                <w:color w:val="auto"/>
                <w:sz w:val="24"/>
              </w:rPr>
              <w:t>-</w:t>
            </w:r>
          </w:p>
        </w:tc>
      </w:tr>
      <w:tr w14:paraId="2A2D8029">
        <w:tblPrEx>
          <w:tblBorders>
            <w:top w:val="single" w:color="4F81BD" w:themeColor="accent1" w:sz="8" w:space="0"/>
            <w:left w:val="none" w:color="auto" w:sz="0" w:space="0"/>
            <w:bottom w:val="single" w:color="4F81BD" w:themeColor="accen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572" w:type="dxa"/>
            <w:tcBorders>
              <w:left w:val="nil"/>
              <w:right w:val="nil"/>
              <w:insideV w:val="nil"/>
            </w:tcBorders>
            <w:shd w:val="clear" w:color="auto" w:fill="D3DFEE" w:themeFill="accent1" w:themeFillTint="3F"/>
            <w:noWrap/>
            <w:vAlign w:val="center"/>
          </w:tcPr>
          <w:p w14:paraId="46A3EB70">
            <w:pPr>
              <w:widowControl/>
              <w:jc w:val="left"/>
              <w:rPr>
                <w:rFonts w:ascii="仿宋_GB2312" w:hAnsi="仿宋" w:eastAsia="仿宋_GB2312" w:cs="宋体"/>
                <w:b w:val="0"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b w:val="0"/>
                <w:bCs/>
                <w:color w:val="auto"/>
                <w:kern w:val="0"/>
                <w:sz w:val="24"/>
              </w:rPr>
              <w:t>工程质量验收</w:t>
            </w:r>
          </w:p>
        </w:tc>
        <w:tc>
          <w:tcPr>
            <w:tcW w:w="1814" w:type="dxa"/>
            <w:tcBorders>
              <w:right w:val="nil"/>
              <w:insideV w:val="nil"/>
            </w:tcBorders>
            <w:shd w:val="clear" w:color="auto" w:fill="D3DFEE" w:themeFill="accent1" w:themeFillTint="3F"/>
            <w:noWrap/>
            <w:vAlign w:val="center"/>
          </w:tcPr>
          <w:p w14:paraId="198C1516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ascii="仿宋_GB2312" w:eastAsia="仿宋_GB2312"/>
                <w:color w:val="auto"/>
                <w:sz w:val="24"/>
              </w:rPr>
              <w:t>100.00</w:t>
            </w:r>
            <w:r>
              <w:rPr>
                <w:rFonts w:hint="eastAsia" w:ascii="仿宋_GB2312" w:eastAsia="仿宋_GB2312"/>
                <w:color w:val="auto"/>
                <w:sz w:val="24"/>
              </w:rPr>
              <w:t>%</w:t>
            </w:r>
          </w:p>
        </w:tc>
        <w:tc>
          <w:tcPr>
            <w:tcW w:w="1814" w:type="dxa"/>
            <w:tcBorders>
              <w:right w:val="nil"/>
              <w:insideV w:val="nil"/>
            </w:tcBorders>
            <w:shd w:val="clear" w:color="auto" w:fill="D3DFEE" w:themeFill="accent1" w:themeFillTint="3F"/>
            <w:vAlign w:val="center"/>
          </w:tcPr>
          <w:p w14:paraId="00253A69">
            <w:pPr>
              <w:widowControl/>
              <w:jc w:val="center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ascii="仿宋_GB2312" w:eastAsia="仿宋_GB2312"/>
                <w:color w:val="auto"/>
                <w:sz w:val="24"/>
              </w:rPr>
              <w:t>100.00</w:t>
            </w:r>
            <w:r>
              <w:rPr>
                <w:rFonts w:hint="eastAsia" w:ascii="仿宋_GB2312" w:eastAsia="仿宋_GB2312"/>
                <w:color w:val="auto"/>
                <w:sz w:val="24"/>
              </w:rPr>
              <w:t>%</w:t>
            </w:r>
          </w:p>
        </w:tc>
        <w:tc>
          <w:tcPr>
            <w:tcW w:w="1247" w:type="dxa"/>
            <w:tcBorders>
              <w:right w:val="nil"/>
              <w:insideV w:val="nil"/>
            </w:tcBorders>
            <w:shd w:val="clear" w:color="auto" w:fill="D3DFEE" w:themeFill="accent1" w:themeFillTint="3F"/>
            <w:vAlign w:val="center"/>
          </w:tcPr>
          <w:p w14:paraId="76656054">
            <w:pPr>
              <w:widowControl/>
              <w:jc w:val="center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-</w:t>
            </w:r>
            <w:r>
              <w:rPr>
                <w:rFonts w:ascii="仿宋_GB2312" w:eastAsia="仿宋_GB2312"/>
                <w:color w:val="auto"/>
                <w:sz w:val="24"/>
              </w:rPr>
              <w:t>-</w:t>
            </w:r>
          </w:p>
        </w:tc>
      </w:tr>
      <w:tr w14:paraId="5EAAA2CC">
        <w:tblPrEx>
          <w:tblBorders>
            <w:top w:val="single" w:color="4F81BD" w:themeColor="accent1" w:sz="8" w:space="0"/>
            <w:left w:val="none" w:color="auto" w:sz="0" w:space="0"/>
            <w:bottom w:val="single" w:color="4F81BD" w:themeColor="accen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572" w:type="dxa"/>
            <w:noWrap/>
            <w:vAlign w:val="center"/>
          </w:tcPr>
          <w:p w14:paraId="2E9A724C">
            <w:pPr>
              <w:widowControl/>
              <w:jc w:val="left"/>
              <w:rPr>
                <w:rFonts w:ascii="仿宋_GB2312" w:hAnsi="仿宋" w:eastAsia="仿宋_GB2312" w:cs="宋体"/>
                <w:b w:val="0"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b w:val="0"/>
                <w:bCs/>
                <w:color w:val="auto"/>
                <w:kern w:val="0"/>
                <w:sz w:val="24"/>
              </w:rPr>
              <w:t>签订供用水合同</w:t>
            </w:r>
          </w:p>
        </w:tc>
        <w:tc>
          <w:tcPr>
            <w:tcW w:w="1814" w:type="dxa"/>
            <w:noWrap/>
            <w:vAlign w:val="center"/>
          </w:tcPr>
          <w:p w14:paraId="761F996F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ascii="仿宋_GB2312" w:eastAsia="仿宋_GB2312"/>
                <w:color w:val="auto"/>
                <w:sz w:val="24"/>
              </w:rPr>
              <w:t>100.00</w:t>
            </w:r>
            <w:r>
              <w:rPr>
                <w:rFonts w:hint="eastAsia" w:ascii="仿宋_GB2312" w:eastAsia="仿宋_GB2312"/>
                <w:color w:val="auto"/>
                <w:sz w:val="24"/>
              </w:rPr>
              <w:t>%</w:t>
            </w:r>
          </w:p>
        </w:tc>
        <w:tc>
          <w:tcPr>
            <w:tcW w:w="1814" w:type="dxa"/>
            <w:vAlign w:val="center"/>
          </w:tcPr>
          <w:p w14:paraId="09E8DA7E">
            <w:pPr>
              <w:widowControl/>
              <w:jc w:val="center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ascii="仿宋_GB2312" w:eastAsia="仿宋_GB2312"/>
                <w:color w:val="auto"/>
                <w:sz w:val="24"/>
              </w:rPr>
              <w:t>100.00</w:t>
            </w:r>
            <w:r>
              <w:rPr>
                <w:rFonts w:hint="eastAsia" w:ascii="仿宋_GB2312" w:eastAsia="仿宋_GB2312"/>
                <w:color w:val="auto"/>
                <w:sz w:val="24"/>
              </w:rPr>
              <w:t>%</w:t>
            </w:r>
          </w:p>
        </w:tc>
        <w:tc>
          <w:tcPr>
            <w:tcW w:w="1247" w:type="dxa"/>
            <w:vAlign w:val="center"/>
          </w:tcPr>
          <w:p w14:paraId="13AC93B1">
            <w:pPr>
              <w:widowControl/>
              <w:jc w:val="center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-</w:t>
            </w:r>
            <w:r>
              <w:rPr>
                <w:rFonts w:ascii="仿宋_GB2312" w:eastAsia="仿宋_GB2312"/>
                <w:color w:val="auto"/>
                <w:sz w:val="24"/>
              </w:rPr>
              <w:t>-</w:t>
            </w:r>
          </w:p>
        </w:tc>
      </w:tr>
      <w:tr w14:paraId="406FFFB6">
        <w:tblPrEx>
          <w:tblBorders>
            <w:top w:val="single" w:color="4F81BD" w:themeColor="accent1" w:sz="8" w:space="0"/>
            <w:left w:val="none" w:color="auto" w:sz="0" w:space="0"/>
            <w:bottom w:val="single" w:color="4F81BD" w:themeColor="accen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572" w:type="dxa"/>
            <w:tcBorders>
              <w:left w:val="nil"/>
              <w:right w:val="nil"/>
              <w:insideV w:val="nil"/>
            </w:tcBorders>
            <w:shd w:val="clear" w:color="auto" w:fill="D3DFEE" w:themeFill="accent1" w:themeFillTint="3F"/>
            <w:noWrap/>
            <w:vAlign w:val="center"/>
          </w:tcPr>
          <w:p w14:paraId="53346079">
            <w:pPr>
              <w:widowControl/>
              <w:jc w:val="left"/>
              <w:rPr>
                <w:rFonts w:ascii="仿宋_GB2312" w:hAnsi="仿宋" w:eastAsia="仿宋_GB2312" w:cs="宋体"/>
                <w:b w:val="0"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b w:val="0"/>
                <w:bCs/>
                <w:color w:val="auto"/>
                <w:kern w:val="0"/>
                <w:sz w:val="24"/>
              </w:rPr>
              <w:t>总体服务</w:t>
            </w:r>
          </w:p>
        </w:tc>
        <w:tc>
          <w:tcPr>
            <w:tcW w:w="1814" w:type="dxa"/>
            <w:tcBorders>
              <w:right w:val="nil"/>
              <w:insideV w:val="nil"/>
            </w:tcBorders>
            <w:shd w:val="clear" w:color="auto" w:fill="D3DFEE" w:themeFill="accent1" w:themeFillTint="3F"/>
            <w:noWrap/>
            <w:vAlign w:val="center"/>
          </w:tcPr>
          <w:p w14:paraId="1B65DF2C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ascii="仿宋_GB2312" w:eastAsia="仿宋_GB2312"/>
                <w:color w:val="auto"/>
                <w:sz w:val="24"/>
              </w:rPr>
              <w:t>100.00</w:t>
            </w:r>
            <w:r>
              <w:rPr>
                <w:rFonts w:hint="eastAsia" w:ascii="仿宋_GB2312" w:eastAsia="仿宋_GB2312"/>
                <w:color w:val="auto"/>
                <w:sz w:val="24"/>
              </w:rPr>
              <w:t>%</w:t>
            </w:r>
          </w:p>
        </w:tc>
        <w:tc>
          <w:tcPr>
            <w:tcW w:w="1814" w:type="dxa"/>
            <w:tcBorders>
              <w:right w:val="nil"/>
              <w:insideV w:val="nil"/>
            </w:tcBorders>
            <w:shd w:val="clear" w:color="auto" w:fill="D3DFEE" w:themeFill="accent1" w:themeFillTint="3F"/>
            <w:vAlign w:val="center"/>
          </w:tcPr>
          <w:p w14:paraId="7E6C9D28">
            <w:pPr>
              <w:widowControl/>
              <w:jc w:val="center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ascii="仿宋_GB2312" w:eastAsia="仿宋_GB2312"/>
                <w:color w:val="auto"/>
                <w:sz w:val="24"/>
              </w:rPr>
              <w:t>100.00</w:t>
            </w:r>
            <w:r>
              <w:rPr>
                <w:rFonts w:hint="eastAsia" w:ascii="仿宋_GB2312" w:eastAsia="仿宋_GB2312"/>
                <w:color w:val="auto"/>
                <w:sz w:val="24"/>
              </w:rPr>
              <w:t>%</w:t>
            </w:r>
          </w:p>
        </w:tc>
        <w:tc>
          <w:tcPr>
            <w:tcW w:w="1247" w:type="dxa"/>
            <w:tcBorders>
              <w:right w:val="nil"/>
              <w:insideV w:val="nil"/>
            </w:tcBorders>
            <w:shd w:val="clear" w:color="auto" w:fill="D3DFEE" w:themeFill="accent1" w:themeFillTint="3F"/>
            <w:vAlign w:val="center"/>
          </w:tcPr>
          <w:p w14:paraId="67A85920">
            <w:pPr>
              <w:widowControl/>
              <w:jc w:val="center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-</w:t>
            </w:r>
            <w:r>
              <w:rPr>
                <w:rFonts w:ascii="仿宋_GB2312" w:eastAsia="仿宋_GB2312"/>
                <w:color w:val="auto"/>
                <w:sz w:val="24"/>
              </w:rPr>
              <w:t>-</w:t>
            </w:r>
          </w:p>
        </w:tc>
      </w:tr>
      <w:tr w14:paraId="00D44472">
        <w:tblPrEx>
          <w:tblBorders>
            <w:top w:val="single" w:color="4F81BD" w:themeColor="accent1" w:sz="8" w:space="0"/>
            <w:left w:val="none" w:color="auto" w:sz="0" w:space="0"/>
            <w:bottom w:val="single" w:color="4F81BD" w:themeColor="accen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572" w:type="dxa"/>
            <w:noWrap/>
            <w:vAlign w:val="center"/>
          </w:tcPr>
          <w:p w14:paraId="23B1AFDA">
            <w:pPr>
              <w:widowControl/>
              <w:jc w:val="center"/>
              <w:rPr>
                <w:rFonts w:ascii="仿宋_GB2312" w:hAnsi="仿宋" w:eastAsia="仿宋_GB2312" w:cs="宋体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b/>
                <w:bCs/>
                <w:color w:val="auto"/>
                <w:kern w:val="0"/>
                <w:sz w:val="24"/>
              </w:rPr>
              <w:t>总体满意率</w:t>
            </w:r>
          </w:p>
        </w:tc>
        <w:tc>
          <w:tcPr>
            <w:tcW w:w="1814" w:type="dxa"/>
            <w:noWrap/>
            <w:vAlign w:val="center"/>
          </w:tcPr>
          <w:p w14:paraId="72B403A7">
            <w:pPr>
              <w:widowControl/>
              <w:jc w:val="center"/>
              <w:rPr>
                <w:rFonts w:ascii="仿宋_GB2312" w:eastAsia="仿宋_GB2312"/>
                <w:b/>
                <w:bCs/>
                <w:color w:val="auto"/>
                <w:sz w:val="24"/>
              </w:rPr>
            </w:pPr>
            <w:r>
              <w:rPr>
                <w:rFonts w:ascii="仿宋_GB2312" w:eastAsia="仿宋_GB2312"/>
                <w:b/>
                <w:bCs/>
                <w:color w:val="auto"/>
                <w:sz w:val="24"/>
              </w:rPr>
              <w:t>100.00</w:t>
            </w:r>
            <w:r>
              <w:rPr>
                <w:rFonts w:hint="eastAsia" w:ascii="仿宋_GB2312" w:eastAsia="仿宋_GB2312"/>
                <w:b/>
                <w:bCs/>
                <w:color w:val="auto"/>
                <w:sz w:val="24"/>
              </w:rPr>
              <w:t>%</w:t>
            </w:r>
          </w:p>
        </w:tc>
        <w:tc>
          <w:tcPr>
            <w:tcW w:w="1814" w:type="dxa"/>
            <w:vAlign w:val="center"/>
          </w:tcPr>
          <w:p w14:paraId="596C439C">
            <w:pPr>
              <w:widowControl/>
              <w:jc w:val="center"/>
              <w:rPr>
                <w:rFonts w:ascii="仿宋_GB2312" w:eastAsia="仿宋_GB2312"/>
                <w:b/>
                <w:bCs/>
                <w:color w:val="auto"/>
                <w:sz w:val="24"/>
              </w:rPr>
            </w:pPr>
            <w:r>
              <w:rPr>
                <w:rFonts w:ascii="仿宋_GB2312" w:eastAsia="仿宋_GB2312"/>
                <w:b/>
                <w:bCs/>
                <w:color w:val="auto"/>
                <w:sz w:val="24"/>
              </w:rPr>
              <w:t>100.00</w:t>
            </w:r>
            <w:r>
              <w:rPr>
                <w:rFonts w:hint="eastAsia" w:ascii="仿宋_GB2312" w:eastAsia="仿宋_GB2312"/>
                <w:b/>
                <w:bCs/>
                <w:color w:val="auto"/>
                <w:sz w:val="24"/>
              </w:rPr>
              <w:t>%</w:t>
            </w:r>
          </w:p>
        </w:tc>
        <w:tc>
          <w:tcPr>
            <w:tcW w:w="1247" w:type="dxa"/>
            <w:vAlign w:val="center"/>
          </w:tcPr>
          <w:p w14:paraId="4BE08ED4">
            <w:pPr>
              <w:widowControl/>
              <w:jc w:val="center"/>
              <w:rPr>
                <w:rFonts w:ascii="仿宋_GB2312" w:eastAsia="仿宋_GB2312"/>
                <w:b/>
                <w:bCs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-</w:t>
            </w:r>
            <w:r>
              <w:rPr>
                <w:rFonts w:ascii="仿宋_GB2312" w:eastAsia="仿宋_GB2312"/>
                <w:color w:val="auto"/>
                <w:sz w:val="24"/>
              </w:rPr>
              <w:t>-</w:t>
            </w:r>
          </w:p>
        </w:tc>
      </w:tr>
    </w:tbl>
    <w:p w14:paraId="3B3FA0E6"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将近两年的调查结果相比较，供水接入服务质量调查总体满意率连续两年达到100.00%，服务能力整体均衡</w:t>
      </w:r>
      <w:r>
        <w:rPr>
          <w:rFonts w:hint="eastAsia" w:ascii="仿宋_GB2312" w:eastAsia="仿宋_GB2312"/>
          <w:color w:val="FF0000"/>
          <w:sz w:val="32"/>
          <w:szCs w:val="32"/>
        </w:rPr>
        <w:t>。</w:t>
      </w:r>
      <w:r>
        <w:rPr>
          <w:rFonts w:hint="eastAsia" w:ascii="仿宋_GB2312" w:eastAsia="仿宋_GB2312"/>
          <w:sz w:val="32"/>
          <w:szCs w:val="32"/>
        </w:rPr>
        <w:t>五项指标中，“前期咨询和申请受理”“现场查勘和编制/复核供水方案”“工程质量验收”“签订供用水合同”和“总体服务”五项指标的满意率均稳定在100.00%，与2025年相比持平且结构更优——2025年尚有约1.0</w:t>
      </w:r>
      <w:r>
        <w:rPr>
          <w:rFonts w:ascii="仿宋_GB2312" w:eastAsia="仿宋_GB2312"/>
          <w:sz w:val="32"/>
          <w:szCs w:val="32"/>
        </w:rPr>
        <w:t>0</w:t>
      </w:r>
      <w:r>
        <w:rPr>
          <w:rFonts w:hint="eastAsia" w:ascii="仿宋_GB2312" w:eastAsia="仿宋_GB2312"/>
          <w:sz w:val="32"/>
          <w:szCs w:val="32"/>
        </w:rPr>
        <w:t>%</w:t>
      </w:r>
      <w:r>
        <w:rPr>
          <w:rFonts w:ascii="仿宋_GB2312" w:eastAsia="仿宋_GB2312"/>
          <w:sz w:val="32"/>
          <w:szCs w:val="32"/>
        </w:rPr>
        <w:t>-</w:t>
      </w:r>
      <w:r>
        <w:rPr>
          <w:rFonts w:hint="eastAsia" w:ascii="仿宋_GB2312" w:eastAsia="仿宋_GB2312"/>
          <w:sz w:val="32"/>
          <w:szCs w:val="32"/>
        </w:rPr>
        <w:t>1.7</w:t>
      </w:r>
      <w:r>
        <w:rPr>
          <w:rFonts w:ascii="仿宋_GB2312" w:eastAsia="仿宋_GB2312"/>
          <w:sz w:val="32"/>
          <w:szCs w:val="32"/>
        </w:rPr>
        <w:t>0</w:t>
      </w:r>
      <w:r>
        <w:rPr>
          <w:rFonts w:hint="eastAsia" w:ascii="仿宋_GB2312" w:eastAsia="仿宋_GB2312"/>
          <w:sz w:val="32"/>
          <w:szCs w:val="32"/>
        </w:rPr>
        <w:t>%的受访者对部分指标评价为“基本满意”，2026年该比例已下降至0</w:t>
      </w:r>
      <w:r>
        <w:rPr>
          <w:rFonts w:ascii="仿宋_GB2312" w:eastAsia="仿宋_GB2312"/>
          <w:sz w:val="32"/>
          <w:szCs w:val="32"/>
        </w:rPr>
        <w:t>.10</w:t>
      </w:r>
      <w:r>
        <w:rPr>
          <w:rFonts w:hint="eastAsia" w:ascii="仿宋_GB2312" w:eastAsia="仿宋_GB2312"/>
          <w:sz w:val="32"/>
          <w:szCs w:val="32"/>
        </w:rPr>
        <w:t>%</w:t>
      </w:r>
      <w:r>
        <w:rPr>
          <w:rFonts w:ascii="仿宋_GB2312" w:eastAsia="仿宋_GB2312"/>
          <w:sz w:val="32"/>
          <w:szCs w:val="32"/>
        </w:rPr>
        <w:t>-</w:t>
      </w:r>
      <w:r>
        <w:rPr>
          <w:rFonts w:hint="eastAsia" w:ascii="仿宋_GB2312" w:eastAsia="仿宋_GB2312"/>
          <w:sz w:val="32"/>
          <w:szCs w:val="32"/>
        </w:rPr>
        <w:t>0.2</w:t>
      </w:r>
      <w:r>
        <w:rPr>
          <w:rFonts w:ascii="仿宋_GB2312" w:eastAsia="仿宋_GB2312"/>
          <w:sz w:val="32"/>
          <w:szCs w:val="32"/>
        </w:rPr>
        <w:t>0</w:t>
      </w:r>
      <w:r>
        <w:rPr>
          <w:rFonts w:hint="eastAsia" w:ascii="仿宋_GB2312" w:eastAsia="仿宋_GB2312"/>
          <w:sz w:val="32"/>
          <w:szCs w:val="32"/>
        </w:rPr>
        <w:t>%。</w:t>
      </w:r>
    </w:p>
    <w:p w14:paraId="4F5BED6D">
      <w:pPr>
        <w:ind w:firstLine="640" w:firstLineChars="200"/>
        <w:rPr>
          <w:rFonts w:ascii="仿宋_GB2312" w:eastAsia="仿宋_GB2312"/>
          <w:sz w:val="32"/>
          <w:szCs w:val="32"/>
        </w:rPr>
      </w:pPr>
    </w:p>
    <w:p w14:paraId="11657C9E"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</w:t>
      </w:r>
      <w:r>
        <w:rPr>
          <w:rFonts w:ascii="仿宋_GB2312" w:eastAsia="仿宋_GB2312"/>
          <w:sz w:val="32"/>
          <w:szCs w:val="32"/>
        </w:rPr>
        <w:t>026</w:t>
      </w:r>
      <w:r>
        <w:rPr>
          <w:rFonts w:hint="eastAsia" w:ascii="仿宋_GB2312" w:eastAsia="仿宋_GB2312"/>
          <w:sz w:val="32"/>
          <w:szCs w:val="32"/>
        </w:rPr>
        <w:t>年五项指标的各自评价比例详见下表：</w:t>
      </w:r>
    </w:p>
    <w:tbl>
      <w:tblPr>
        <w:tblStyle w:val="18"/>
        <w:tblW w:w="8471" w:type="dxa"/>
        <w:tblInd w:w="0" w:type="dxa"/>
        <w:tblBorders>
          <w:top w:val="single" w:color="4F81BD" w:themeColor="accent1" w:sz="8" w:space="0"/>
          <w:left w:val="none" w:color="auto" w:sz="0" w:space="0"/>
          <w:bottom w:val="single" w:color="4F81BD" w:themeColor="accent1" w:sz="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66"/>
        <w:gridCol w:w="1226"/>
        <w:gridCol w:w="1226"/>
        <w:gridCol w:w="1226"/>
        <w:gridCol w:w="1227"/>
      </w:tblGrid>
      <w:tr w14:paraId="57797980">
        <w:tblPrEx>
          <w:tblBorders>
            <w:top w:val="single" w:color="4F81BD" w:themeColor="accent1" w:sz="8" w:space="0"/>
            <w:left w:val="none" w:color="auto" w:sz="0" w:space="0"/>
            <w:bottom w:val="single" w:color="4F81BD" w:themeColor="accen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566" w:type="dxa"/>
            <w:tcBorders>
              <w:top w:val="single" w:color="4F81BD" w:themeColor="accent1" w:sz="8" w:space="0"/>
              <w:left w:val="nil"/>
              <w:bottom w:val="single" w:color="4F81BD" w:themeColor="accent1" w:sz="8" w:space="0"/>
              <w:right w:val="nil"/>
              <w:insideH w:val="single" w:sz="8" w:space="0"/>
              <w:insideV w:val="nil"/>
            </w:tcBorders>
            <w:noWrap/>
          </w:tcPr>
          <w:p w14:paraId="69E2BB87">
            <w:pPr>
              <w:widowControl/>
              <w:spacing w:before="0" w:after="0" w:line="240" w:lineRule="auto"/>
              <w:jc w:val="center"/>
              <w:rPr>
                <w:rFonts w:ascii="仿宋_GB2312" w:hAnsi="仿宋" w:eastAsia="仿宋_GB2312" w:cs="宋体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b/>
                <w:bCs/>
                <w:color w:val="auto"/>
                <w:kern w:val="0"/>
                <w:sz w:val="24"/>
              </w:rPr>
              <w:t>指  标</w:t>
            </w:r>
          </w:p>
        </w:tc>
        <w:tc>
          <w:tcPr>
            <w:tcW w:w="1226" w:type="dxa"/>
            <w:tcBorders>
              <w:top w:val="single" w:color="4F81BD" w:themeColor="accent1" w:sz="8" w:space="0"/>
              <w:bottom w:val="single" w:color="4F81BD" w:themeColor="accent1" w:sz="8" w:space="0"/>
              <w:right w:val="nil"/>
              <w:insideH w:val="single" w:sz="8" w:space="0"/>
              <w:insideV w:val="nil"/>
            </w:tcBorders>
            <w:noWrap/>
          </w:tcPr>
          <w:p w14:paraId="3A410F1F">
            <w:pPr>
              <w:widowControl/>
              <w:spacing w:before="0" w:after="0" w:line="240" w:lineRule="auto"/>
              <w:jc w:val="center"/>
              <w:rPr>
                <w:rFonts w:ascii="仿宋_GB2312" w:hAnsi="仿宋" w:eastAsia="仿宋_GB2312" w:cs="宋体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b/>
                <w:bCs/>
                <w:color w:val="auto"/>
                <w:kern w:val="0"/>
                <w:sz w:val="24"/>
              </w:rPr>
              <w:t>非常满意</w:t>
            </w:r>
          </w:p>
        </w:tc>
        <w:tc>
          <w:tcPr>
            <w:tcW w:w="1226" w:type="dxa"/>
            <w:tcBorders>
              <w:top w:val="single" w:color="4F81BD" w:themeColor="accent1" w:sz="8" w:space="0"/>
              <w:bottom w:val="single" w:color="4F81BD" w:themeColor="accent1" w:sz="8" w:space="0"/>
              <w:right w:val="nil"/>
              <w:insideH w:val="single" w:sz="8" w:space="0"/>
              <w:insideV w:val="nil"/>
            </w:tcBorders>
            <w:noWrap/>
          </w:tcPr>
          <w:p w14:paraId="6CEDF35F">
            <w:pPr>
              <w:widowControl/>
              <w:spacing w:before="0" w:after="0" w:line="240" w:lineRule="auto"/>
              <w:jc w:val="center"/>
              <w:rPr>
                <w:rFonts w:ascii="仿宋_GB2312" w:hAnsi="仿宋" w:eastAsia="仿宋_GB2312" w:cs="宋体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b/>
                <w:bCs/>
                <w:color w:val="auto"/>
                <w:kern w:val="0"/>
                <w:sz w:val="24"/>
              </w:rPr>
              <w:t>满意</w:t>
            </w:r>
          </w:p>
        </w:tc>
        <w:tc>
          <w:tcPr>
            <w:tcW w:w="1226" w:type="dxa"/>
            <w:tcBorders>
              <w:top w:val="single" w:color="4F81BD" w:themeColor="accent1" w:sz="8" w:space="0"/>
              <w:bottom w:val="single" w:color="4F81BD" w:themeColor="accent1" w:sz="8" w:space="0"/>
              <w:right w:val="nil"/>
              <w:insideH w:val="single" w:sz="8" w:space="0"/>
              <w:insideV w:val="nil"/>
            </w:tcBorders>
            <w:noWrap/>
          </w:tcPr>
          <w:p w14:paraId="7F9E7EEA">
            <w:pPr>
              <w:widowControl/>
              <w:spacing w:before="0" w:after="0" w:line="240" w:lineRule="auto"/>
              <w:jc w:val="center"/>
              <w:rPr>
                <w:rFonts w:ascii="仿宋_GB2312" w:hAnsi="仿宋" w:eastAsia="仿宋_GB2312" w:cs="宋体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b/>
                <w:bCs/>
                <w:color w:val="auto"/>
                <w:kern w:val="0"/>
                <w:sz w:val="24"/>
              </w:rPr>
              <w:t>基本满意</w:t>
            </w:r>
          </w:p>
        </w:tc>
        <w:tc>
          <w:tcPr>
            <w:tcW w:w="1227" w:type="dxa"/>
            <w:tcBorders>
              <w:top w:val="single" w:color="4F81BD" w:themeColor="accent1" w:sz="8" w:space="0"/>
              <w:bottom w:val="single" w:color="4F81BD" w:themeColor="accent1" w:sz="8" w:space="0"/>
              <w:right w:val="nil"/>
              <w:insideH w:val="single" w:sz="8" w:space="0"/>
              <w:insideV w:val="nil"/>
            </w:tcBorders>
            <w:noWrap/>
          </w:tcPr>
          <w:p w14:paraId="7E77DD80">
            <w:pPr>
              <w:widowControl/>
              <w:spacing w:before="0" w:after="0" w:line="240" w:lineRule="auto"/>
              <w:jc w:val="center"/>
              <w:rPr>
                <w:rFonts w:ascii="仿宋_GB2312" w:hAnsi="仿宋" w:eastAsia="仿宋_GB2312" w:cs="宋体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b/>
                <w:bCs/>
                <w:color w:val="auto"/>
                <w:kern w:val="0"/>
                <w:sz w:val="24"/>
              </w:rPr>
              <w:t>不满意</w:t>
            </w:r>
          </w:p>
        </w:tc>
      </w:tr>
      <w:tr w14:paraId="5ACE3F70">
        <w:tblPrEx>
          <w:tblBorders>
            <w:top w:val="single" w:color="4F81BD" w:themeColor="accent1" w:sz="8" w:space="0"/>
            <w:left w:val="none" w:color="auto" w:sz="0" w:space="0"/>
            <w:bottom w:val="single" w:color="4F81BD" w:themeColor="accen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566" w:type="dxa"/>
            <w:tcBorders>
              <w:left w:val="nil"/>
              <w:right w:val="nil"/>
              <w:insideV w:val="nil"/>
            </w:tcBorders>
            <w:shd w:val="clear" w:color="auto" w:fill="D3DFEE" w:themeFill="accent1" w:themeFillTint="3F"/>
            <w:noWrap/>
          </w:tcPr>
          <w:p w14:paraId="6A370308">
            <w:pPr>
              <w:widowControl/>
              <w:jc w:val="left"/>
              <w:rPr>
                <w:rFonts w:ascii="仿宋_GB2312" w:hAnsi="仿宋" w:eastAsia="仿宋_GB2312" w:cs="宋体"/>
                <w:b w:val="0"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b w:val="0"/>
                <w:bCs/>
                <w:color w:val="auto"/>
                <w:kern w:val="0"/>
                <w:sz w:val="24"/>
              </w:rPr>
              <w:t>前期咨询和申请受理</w:t>
            </w:r>
          </w:p>
        </w:tc>
        <w:tc>
          <w:tcPr>
            <w:tcW w:w="1226" w:type="dxa"/>
            <w:tcBorders>
              <w:right w:val="nil"/>
              <w:insideV w:val="nil"/>
            </w:tcBorders>
            <w:shd w:val="clear" w:color="auto" w:fill="D3DFEE" w:themeFill="accent1" w:themeFillTint="3F"/>
            <w:noWrap/>
            <w:vAlign w:val="center"/>
          </w:tcPr>
          <w:p w14:paraId="5B7C3A72">
            <w:pPr>
              <w:widowControl/>
              <w:jc w:val="center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55.80%</w:t>
            </w:r>
          </w:p>
        </w:tc>
        <w:tc>
          <w:tcPr>
            <w:tcW w:w="1226" w:type="dxa"/>
            <w:tcBorders>
              <w:right w:val="nil"/>
              <w:insideV w:val="nil"/>
            </w:tcBorders>
            <w:shd w:val="clear" w:color="auto" w:fill="D3DFEE" w:themeFill="accent1" w:themeFillTint="3F"/>
            <w:noWrap/>
            <w:vAlign w:val="center"/>
          </w:tcPr>
          <w:p w14:paraId="47DB20DF">
            <w:pPr>
              <w:widowControl/>
              <w:jc w:val="center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44.20%</w:t>
            </w:r>
          </w:p>
        </w:tc>
        <w:tc>
          <w:tcPr>
            <w:tcW w:w="1226" w:type="dxa"/>
            <w:tcBorders>
              <w:right w:val="nil"/>
              <w:insideV w:val="nil"/>
            </w:tcBorders>
            <w:shd w:val="clear" w:color="auto" w:fill="D3DFEE" w:themeFill="accent1" w:themeFillTint="3F"/>
            <w:noWrap/>
            <w:vAlign w:val="center"/>
          </w:tcPr>
          <w:p w14:paraId="3C88F5B6">
            <w:pPr>
              <w:widowControl/>
              <w:jc w:val="center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0.00%</w:t>
            </w:r>
          </w:p>
        </w:tc>
        <w:tc>
          <w:tcPr>
            <w:tcW w:w="1227" w:type="dxa"/>
            <w:tcBorders>
              <w:right w:val="nil"/>
              <w:insideV w:val="nil"/>
            </w:tcBorders>
            <w:shd w:val="clear" w:color="auto" w:fill="D3DFEE" w:themeFill="accent1" w:themeFillTint="3F"/>
            <w:noWrap/>
            <w:vAlign w:val="center"/>
          </w:tcPr>
          <w:p w14:paraId="6D4713C4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0.00%</w:t>
            </w:r>
          </w:p>
        </w:tc>
      </w:tr>
      <w:tr w14:paraId="5FBD89BD">
        <w:tblPrEx>
          <w:tblBorders>
            <w:top w:val="single" w:color="4F81BD" w:themeColor="accent1" w:sz="8" w:space="0"/>
            <w:left w:val="none" w:color="auto" w:sz="0" w:space="0"/>
            <w:bottom w:val="single" w:color="4F81BD" w:themeColor="accen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566" w:type="dxa"/>
            <w:noWrap/>
          </w:tcPr>
          <w:p w14:paraId="356481A2">
            <w:pPr>
              <w:widowControl/>
              <w:jc w:val="left"/>
              <w:rPr>
                <w:rFonts w:ascii="仿宋_GB2312" w:hAnsi="仿宋" w:eastAsia="仿宋_GB2312" w:cs="宋体"/>
                <w:b w:val="0"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b w:val="0"/>
                <w:bCs/>
                <w:color w:val="auto"/>
                <w:kern w:val="0"/>
                <w:sz w:val="24"/>
              </w:rPr>
              <w:t>现场查勘和编制/复核供水方案</w:t>
            </w:r>
          </w:p>
        </w:tc>
        <w:tc>
          <w:tcPr>
            <w:tcW w:w="1226" w:type="dxa"/>
            <w:noWrap/>
            <w:vAlign w:val="center"/>
          </w:tcPr>
          <w:p w14:paraId="6BCDE470">
            <w:pPr>
              <w:widowControl/>
              <w:jc w:val="center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54.80%</w:t>
            </w:r>
          </w:p>
        </w:tc>
        <w:tc>
          <w:tcPr>
            <w:tcW w:w="1226" w:type="dxa"/>
            <w:noWrap/>
            <w:vAlign w:val="center"/>
          </w:tcPr>
          <w:p w14:paraId="54C18C8E">
            <w:pPr>
              <w:widowControl/>
              <w:jc w:val="center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45.20%</w:t>
            </w:r>
          </w:p>
        </w:tc>
        <w:tc>
          <w:tcPr>
            <w:tcW w:w="1226" w:type="dxa"/>
            <w:noWrap/>
            <w:vAlign w:val="center"/>
          </w:tcPr>
          <w:p w14:paraId="203A04C5">
            <w:pPr>
              <w:widowControl/>
              <w:jc w:val="center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0.00%</w:t>
            </w:r>
          </w:p>
        </w:tc>
        <w:tc>
          <w:tcPr>
            <w:tcW w:w="1227" w:type="dxa"/>
            <w:noWrap/>
            <w:vAlign w:val="center"/>
          </w:tcPr>
          <w:p w14:paraId="6CD5C398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0.00%</w:t>
            </w:r>
          </w:p>
        </w:tc>
      </w:tr>
      <w:tr w14:paraId="0A325913">
        <w:tblPrEx>
          <w:tblBorders>
            <w:top w:val="single" w:color="4F81BD" w:themeColor="accent1" w:sz="8" w:space="0"/>
            <w:left w:val="none" w:color="auto" w:sz="0" w:space="0"/>
            <w:bottom w:val="single" w:color="4F81BD" w:themeColor="accen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566" w:type="dxa"/>
            <w:tcBorders>
              <w:left w:val="nil"/>
              <w:right w:val="nil"/>
              <w:insideV w:val="nil"/>
            </w:tcBorders>
            <w:shd w:val="clear" w:color="auto" w:fill="D3DFEE" w:themeFill="accent1" w:themeFillTint="3F"/>
            <w:noWrap/>
          </w:tcPr>
          <w:p w14:paraId="055A0AAE">
            <w:pPr>
              <w:widowControl/>
              <w:jc w:val="left"/>
              <w:rPr>
                <w:rFonts w:ascii="仿宋_GB2312" w:hAnsi="仿宋" w:eastAsia="仿宋_GB2312" w:cs="宋体"/>
                <w:b w:val="0"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b w:val="0"/>
                <w:bCs/>
                <w:color w:val="auto"/>
                <w:kern w:val="0"/>
                <w:sz w:val="24"/>
              </w:rPr>
              <w:t>工程质量验收</w:t>
            </w:r>
          </w:p>
        </w:tc>
        <w:tc>
          <w:tcPr>
            <w:tcW w:w="1226" w:type="dxa"/>
            <w:tcBorders>
              <w:right w:val="nil"/>
              <w:insideV w:val="nil"/>
            </w:tcBorders>
            <w:shd w:val="clear" w:color="auto" w:fill="D3DFEE" w:themeFill="accent1" w:themeFillTint="3F"/>
            <w:noWrap/>
            <w:vAlign w:val="center"/>
          </w:tcPr>
          <w:p w14:paraId="6A5861B7">
            <w:pPr>
              <w:widowControl/>
              <w:jc w:val="center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55.33%</w:t>
            </w:r>
          </w:p>
        </w:tc>
        <w:tc>
          <w:tcPr>
            <w:tcW w:w="1226" w:type="dxa"/>
            <w:tcBorders>
              <w:right w:val="nil"/>
              <w:insideV w:val="nil"/>
            </w:tcBorders>
            <w:shd w:val="clear" w:color="auto" w:fill="D3DFEE" w:themeFill="accent1" w:themeFillTint="3F"/>
            <w:noWrap/>
            <w:vAlign w:val="center"/>
          </w:tcPr>
          <w:p w14:paraId="5BA9A5A3">
            <w:pPr>
              <w:widowControl/>
              <w:jc w:val="center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44.53%</w:t>
            </w:r>
          </w:p>
        </w:tc>
        <w:tc>
          <w:tcPr>
            <w:tcW w:w="1226" w:type="dxa"/>
            <w:tcBorders>
              <w:right w:val="nil"/>
              <w:insideV w:val="nil"/>
            </w:tcBorders>
            <w:shd w:val="clear" w:color="auto" w:fill="D3DFEE" w:themeFill="accent1" w:themeFillTint="3F"/>
            <w:noWrap/>
            <w:vAlign w:val="center"/>
          </w:tcPr>
          <w:p w14:paraId="1644373C">
            <w:pPr>
              <w:widowControl/>
              <w:jc w:val="center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0.13%</w:t>
            </w:r>
          </w:p>
        </w:tc>
        <w:tc>
          <w:tcPr>
            <w:tcW w:w="1227" w:type="dxa"/>
            <w:tcBorders>
              <w:right w:val="nil"/>
              <w:insideV w:val="nil"/>
            </w:tcBorders>
            <w:shd w:val="clear" w:color="auto" w:fill="D3DFEE" w:themeFill="accent1" w:themeFillTint="3F"/>
            <w:noWrap/>
            <w:vAlign w:val="center"/>
          </w:tcPr>
          <w:p w14:paraId="5207A42E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0.00%</w:t>
            </w:r>
          </w:p>
        </w:tc>
      </w:tr>
      <w:tr w14:paraId="211DF574">
        <w:tblPrEx>
          <w:tblBorders>
            <w:top w:val="single" w:color="4F81BD" w:themeColor="accent1" w:sz="8" w:space="0"/>
            <w:left w:val="none" w:color="auto" w:sz="0" w:space="0"/>
            <w:bottom w:val="single" w:color="4F81BD" w:themeColor="accen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566" w:type="dxa"/>
            <w:noWrap/>
          </w:tcPr>
          <w:p w14:paraId="488FD1A5">
            <w:pPr>
              <w:widowControl/>
              <w:jc w:val="left"/>
              <w:rPr>
                <w:rFonts w:ascii="仿宋_GB2312" w:hAnsi="仿宋" w:eastAsia="仿宋_GB2312" w:cs="宋体"/>
                <w:b w:val="0"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b w:val="0"/>
                <w:bCs/>
                <w:color w:val="auto"/>
                <w:kern w:val="0"/>
                <w:sz w:val="24"/>
              </w:rPr>
              <w:t>签订供用水合同</w:t>
            </w:r>
          </w:p>
        </w:tc>
        <w:tc>
          <w:tcPr>
            <w:tcW w:w="1226" w:type="dxa"/>
            <w:noWrap/>
            <w:vAlign w:val="center"/>
          </w:tcPr>
          <w:p w14:paraId="506A7311">
            <w:pPr>
              <w:widowControl/>
              <w:jc w:val="center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55.20%</w:t>
            </w:r>
          </w:p>
        </w:tc>
        <w:tc>
          <w:tcPr>
            <w:tcW w:w="1226" w:type="dxa"/>
            <w:noWrap/>
            <w:vAlign w:val="center"/>
          </w:tcPr>
          <w:p w14:paraId="1ECD41FF">
            <w:pPr>
              <w:widowControl/>
              <w:jc w:val="center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44.70%</w:t>
            </w:r>
          </w:p>
        </w:tc>
        <w:tc>
          <w:tcPr>
            <w:tcW w:w="1226" w:type="dxa"/>
            <w:noWrap/>
            <w:vAlign w:val="center"/>
          </w:tcPr>
          <w:p w14:paraId="43699FEA">
            <w:pPr>
              <w:widowControl/>
              <w:jc w:val="center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0.10%</w:t>
            </w:r>
          </w:p>
        </w:tc>
        <w:tc>
          <w:tcPr>
            <w:tcW w:w="1227" w:type="dxa"/>
            <w:noWrap/>
            <w:vAlign w:val="center"/>
          </w:tcPr>
          <w:p w14:paraId="4628AA66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0.00%</w:t>
            </w:r>
          </w:p>
        </w:tc>
      </w:tr>
      <w:tr w14:paraId="599B54D1">
        <w:tblPrEx>
          <w:tblBorders>
            <w:top w:val="single" w:color="4F81BD" w:themeColor="accent1" w:sz="8" w:space="0"/>
            <w:left w:val="none" w:color="auto" w:sz="0" w:space="0"/>
            <w:bottom w:val="single" w:color="4F81BD" w:themeColor="accen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566" w:type="dxa"/>
            <w:tcBorders>
              <w:left w:val="nil"/>
              <w:right w:val="nil"/>
              <w:insideV w:val="nil"/>
            </w:tcBorders>
            <w:shd w:val="clear" w:color="auto" w:fill="D3DFEE" w:themeFill="accent1" w:themeFillTint="3F"/>
            <w:noWrap/>
          </w:tcPr>
          <w:p w14:paraId="155E3A49">
            <w:pPr>
              <w:widowControl/>
              <w:jc w:val="left"/>
              <w:rPr>
                <w:rFonts w:ascii="仿宋_GB2312" w:hAnsi="仿宋" w:eastAsia="仿宋_GB2312" w:cs="宋体"/>
                <w:b w:val="0"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b w:val="0"/>
                <w:bCs/>
                <w:color w:val="auto"/>
                <w:kern w:val="0"/>
                <w:sz w:val="24"/>
              </w:rPr>
              <w:t>总体服务</w:t>
            </w:r>
          </w:p>
        </w:tc>
        <w:tc>
          <w:tcPr>
            <w:tcW w:w="1226" w:type="dxa"/>
            <w:tcBorders>
              <w:right w:val="nil"/>
              <w:insideV w:val="nil"/>
            </w:tcBorders>
            <w:shd w:val="clear" w:color="auto" w:fill="D3DFEE" w:themeFill="accent1" w:themeFillTint="3F"/>
            <w:noWrap/>
            <w:vAlign w:val="center"/>
          </w:tcPr>
          <w:p w14:paraId="5AEEBF83">
            <w:pPr>
              <w:widowControl/>
              <w:jc w:val="center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55.40%</w:t>
            </w:r>
          </w:p>
        </w:tc>
        <w:tc>
          <w:tcPr>
            <w:tcW w:w="1226" w:type="dxa"/>
            <w:tcBorders>
              <w:right w:val="nil"/>
              <w:insideV w:val="nil"/>
            </w:tcBorders>
            <w:shd w:val="clear" w:color="auto" w:fill="D3DFEE" w:themeFill="accent1" w:themeFillTint="3F"/>
            <w:noWrap/>
            <w:vAlign w:val="center"/>
          </w:tcPr>
          <w:p w14:paraId="1435D8E3">
            <w:pPr>
              <w:widowControl/>
              <w:jc w:val="center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44.40%</w:t>
            </w:r>
          </w:p>
        </w:tc>
        <w:tc>
          <w:tcPr>
            <w:tcW w:w="1226" w:type="dxa"/>
            <w:tcBorders>
              <w:right w:val="nil"/>
              <w:insideV w:val="nil"/>
            </w:tcBorders>
            <w:shd w:val="clear" w:color="auto" w:fill="D3DFEE" w:themeFill="accent1" w:themeFillTint="3F"/>
            <w:noWrap/>
            <w:vAlign w:val="center"/>
          </w:tcPr>
          <w:p w14:paraId="70CE3D33">
            <w:pPr>
              <w:widowControl/>
              <w:jc w:val="center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0.20%</w:t>
            </w:r>
          </w:p>
        </w:tc>
        <w:tc>
          <w:tcPr>
            <w:tcW w:w="1227" w:type="dxa"/>
            <w:tcBorders>
              <w:right w:val="nil"/>
              <w:insideV w:val="nil"/>
            </w:tcBorders>
            <w:shd w:val="clear" w:color="auto" w:fill="D3DFEE" w:themeFill="accent1" w:themeFillTint="3F"/>
            <w:noWrap/>
            <w:vAlign w:val="center"/>
          </w:tcPr>
          <w:p w14:paraId="330ECB55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0.00%</w:t>
            </w:r>
          </w:p>
        </w:tc>
      </w:tr>
      <w:tr w14:paraId="1041E5C4">
        <w:tblPrEx>
          <w:tblBorders>
            <w:top w:val="single" w:color="4F81BD" w:themeColor="accent1" w:sz="8" w:space="0"/>
            <w:left w:val="none" w:color="auto" w:sz="0" w:space="0"/>
            <w:bottom w:val="single" w:color="4F81BD" w:themeColor="accen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566" w:type="dxa"/>
            <w:noWrap/>
          </w:tcPr>
          <w:p w14:paraId="3711C712">
            <w:pPr>
              <w:widowControl/>
              <w:jc w:val="center"/>
              <w:rPr>
                <w:rFonts w:ascii="仿宋_GB2312" w:hAnsi="仿宋" w:eastAsia="仿宋_GB2312" w:cs="宋体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b/>
                <w:bCs/>
                <w:color w:val="auto"/>
                <w:kern w:val="0"/>
                <w:sz w:val="24"/>
              </w:rPr>
              <w:t>总体满意率</w:t>
            </w:r>
          </w:p>
        </w:tc>
        <w:tc>
          <w:tcPr>
            <w:tcW w:w="4905" w:type="dxa"/>
            <w:gridSpan w:val="4"/>
            <w:noWrap/>
          </w:tcPr>
          <w:p w14:paraId="400EBBA8">
            <w:pPr>
              <w:widowControl/>
              <w:jc w:val="center"/>
              <w:rPr>
                <w:rFonts w:ascii="仿宋_GB2312" w:hAnsi="仿宋" w:eastAsia="仿宋_GB2312"/>
                <w:b/>
                <w:bCs/>
                <w:color w:val="auto"/>
                <w:kern w:val="0"/>
                <w:sz w:val="24"/>
              </w:rPr>
            </w:pPr>
            <w:r>
              <w:rPr>
                <w:rFonts w:ascii="仿宋_GB2312" w:hAnsi="仿宋" w:eastAsia="仿宋_GB2312"/>
                <w:b/>
                <w:bCs/>
                <w:color w:val="auto"/>
                <w:kern w:val="0"/>
                <w:sz w:val="24"/>
              </w:rPr>
              <w:t>100.00</w:t>
            </w:r>
            <w:r>
              <w:rPr>
                <w:rFonts w:hint="eastAsia" w:ascii="仿宋_GB2312" w:hAnsi="仿宋" w:eastAsia="仿宋_GB2312"/>
                <w:b/>
                <w:bCs/>
                <w:color w:val="auto"/>
                <w:kern w:val="0"/>
                <w:sz w:val="24"/>
              </w:rPr>
              <w:t>%</w:t>
            </w:r>
          </w:p>
        </w:tc>
      </w:tr>
    </w:tbl>
    <w:p w14:paraId="77BB8049">
      <w:pPr>
        <w:spacing w:before="312" w:beforeLines="100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以下将对五项指标展开分析。</w:t>
      </w:r>
    </w:p>
    <w:p w14:paraId="2A638AB7">
      <w:pPr>
        <w:spacing w:before="312" w:beforeLines="100"/>
        <w:ind w:firstLine="640" w:firstLineChars="200"/>
        <w:rPr>
          <w:rFonts w:ascii="仿宋_GB2312" w:eastAsia="仿宋_GB2312"/>
          <w:sz w:val="32"/>
          <w:szCs w:val="32"/>
        </w:rPr>
      </w:pPr>
    </w:p>
    <w:p w14:paraId="019F986F">
      <w:pPr>
        <w:spacing w:before="312" w:beforeLines="100"/>
        <w:ind w:firstLine="640" w:firstLineChars="200"/>
        <w:rPr>
          <w:rFonts w:ascii="仿宋_GB2312" w:eastAsia="仿宋_GB2312"/>
          <w:sz w:val="32"/>
          <w:szCs w:val="32"/>
        </w:rPr>
      </w:pPr>
    </w:p>
    <w:p w14:paraId="75F109C7">
      <w:pPr>
        <w:pStyle w:val="14"/>
        <w:jc w:val="left"/>
        <w:outlineLvl w:val="2"/>
        <w:rPr>
          <w:rFonts w:ascii="仿宋_GB2312" w:hAnsi="宋体" w:eastAsia="仿宋_GB2312" w:cs="宋体"/>
          <w:kern w:val="0"/>
        </w:rPr>
      </w:pPr>
      <w:bookmarkStart w:id="12" w:name="_Toc145100755"/>
      <w:r>
        <w:rPr>
          <w:rFonts w:hint="eastAsia" w:ascii="仿宋_GB2312" w:hAnsi="仿宋" w:eastAsia="仿宋_GB2312"/>
        </w:rPr>
        <w:t>1、</w:t>
      </w:r>
      <w:r>
        <w:rPr>
          <w:rFonts w:hint="eastAsia" w:ascii="仿宋_GB2312" w:hAnsi="宋体" w:eastAsia="仿宋_GB2312" w:cs="宋体"/>
          <w:kern w:val="0"/>
        </w:rPr>
        <w:t>前期咨询和申请受理</w:t>
      </w:r>
      <w:bookmarkEnd w:id="12"/>
    </w:p>
    <w:p w14:paraId="7A166DD1">
      <w:pPr>
        <w:jc w:val="center"/>
        <w:rPr>
          <w:rFonts w:ascii="仿宋_GB2312" w:eastAsia="仿宋_GB2312"/>
          <w:sz w:val="32"/>
          <w:szCs w:val="32"/>
        </w:rPr>
      </w:pPr>
      <w:r>
        <w:drawing>
          <wp:inline distT="0" distB="0" distL="0" distR="0">
            <wp:extent cx="5274310" cy="2971165"/>
            <wp:effectExtent l="0" t="0" r="0" b="0"/>
            <wp:docPr id="4" name="图表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531E6135"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</w:t>
      </w:r>
      <w:r>
        <w:rPr>
          <w:rFonts w:ascii="仿宋_GB2312" w:eastAsia="仿宋_GB2312"/>
          <w:sz w:val="32"/>
          <w:szCs w:val="32"/>
        </w:rPr>
        <w:t>026</w:t>
      </w:r>
      <w:r>
        <w:rPr>
          <w:rFonts w:hint="eastAsia" w:ascii="仿宋_GB2312" w:eastAsia="仿宋_GB2312"/>
          <w:sz w:val="32"/>
          <w:szCs w:val="32"/>
        </w:rPr>
        <w:t>年调查结果显示，“前期咨询和申请受理”指标的满意率（1</w:t>
      </w:r>
      <w:r>
        <w:rPr>
          <w:rFonts w:ascii="仿宋_GB2312" w:eastAsia="仿宋_GB2312"/>
          <w:sz w:val="32"/>
          <w:szCs w:val="32"/>
        </w:rPr>
        <w:t>00.00%</w:t>
      </w:r>
      <w:r>
        <w:rPr>
          <w:rFonts w:hint="eastAsia" w:ascii="仿宋_GB2312" w:eastAsia="仿宋_GB2312"/>
          <w:sz w:val="32"/>
          <w:szCs w:val="32"/>
        </w:rPr>
        <w:t>）在五项指标中排名并列第一。</w:t>
      </w:r>
    </w:p>
    <w:p w14:paraId="0197EEBB"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该指标共包含3个子项目，本次3个子项目的满意率均为1</w:t>
      </w:r>
      <w:r>
        <w:rPr>
          <w:rFonts w:ascii="仿宋_GB2312" w:eastAsia="仿宋_GB2312"/>
          <w:sz w:val="32"/>
          <w:szCs w:val="32"/>
        </w:rPr>
        <w:t>00.00%</w:t>
      </w:r>
      <w:r>
        <w:rPr>
          <w:rFonts w:hint="eastAsia" w:ascii="仿宋_GB2312" w:eastAsia="仿宋_GB2312"/>
          <w:sz w:val="32"/>
          <w:szCs w:val="32"/>
        </w:rPr>
        <w:t>。</w:t>
      </w:r>
    </w:p>
    <w:p w14:paraId="38990338">
      <w:pPr>
        <w:spacing w:before="312" w:beforeLines="100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近两年该指标及其子项目的满意率结果详见下表：</w:t>
      </w:r>
    </w:p>
    <w:tbl>
      <w:tblPr>
        <w:tblStyle w:val="18"/>
        <w:tblW w:w="7710" w:type="dxa"/>
        <w:jc w:val="center"/>
        <w:tblBorders>
          <w:top w:val="single" w:color="4F81BD" w:themeColor="accent1" w:sz="8" w:space="0"/>
          <w:left w:val="none" w:color="auto" w:sz="0" w:space="0"/>
          <w:bottom w:val="single" w:color="4F81BD" w:themeColor="accent1" w:sz="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35"/>
        <w:gridCol w:w="1814"/>
        <w:gridCol w:w="1814"/>
        <w:gridCol w:w="1247"/>
      </w:tblGrid>
      <w:tr w14:paraId="11FA5AE9">
        <w:tblPrEx>
          <w:tblBorders>
            <w:top w:val="single" w:color="4F81BD" w:themeColor="accent1" w:sz="8" w:space="0"/>
            <w:left w:val="none" w:color="auto" w:sz="0" w:space="0"/>
            <w:bottom w:val="single" w:color="4F81BD" w:themeColor="accen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835" w:type="dxa"/>
            <w:tcBorders>
              <w:top w:val="single" w:color="4F81BD" w:themeColor="accent1" w:sz="8" w:space="0"/>
              <w:left w:val="nil"/>
              <w:bottom w:val="single" w:color="4F81BD" w:themeColor="accent1" w:sz="8" w:space="0"/>
              <w:right w:val="nil"/>
              <w:insideH w:val="single" w:sz="8" w:space="0"/>
              <w:insideV w:val="nil"/>
            </w:tcBorders>
            <w:noWrap/>
            <w:vAlign w:val="center"/>
          </w:tcPr>
          <w:p w14:paraId="17089EAD">
            <w:pPr>
              <w:widowControl/>
              <w:spacing w:before="0" w:after="0" w:line="240" w:lineRule="auto"/>
              <w:jc w:val="center"/>
              <w:rPr>
                <w:rFonts w:ascii="仿宋_GB2312" w:hAnsi="仿宋" w:eastAsia="仿宋_GB2312" w:cs="宋体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b/>
                <w:bCs/>
                <w:color w:val="auto"/>
                <w:kern w:val="0"/>
                <w:sz w:val="24"/>
              </w:rPr>
              <w:t>指  标</w:t>
            </w:r>
          </w:p>
        </w:tc>
        <w:tc>
          <w:tcPr>
            <w:tcW w:w="1814" w:type="dxa"/>
            <w:tcBorders>
              <w:top w:val="single" w:color="4F81BD" w:themeColor="accent1" w:sz="8" w:space="0"/>
              <w:bottom w:val="single" w:color="4F81BD" w:themeColor="accent1" w:sz="8" w:space="0"/>
              <w:right w:val="nil"/>
              <w:insideH w:val="single" w:sz="8" w:space="0"/>
              <w:insideV w:val="nil"/>
            </w:tcBorders>
            <w:noWrap/>
            <w:vAlign w:val="center"/>
          </w:tcPr>
          <w:p w14:paraId="40BC0340">
            <w:pPr>
              <w:widowControl/>
              <w:spacing w:before="0" w:after="0" w:line="240" w:lineRule="auto"/>
              <w:jc w:val="center"/>
              <w:rPr>
                <w:rFonts w:ascii="仿宋_GB2312" w:hAnsi="仿宋" w:eastAsia="仿宋_GB2312" w:cs="宋体"/>
                <w:b/>
                <w:bCs/>
                <w:color w:val="auto"/>
                <w:kern w:val="0"/>
                <w:sz w:val="24"/>
              </w:rPr>
            </w:pPr>
            <w:r>
              <w:rPr>
                <w:rFonts w:ascii="仿宋_GB2312" w:hAnsi="仿宋" w:eastAsia="仿宋_GB2312" w:cs="宋体"/>
                <w:b/>
                <w:bCs/>
                <w:color w:val="auto"/>
                <w:kern w:val="0"/>
                <w:sz w:val="24"/>
              </w:rPr>
              <w:t>20</w:t>
            </w:r>
            <w:r>
              <w:rPr>
                <w:rFonts w:hint="eastAsia" w:ascii="仿宋_GB2312" w:hAnsi="仿宋" w:eastAsia="仿宋_GB2312" w:cs="宋体"/>
                <w:b/>
                <w:bCs/>
                <w:color w:val="auto"/>
                <w:kern w:val="0"/>
                <w:sz w:val="24"/>
              </w:rPr>
              <w:t>2</w:t>
            </w:r>
            <w:r>
              <w:rPr>
                <w:rFonts w:ascii="仿宋_GB2312" w:hAnsi="仿宋" w:eastAsia="仿宋_GB2312" w:cs="宋体"/>
                <w:b/>
                <w:bCs/>
                <w:color w:val="auto"/>
                <w:kern w:val="0"/>
                <w:sz w:val="24"/>
              </w:rPr>
              <w:t>6</w:t>
            </w:r>
            <w:r>
              <w:rPr>
                <w:rFonts w:hint="eastAsia" w:ascii="仿宋_GB2312" w:hAnsi="仿宋" w:eastAsia="仿宋_GB2312" w:cs="宋体"/>
                <w:b/>
                <w:bCs/>
                <w:color w:val="auto"/>
                <w:kern w:val="0"/>
                <w:sz w:val="24"/>
              </w:rPr>
              <w:t>年满意率</w:t>
            </w:r>
          </w:p>
        </w:tc>
        <w:tc>
          <w:tcPr>
            <w:tcW w:w="1814" w:type="dxa"/>
            <w:tcBorders>
              <w:top w:val="single" w:color="4F81BD" w:themeColor="accent1" w:sz="8" w:space="0"/>
              <w:bottom w:val="single" w:color="4F81BD" w:themeColor="accent1" w:sz="8" w:space="0"/>
              <w:right w:val="nil"/>
              <w:insideH w:val="single" w:sz="8" w:space="0"/>
              <w:insideV w:val="nil"/>
            </w:tcBorders>
            <w:noWrap/>
            <w:vAlign w:val="center"/>
          </w:tcPr>
          <w:p w14:paraId="07D59521">
            <w:pPr>
              <w:widowControl/>
              <w:spacing w:before="0" w:after="0" w:line="240" w:lineRule="auto"/>
              <w:jc w:val="center"/>
              <w:rPr>
                <w:rFonts w:ascii="仿宋_GB2312" w:hAnsi="仿宋" w:eastAsia="仿宋_GB2312" w:cs="宋体"/>
                <w:b/>
                <w:bCs/>
                <w:color w:val="auto"/>
                <w:kern w:val="0"/>
                <w:sz w:val="24"/>
              </w:rPr>
            </w:pPr>
            <w:r>
              <w:rPr>
                <w:rFonts w:ascii="仿宋_GB2312" w:hAnsi="仿宋" w:eastAsia="仿宋_GB2312" w:cs="宋体"/>
                <w:b/>
                <w:bCs/>
                <w:color w:val="auto"/>
                <w:kern w:val="0"/>
                <w:sz w:val="24"/>
              </w:rPr>
              <w:t>20</w:t>
            </w:r>
            <w:r>
              <w:rPr>
                <w:rFonts w:hint="eastAsia" w:ascii="仿宋_GB2312" w:hAnsi="仿宋" w:eastAsia="仿宋_GB2312" w:cs="宋体"/>
                <w:b/>
                <w:bCs/>
                <w:color w:val="auto"/>
                <w:kern w:val="0"/>
                <w:sz w:val="24"/>
              </w:rPr>
              <w:t>2</w:t>
            </w:r>
            <w:r>
              <w:rPr>
                <w:rFonts w:ascii="仿宋_GB2312" w:hAnsi="仿宋" w:eastAsia="仿宋_GB2312" w:cs="宋体"/>
                <w:b/>
                <w:bCs/>
                <w:color w:val="auto"/>
                <w:kern w:val="0"/>
                <w:sz w:val="24"/>
              </w:rPr>
              <w:t>5</w:t>
            </w:r>
            <w:r>
              <w:rPr>
                <w:rFonts w:hint="eastAsia" w:ascii="仿宋_GB2312" w:hAnsi="仿宋" w:eastAsia="仿宋_GB2312" w:cs="宋体"/>
                <w:b/>
                <w:bCs/>
                <w:color w:val="auto"/>
                <w:kern w:val="0"/>
                <w:sz w:val="24"/>
              </w:rPr>
              <w:t>年满意率</w:t>
            </w:r>
          </w:p>
        </w:tc>
        <w:tc>
          <w:tcPr>
            <w:tcW w:w="1247" w:type="dxa"/>
            <w:tcBorders>
              <w:top w:val="single" w:color="4F81BD" w:themeColor="accent1" w:sz="8" w:space="0"/>
              <w:bottom w:val="single" w:color="4F81BD" w:themeColor="accent1" w:sz="8" w:space="0"/>
              <w:right w:val="nil"/>
              <w:insideH w:val="single" w:sz="8" w:space="0"/>
              <w:insideV w:val="nil"/>
            </w:tcBorders>
            <w:vAlign w:val="center"/>
          </w:tcPr>
          <w:p w14:paraId="27C6D587">
            <w:pPr>
              <w:widowControl/>
              <w:spacing w:before="0" w:after="0" w:line="240" w:lineRule="auto"/>
              <w:jc w:val="center"/>
              <w:rPr>
                <w:rFonts w:ascii="仿宋_GB2312" w:hAnsi="仿宋" w:eastAsia="仿宋_GB2312" w:cs="宋体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b/>
                <w:bCs/>
                <w:color w:val="auto"/>
                <w:kern w:val="0"/>
                <w:sz w:val="24"/>
              </w:rPr>
              <w:t>变化</w:t>
            </w:r>
          </w:p>
        </w:tc>
      </w:tr>
      <w:tr w14:paraId="548BBA93">
        <w:tblPrEx>
          <w:tblBorders>
            <w:top w:val="single" w:color="4F81BD" w:themeColor="accent1" w:sz="8" w:space="0"/>
            <w:left w:val="none" w:color="auto" w:sz="0" w:space="0"/>
            <w:bottom w:val="single" w:color="4F81BD" w:themeColor="accen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835" w:type="dxa"/>
            <w:tcBorders>
              <w:left w:val="nil"/>
              <w:right w:val="nil"/>
              <w:insideV w:val="nil"/>
            </w:tcBorders>
            <w:shd w:val="clear" w:color="auto" w:fill="D3DFEE" w:themeFill="accent1" w:themeFillTint="3F"/>
            <w:noWrap/>
            <w:vAlign w:val="center"/>
          </w:tcPr>
          <w:p w14:paraId="295898E9">
            <w:pPr>
              <w:widowControl/>
              <w:jc w:val="left"/>
              <w:rPr>
                <w:rFonts w:ascii="仿宋_GB2312" w:hAnsi="仿宋" w:eastAsia="仿宋_GB2312" w:cs="宋体"/>
                <w:b/>
                <w:bCs w:val="0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b w:val="0"/>
                <w:bCs/>
                <w:color w:val="auto"/>
                <w:kern w:val="0"/>
                <w:sz w:val="24"/>
              </w:rPr>
              <w:t>咨询态度</w:t>
            </w:r>
          </w:p>
        </w:tc>
        <w:tc>
          <w:tcPr>
            <w:tcW w:w="1814" w:type="dxa"/>
            <w:tcBorders>
              <w:right w:val="nil"/>
              <w:insideV w:val="nil"/>
            </w:tcBorders>
            <w:shd w:val="clear" w:color="auto" w:fill="D3DFEE" w:themeFill="accent1" w:themeFillTint="3F"/>
            <w:noWrap/>
            <w:vAlign w:val="center"/>
          </w:tcPr>
          <w:p w14:paraId="46EEEAF3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ascii="仿宋_GB2312" w:eastAsia="仿宋_GB2312"/>
                <w:color w:val="auto"/>
                <w:sz w:val="24"/>
              </w:rPr>
              <w:t>100.00</w:t>
            </w:r>
            <w:r>
              <w:rPr>
                <w:rFonts w:hint="eastAsia" w:ascii="仿宋_GB2312" w:eastAsia="仿宋_GB2312"/>
                <w:color w:val="auto"/>
                <w:sz w:val="24"/>
              </w:rPr>
              <w:t>%</w:t>
            </w:r>
          </w:p>
        </w:tc>
        <w:tc>
          <w:tcPr>
            <w:tcW w:w="1814" w:type="dxa"/>
            <w:tcBorders>
              <w:right w:val="nil"/>
              <w:insideV w:val="nil"/>
            </w:tcBorders>
            <w:shd w:val="clear" w:color="auto" w:fill="D3DFEE" w:themeFill="accent1" w:themeFillTint="3F"/>
            <w:noWrap/>
            <w:vAlign w:val="center"/>
          </w:tcPr>
          <w:p w14:paraId="56B850FB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ascii="仿宋_GB2312" w:eastAsia="仿宋_GB2312"/>
                <w:color w:val="auto"/>
                <w:sz w:val="24"/>
              </w:rPr>
              <w:t>100.00</w:t>
            </w:r>
            <w:r>
              <w:rPr>
                <w:rFonts w:hint="eastAsia" w:ascii="仿宋_GB2312" w:eastAsia="仿宋_GB2312"/>
                <w:color w:val="auto"/>
                <w:sz w:val="24"/>
              </w:rPr>
              <w:t>%</w:t>
            </w:r>
          </w:p>
        </w:tc>
        <w:tc>
          <w:tcPr>
            <w:tcW w:w="1247" w:type="dxa"/>
            <w:tcBorders>
              <w:right w:val="nil"/>
              <w:insideV w:val="nil"/>
            </w:tcBorders>
            <w:shd w:val="clear" w:color="auto" w:fill="D3DFEE" w:themeFill="accent1" w:themeFillTint="3F"/>
            <w:vAlign w:val="center"/>
          </w:tcPr>
          <w:p w14:paraId="78078BD1">
            <w:pPr>
              <w:widowControl/>
              <w:jc w:val="center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-</w:t>
            </w:r>
            <w:r>
              <w:rPr>
                <w:rFonts w:ascii="仿宋_GB2312" w:eastAsia="仿宋_GB2312"/>
                <w:color w:val="auto"/>
                <w:sz w:val="24"/>
              </w:rPr>
              <w:t>-</w:t>
            </w:r>
          </w:p>
        </w:tc>
      </w:tr>
      <w:tr w14:paraId="42D6B053">
        <w:tblPrEx>
          <w:tblBorders>
            <w:top w:val="single" w:color="4F81BD" w:themeColor="accent1" w:sz="8" w:space="0"/>
            <w:left w:val="none" w:color="auto" w:sz="0" w:space="0"/>
            <w:bottom w:val="single" w:color="4F81BD" w:themeColor="accen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835" w:type="dxa"/>
            <w:noWrap/>
            <w:vAlign w:val="center"/>
          </w:tcPr>
          <w:p w14:paraId="0F8177BE">
            <w:pPr>
              <w:widowControl/>
              <w:jc w:val="left"/>
              <w:rPr>
                <w:rFonts w:ascii="仿宋_GB2312" w:hAnsi="仿宋" w:eastAsia="仿宋_GB2312" w:cs="宋体"/>
                <w:b w:val="0"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b w:val="0"/>
                <w:bCs/>
                <w:color w:val="auto"/>
                <w:kern w:val="0"/>
                <w:sz w:val="24"/>
              </w:rPr>
              <w:t>咨询业务熟练程度</w:t>
            </w:r>
          </w:p>
        </w:tc>
        <w:tc>
          <w:tcPr>
            <w:tcW w:w="1814" w:type="dxa"/>
            <w:noWrap/>
            <w:vAlign w:val="center"/>
          </w:tcPr>
          <w:p w14:paraId="74DB5B6F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ascii="仿宋_GB2312" w:eastAsia="仿宋_GB2312"/>
                <w:color w:val="auto"/>
                <w:sz w:val="24"/>
              </w:rPr>
              <w:t>100.00</w:t>
            </w:r>
            <w:r>
              <w:rPr>
                <w:rFonts w:hint="eastAsia" w:ascii="仿宋_GB2312" w:eastAsia="仿宋_GB2312"/>
                <w:color w:val="auto"/>
                <w:sz w:val="24"/>
              </w:rPr>
              <w:t>%</w:t>
            </w:r>
          </w:p>
        </w:tc>
        <w:tc>
          <w:tcPr>
            <w:tcW w:w="1814" w:type="dxa"/>
            <w:noWrap/>
            <w:vAlign w:val="center"/>
          </w:tcPr>
          <w:p w14:paraId="1E4F9FFF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ascii="仿宋_GB2312" w:eastAsia="仿宋_GB2312"/>
                <w:color w:val="auto"/>
                <w:sz w:val="24"/>
              </w:rPr>
              <w:t>100.00</w:t>
            </w:r>
            <w:r>
              <w:rPr>
                <w:rFonts w:hint="eastAsia" w:ascii="仿宋_GB2312" w:eastAsia="仿宋_GB2312"/>
                <w:color w:val="auto"/>
                <w:sz w:val="24"/>
              </w:rPr>
              <w:t>%</w:t>
            </w:r>
          </w:p>
        </w:tc>
        <w:tc>
          <w:tcPr>
            <w:tcW w:w="1247" w:type="dxa"/>
            <w:vAlign w:val="center"/>
          </w:tcPr>
          <w:p w14:paraId="6FB9B80D">
            <w:pPr>
              <w:widowControl/>
              <w:jc w:val="center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-</w:t>
            </w:r>
            <w:r>
              <w:rPr>
                <w:rFonts w:ascii="仿宋_GB2312" w:eastAsia="仿宋_GB2312"/>
                <w:color w:val="auto"/>
                <w:sz w:val="24"/>
              </w:rPr>
              <w:t>-</w:t>
            </w:r>
          </w:p>
        </w:tc>
      </w:tr>
      <w:tr w14:paraId="2F832218">
        <w:tblPrEx>
          <w:tblBorders>
            <w:top w:val="single" w:color="4F81BD" w:themeColor="accent1" w:sz="8" w:space="0"/>
            <w:left w:val="none" w:color="auto" w:sz="0" w:space="0"/>
            <w:bottom w:val="single" w:color="4F81BD" w:themeColor="accen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835" w:type="dxa"/>
            <w:tcBorders>
              <w:left w:val="nil"/>
              <w:right w:val="nil"/>
              <w:insideV w:val="nil"/>
            </w:tcBorders>
            <w:shd w:val="clear" w:color="auto" w:fill="D3DFEE" w:themeFill="accent1" w:themeFillTint="3F"/>
            <w:noWrap/>
            <w:vAlign w:val="center"/>
          </w:tcPr>
          <w:p w14:paraId="413745AE">
            <w:pPr>
              <w:widowControl/>
              <w:jc w:val="left"/>
              <w:rPr>
                <w:rFonts w:ascii="仿宋_GB2312" w:hAnsi="仿宋" w:eastAsia="仿宋_GB2312" w:cs="宋体"/>
                <w:b w:val="0"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b w:val="0"/>
                <w:bCs/>
                <w:color w:val="auto"/>
                <w:kern w:val="0"/>
                <w:sz w:val="24"/>
              </w:rPr>
              <w:t>咨询反馈结果</w:t>
            </w:r>
          </w:p>
        </w:tc>
        <w:tc>
          <w:tcPr>
            <w:tcW w:w="1814" w:type="dxa"/>
            <w:tcBorders>
              <w:right w:val="nil"/>
              <w:insideV w:val="nil"/>
            </w:tcBorders>
            <w:shd w:val="clear" w:color="auto" w:fill="D3DFEE" w:themeFill="accent1" w:themeFillTint="3F"/>
            <w:noWrap/>
            <w:vAlign w:val="center"/>
          </w:tcPr>
          <w:p w14:paraId="007902C6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ascii="仿宋_GB2312" w:eastAsia="仿宋_GB2312"/>
                <w:color w:val="auto"/>
                <w:sz w:val="24"/>
              </w:rPr>
              <w:t>100.00</w:t>
            </w:r>
            <w:r>
              <w:rPr>
                <w:rFonts w:hint="eastAsia" w:ascii="仿宋_GB2312" w:eastAsia="仿宋_GB2312"/>
                <w:color w:val="auto"/>
                <w:sz w:val="24"/>
              </w:rPr>
              <w:t>%</w:t>
            </w:r>
          </w:p>
        </w:tc>
        <w:tc>
          <w:tcPr>
            <w:tcW w:w="1814" w:type="dxa"/>
            <w:tcBorders>
              <w:right w:val="nil"/>
              <w:insideV w:val="nil"/>
            </w:tcBorders>
            <w:shd w:val="clear" w:color="auto" w:fill="D3DFEE" w:themeFill="accent1" w:themeFillTint="3F"/>
            <w:noWrap/>
            <w:vAlign w:val="center"/>
          </w:tcPr>
          <w:p w14:paraId="3D6C223F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ascii="仿宋_GB2312" w:eastAsia="仿宋_GB2312"/>
                <w:color w:val="auto"/>
                <w:sz w:val="24"/>
              </w:rPr>
              <w:t>100.00</w:t>
            </w:r>
            <w:r>
              <w:rPr>
                <w:rFonts w:hint="eastAsia" w:ascii="仿宋_GB2312" w:eastAsia="仿宋_GB2312"/>
                <w:color w:val="auto"/>
                <w:sz w:val="24"/>
              </w:rPr>
              <w:t>%</w:t>
            </w:r>
          </w:p>
        </w:tc>
        <w:tc>
          <w:tcPr>
            <w:tcW w:w="1247" w:type="dxa"/>
            <w:tcBorders>
              <w:right w:val="nil"/>
              <w:insideV w:val="nil"/>
            </w:tcBorders>
            <w:shd w:val="clear" w:color="auto" w:fill="D3DFEE" w:themeFill="accent1" w:themeFillTint="3F"/>
            <w:vAlign w:val="center"/>
          </w:tcPr>
          <w:p w14:paraId="786AAD31">
            <w:pPr>
              <w:widowControl/>
              <w:jc w:val="center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-</w:t>
            </w:r>
            <w:r>
              <w:rPr>
                <w:rFonts w:ascii="仿宋_GB2312" w:eastAsia="仿宋_GB2312"/>
                <w:color w:val="auto"/>
                <w:sz w:val="24"/>
              </w:rPr>
              <w:t>-</w:t>
            </w:r>
          </w:p>
        </w:tc>
      </w:tr>
      <w:tr w14:paraId="3224FE22">
        <w:tblPrEx>
          <w:tblBorders>
            <w:top w:val="single" w:color="4F81BD" w:themeColor="accent1" w:sz="8" w:space="0"/>
            <w:left w:val="none" w:color="auto" w:sz="0" w:space="0"/>
            <w:bottom w:val="single" w:color="4F81BD" w:themeColor="accen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835" w:type="dxa"/>
            <w:noWrap/>
            <w:vAlign w:val="center"/>
          </w:tcPr>
          <w:p w14:paraId="1FF63F70">
            <w:pPr>
              <w:widowControl/>
              <w:jc w:val="center"/>
              <w:rPr>
                <w:rFonts w:ascii="仿宋_GB2312" w:hAnsi="仿宋" w:eastAsia="仿宋_GB2312" w:cs="宋体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b/>
                <w:bCs/>
                <w:color w:val="auto"/>
                <w:kern w:val="0"/>
                <w:sz w:val="24"/>
              </w:rPr>
              <w:t>该指标总体</w:t>
            </w:r>
          </w:p>
        </w:tc>
        <w:tc>
          <w:tcPr>
            <w:tcW w:w="1814" w:type="dxa"/>
            <w:noWrap/>
            <w:vAlign w:val="center"/>
          </w:tcPr>
          <w:p w14:paraId="44EC678E">
            <w:pPr>
              <w:widowControl/>
              <w:jc w:val="center"/>
              <w:rPr>
                <w:rFonts w:ascii="仿宋_GB2312" w:eastAsia="仿宋_GB2312"/>
                <w:b/>
                <w:bCs/>
                <w:color w:val="auto"/>
                <w:sz w:val="24"/>
              </w:rPr>
            </w:pPr>
            <w:r>
              <w:rPr>
                <w:rFonts w:ascii="仿宋_GB2312" w:eastAsia="仿宋_GB2312"/>
                <w:b/>
                <w:bCs/>
                <w:color w:val="auto"/>
                <w:sz w:val="24"/>
              </w:rPr>
              <w:t>100.00</w:t>
            </w:r>
            <w:r>
              <w:rPr>
                <w:rFonts w:hint="eastAsia" w:ascii="仿宋_GB2312" w:eastAsia="仿宋_GB2312"/>
                <w:b/>
                <w:bCs/>
                <w:color w:val="auto"/>
                <w:sz w:val="24"/>
              </w:rPr>
              <w:t>%</w:t>
            </w:r>
          </w:p>
        </w:tc>
        <w:tc>
          <w:tcPr>
            <w:tcW w:w="1814" w:type="dxa"/>
            <w:noWrap/>
            <w:vAlign w:val="center"/>
          </w:tcPr>
          <w:p w14:paraId="3C4D9172">
            <w:pPr>
              <w:widowControl/>
              <w:jc w:val="center"/>
              <w:rPr>
                <w:rFonts w:ascii="仿宋_GB2312" w:eastAsia="仿宋_GB2312"/>
                <w:b/>
                <w:bCs/>
                <w:color w:val="auto"/>
                <w:sz w:val="24"/>
              </w:rPr>
            </w:pPr>
            <w:r>
              <w:rPr>
                <w:rFonts w:ascii="仿宋_GB2312" w:eastAsia="仿宋_GB2312"/>
                <w:b/>
                <w:bCs/>
                <w:color w:val="auto"/>
                <w:sz w:val="24"/>
              </w:rPr>
              <w:t>100.00</w:t>
            </w:r>
            <w:r>
              <w:rPr>
                <w:rFonts w:hint="eastAsia" w:ascii="仿宋_GB2312" w:eastAsia="仿宋_GB2312"/>
                <w:b/>
                <w:bCs/>
                <w:color w:val="auto"/>
                <w:sz w:val="24"/>
              </w:rPr>
              <w:t>%</w:t>
            </w:r>
          </w:p>
        </w:tc>
        <w:tc>
          <w:tcPr>
            <w:tcW w:w="1247" w:type="dxa"/>
            <w:vAlign w:val="center"/>
          </w:tcPr>
          <w:p w14:paraId="06D19A9C">
            <w:pPr>
              <w:widowControl/>
              <w:jc w:val="center"/>
              <w:rPr>
                <w:rFonts w:ascii="仿宋_GB2312" w:eastAsia="仿宋_GB2312"/>
                <w:b/>
                <w:bCs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-</w:t>
            </w:r>
            <w:r>
              <w:rPr>
                <w:rFonts w:ascii="仿宋_GB2312" w:eastAsia="仿宋_GB2312"/>
                <w:color w:val="auto"/>
                <w:sz w:val="24"/>
              </w:rPr>
              <w:t>-</w:t>
            </w:r>
          </w:p>
        </w:tc>
      </w:tr>
    </w:tbl>
    <w:p w14:paraId="242387EC">
      <w:pPr>
        <w:ind w:firstLine="640" w:firstLineChars="200"/>
        <w:rPr>
          <w:rFonts w:ascii="仿宋_GB2312" w:eastAsia="仿宋_GB2312"/>
          <w:sz w:val="32"/>
          <w:szCs w:val="32"/>
        </w:rPr>
      </w:pPr>
    </w:p>
    <w:p w14:paraId="738F7F0B">
      <w:pPr>
        <w:ind w:firstLine="640" w:firstLineChars="200"/>
        <w:rPr>
          <w:rFonts w:ascii="仿宋_GB2312" w:eastAsia="仿宋_GB2312"/>
          <w:sz w:val="32"/>
          <w:szCs w:val="32"/>
        </w:rPr>
      </w:pPr>
    </w:p>
    <w:p w14:paraId="2981AB57">
      <w:pPr>
        <w:ind w:firstLine="640" w:firstLineChars="200"/>
        <w:rPr>
          <w:rFonts w:ascii="仿宋_GB2312" w:eastAsia="仿宋_GB2312"/>
          <w:sz w:val="32"/>
          <w:szCs w:val="32"/>
        </w:rPr>
      </w:pPr>
    </w:p>
    <w:p w14:paraId="49E537FD">
      <w:pPr>
        <w:ind w:firstLine="640" w:firstLineChars="200"/>
        <w:rPr>
          <w:rFonts w:ascii="仿宋_GB2312" w:eastAsia="仿宋_GB2312"/>
          <w:sz w:val="32"/>
          <w:szCs w:val="32"/>
        </w:rPr>
      </w:pPr>
    </w:p>
    <w:p w14:paraId="2CADDC6E">
      <w:pPr>
        <w:ind w:firstLine="640" w:firstLineChars="200"/>
        <w:rPr>
          <w:rFonts w:ascii="仿宋_GB2312" w:eastAsia="仿宋_GB2312"/>
          <w:sz w:val="32"/>
          <w:szCs w:val="32"/>
        </w:rPr>
      </w:pPr>
    </w:p>
    <w:p w14:paraId="388B9BE9">
      <w:pPr>
        <w:pStyle w:val="14"/>
        <w:jc w:val="left"/>
        <w:outlineLvl w:val="2"/>
        <w:rPr>
          <w:rFonts w:ascii="仿宋_GB2312" w:hAnsi="宋体" w:eastAsia="仿宋_GB2312" w:cs="宋体"/>
          <w:kern w:val="0"/>
        </w:rPr>
      </w:pPr>
      <w:bookmarkStart w:id="13" w:name="_Toc145100756"/>
      <w:r>
        <w:rPr>
          <w:rFonts w:hint="eastAsia" w:ascii="仿宋_GB2312" w:hAnsi="仿宋" w:eastAsia="仿宋_GB2312"/>
        </w:rPr>
        <w:t>2、</w:t>
      </w:r>
      <w:r>
        <w:rPr>
          <w:rFonts w:hint="eastAsia" w:ascii="仿宋_GB2312" w:hAnsi="宋体" w:eastAsia="仿宋_GB2312" w:cs="宋体"/>
          <w:kern w:val="0"/>
        </w:rPr>
        <w:t>现场查勘和编制/复核供水方案</w:t>
      </w:r>
      <w:bookmarkEnd w:id="13"/>
    </w:p>
    <w:p w14:paraId="63AF6EC6">
      <w:pPr>
        <w:jc w:val="center"/>
        <w:rPr>
          <w:rFonts w:ascii="仿宋_GB2312" w:eastAsia="仿宋_GB2312"/>
          <w:sz w:val="32"/>
          <w:szCs w:val="32"/>
        </w:rPr>
      </w:pPr>
      <w:r>
        <w:drawing>
          <wp:inline distT="0" distB="0" distL="0" distR="0">
            <wp:extent cx="5274310" cy="2985770"/>
            <wp:effectExtent l="0" t="0" r="0" b="0"/>
            <wp:docPr id="1" name="图表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2B7D6277"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</w:t>
      </w:r>
      <w:r>
        <w:rPr>
          <w:rFonts w:ascii="仿宋_GB2312" w:eastAsia="仿宋_GB2312"/>
          <w:sz w:val="32"/>
          <w:szCs w:val="32"/>
        </w:rPr>
        <w:t>026</w:t>
      </w:r>
      <w:r>
        <w:rPr>
          <w:rFonts w:hint="eastAsia" w:ascii="仿宋_GB2312" w:eastAsia="仿宋_GB2312"/>
          <w:sz w:val="32"/>
          <w:szCs w:val="32"/>
        </w:rPr>
        <w:t>年调查结果显示，“现场查勘和编制/复核供水方案”指标的满意率（</w:t>
      </w:r>
      <w:r>
        <w:rPr>
          <w:rFonts w:ascii="仿宋_GB2312" w:eastAsia="仿宋_GB2312"/>
          <w:sz w:val="32"/>
          <w:szCs w:val="32"/>
        </w:rPr>
        <w:t>100.00%</w:t>
      </w:r>
      <w:r>
        <w:rPr>
          <w:rFonts w:hint="eastAsia" w:ascii="仿宋_GB2312" w:eastAsia="仿宋_GB2312"/>
          <w:sz w:val="32"/>
          <w:szCs w:val="32"/>
        </w:rPr>
        <w:t>）在五项指标中排名并列第一。</w:t>
      </w:r>
    </w:p>
    <w:p w14:paraId="07F3FC77"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该指标共包含</w:t>
      </w:r>
      <w:r>
        <w:rPr>
          <w:rFonts w:ascii="仿宋_GB2312" w:eastAsia="仿宋_GB2312"/>
          <w:sz w:val="32"/>
          <w:szCs w:val="32"/>
        </w:rPr>
        <w:t>2</w:t>
      </w:r>
      <w:r>
        <w:rPr>
          <w:rFonts w:hint="eastAsia" w:ascii="仿宋_GB2312" w:eastAsia="仿宋_GB2312"/>
          <w:sz w:val="32"/>
          <w:szCs w:val="32"/>
        </w:rPr>
        <w:t>个子项目，本次</w:t>
      </w:r>
      <w:r>
        <w:rPr>
          <w:rFonts w:ascii="仿宋_GB2312" w:eastAsia="仿宋_GB2312"/>
          <w:sz w:val="32"/>
          <w:szCs w:val="32"/>
        </w:rPr>
        <w:t>2</w:t>
      </w:r>
      <w:r>
        <w:rPr>
          <w:rFonts w:hint="eastAsia" w:ascii="仿宋_GB2312" w:eastAsia="仿宋_GB2312"/>
          <w:sz w:val="32"/>
          <w:szCs w:val="32"/>
        </w:rPr>
        <w:t>个子项目的满意率均为1</w:t>
      </w:r>
      <w:r>
        <w:rPr>
          <w:rFonts w:ascii="仿宋_GB2312" w:eastAsia="仿宋_GB2312"/>
          <w:sz w:val="32"/>
          <w:szCs w:val="32"/>
        </w:rPr>
        <w:t>00.00%</w:t>
      </w:r>
      <w:r>
        <w:rPr>
          <w:rFonts w:hint="eastAsia" w:ascii="仿宋_GB2312" w:eastAsia="仿宋_GB2312"/>
          <w:sz w:val="32"/>
          <w:szCs w:val="32"/>
        </w:rPr>
        <w:t>。</w:t>
      </w:r>
    </w:p>
    <w:p w14:paraId="21F8F321">
      <w:pPr>
        <w:spacing w:before="312" w:beforeLines="100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近两年该指标及其子项目的满意率结果详见下表：</w:t>
      </w:r>
    </w:p>
    <w:tbl>
      <w:tblPr>
        <w:tblStyle w:val="18"/>
        <w:tblW w:w="7710" w:type="dxa"/>
        <w:jc w:val="center"/>
        <w:tblBorders>
          <w:top w:val="single" w:color="4F81BD" w:themeColor="accent1" w:sz="8" w:space="0"/>
          <w:left w:val="none" w:color="auto" w:sz="0" w:space="0"/>
          <w:bottom w:val="single" w:color="4F81BD" w:themeColor="accent1" w:sz="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35"/>
        <w:gridCol w:w="1814"/>
        <w:gridCol w:w="1814"/>
        <w:gridCol w:w="1247"/>
      </w:tblGrid>
      <w:tr w14:paraId="0B848E9C">
        <w:tblPrEx>
          <w:tblBorders>
            <w:top w:val="single" w:color="4F81BD" w:themeColor="accent1" w:sz="8" w:space="0"/>
            <w:left w:val="none" w:color="auto" w:sz="0" w:space="0"/>
            <w:bottom w:val="single" w:color="4F81BD" w:themeColor="accen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835" w:type="dxa"/>
            <w:tcBorders>
              <w:top w:val="single" w:color="4F81BD" w:themeColor="accent1" w:sz="8" w:space="0"/>
              <w:left w:val="nil"/>
              <w:bottom w:val="single" w:color="4F81BD" w:themeColor="accent1" w:sz="8" w:space="0"/>
              <w:right w:val="nil"/>
              <w:insideH w:val="single" w:sz="8" w:space="0"/>
              <w:insideV w:val="nil"/>
            </w:tcBorders>
            <w:noWrap/>
            <w:vAlign w:val="center"/>
          </w:tcPr>
          <w:p w14:paraId="6693F5C1">
            <w:pPr>
              <w:widowControl/>
              <w:spacing w:before="0" w:after="0" w:line="240" w:lineRule="auto"/>
              <w:jc w:val="center"/>
              <w:rPr>
                <w:rFonts w:ascii="仿宋_GB2312" w:hAnsi="仿宋" w:eastAsia="仿宋_GB2312" w:cs="宋体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b/>
                <w:bCs/>
                <w:color w:val="auto"/>
                <w:kern w:val="0"/>
                <w:sz w:val="24"/>
              </w:rPr>
              <w:t>指  标</w:t>
            </w:r>
          </w:p>
        </w:tc>
        <w:tc>
          <w:tcPr>
            <w:tcW w:w="1814" w:type="dxa"/>
            <w:tcBorders>
              <w:top w:val="single" w:color="4F81BD" w:themeColor="accent1" w:sz="8" w:space="0"/>
              <w:bottom w:val="single" w:color="4F81BD" w:themeColor="accent1" w:sz="8" w:space="0"/>
              <w:right w:val="nil"/>
              <w:insideH w:val="single" w:sz="8" w:space="0"/>
              <w:insideV w:val="nil"/>
            </w:tcBorders>
            <w:noWrap/>
            <w:vAlign w:val="center"/>
          </w:tcPr>
          <w:p w14:paraId="5547D2DD">
            <w:pPr>
              <w:widowControl/>
              <w:spacing w:before="0" w:after="0" w:line="240" w:lineRule="auto"/>
              <w:jc w:val="center"/>
              <w:rPr>
                <w:rFonts w:ascii="仿宋_GB2312" w:hAnsi="仿宋" w:eastAsia="仿宋_GB2312" w:cs="宋体"/>
                <w:b/>
                <w:bCs/>
                <w:color w:val="auto"/>
                <w:kern w:val="0"/>
                <w:sz w:val="24"/>
              </w:rPr>
            </w:pPr>
            <w:r>
              <w:rPr>
                <w:rFonts w:ascii="仿宋_GB2312" w:hAnsi="仿宋" w:eastAsia="仿宋_GB2312" w:cs="宋体"/>
                <w:b/>
                <w:bCs/>
                <w:color w:val="auto"/>
                <w:kern w:val="0"/>
                <w:sz w:val="24"/>
              </w:rPr>
              <w:t>20</w:t>
            </w:r>
            <w:r>
              <w:rPr>
                <w:rFonts w:hint="eastAsia" w:ascii="仿宋_GB2312" w:hAnsi="仿宋" w:eastAsia="仿宋_GB2312" w:cs="宋体"/>
                <w:b/>
                <w:bCs/>
                <w:color w:val="auto"/>
                <w:kern w:val="0"/>
                <w:sz w:val="24"/>
              </w:rPr>
              <w:t>2</w:t>
            </w:r>
            <w:r>
              <w:rPr>
                <w:rFonts w:ascii="仿宋_GB2312" w:hAnsi="仿宋" w:eastAsia="仿宋_GB2312" w:cs="宋体"/>
                <w:b/>
                <w:bCs/>
                <w:color w:val="auto"/>
                <w:kern w:val="0"/>
                <w:sz w:val="24"/>
              </w:rPr>
              <w:t>6</w:t>
            </w:r>
            <w:r>
              <w:rPr>
                <w:rFonts w:hint="eastAsia" w:ascii="仿宋_GB2312" w:hAnsi="仿宋" w:eastAsia="仿宋_GB2312" w:cs="宋体"/>
                <w:b/>
                <w:bCs/>
                <w:color w:val="auto"/>
                <w:kern w:val="0"/>
                <w:sz w:val="24"/>
              </w:rPr>
              <w:t>年满意率</w:t>
            </w:r>
          </w:p>
        </w:tc>
        <w:tc>
          <w:tcPr>
            <w:tcW w:w="1814" w:type="dxa"/>
            <w:tcBorders>
              <w:top w:val="single" w:color="4F81BD" w:themeColor="accent1" w:sz="8" w:space="0"/>
              <w:bottom w:val="single" w:color="4F81BD" w:themeColor="accent1" w:sz="8" w:space="0"/>
              <w:right w:val="nil"/>
              <w:insideH w:val="single" w:sz="8" w:space="0"/>
              <w:insideV w:val="nil"/>
            </w:tcBorders>
            <w:vAlign w:val="center"/>
          </w:tcPr>
          <w:p w14:paraId="28180F6F">
            <w:pPr>
              <w:widowControl/>
              <w:spacing w:before="0" w:after="0" w:line="240" w:lineRule="auto"/>
              <w:jc w:val="center"/>
              <w:rPr>
                <w:rFonts w:ascii="仿宋_GB2312" w:hAnsi="仿宋" w:eastAsia="仿宋_GB2312" w:cs="宋体"/>
                <w:b/>
                <w:bCs/>
                <w:color w:val="auto"/>
                <w:kern w:val="0"/>
                <w:sz w:val="24"/>
              </w:rPr>
            </w:pPr>
            <w:r>
              <w:rPr>
                <w:rFonts w:ascii="仿宋_GB2312" w:hAnsi="仿宋" w:eastAsia="仿宋_GB2312" w:cs="宋体"/>
                <w:b/>
                <w:bCs/>
                <w:color w:val="auto"/>
                <w:kern w:val="0"/>
                <w:sz w:val="24"/>
              </w:rPr>
              <w:t>20</w:t>
            </w:r>
            <w:r>
              <w:rPr>
                <w:rFonts w:hint="eastAsia" w:ascii="仿宋_GB2312" w:hAnsi="仿宋" w:eastAsia="仿宋_GB2312" w:cs="宋体"/>
                <w:b/>
                <w:bCs/>
                <w:color w:val="auto"/>
                <w:kern w:val="0"/>
                <w:sz w:val="24"/>
              </w:rPr>
              <w:t>2</w:t>
            </w:r>
            <w:r>
              <w:rPr>
                <w:rFonts w:ascii="仿宋_GB2312" w:hAnsi="仿宋" w:eastAsia="仿宋_GB2312" w:cs="宋体"/>
                <w:b/>
                <w:bCs/>
                <w:color w:val="auto"/>
                <w:kern w:val="0"/>
                <w:sz w:val="24"/>
              </w:rPr>
              <w:t>5</w:t>
            </w:r>
            <w:r>
              <w:rPr>
                <w:rFonts w:hint="eastAsia" w:ascii="仿宋_GB2312" w:hAnsi="仿宋" w:eastAsia="仿宋_GB2312" w:cs="宋体"/>
                <w:b/>
                <w:bCs/>
                <w:color w:val="auto"/>
                <w:kern w:val="0"/>
                <w:sz w:val="24"/>
              </w:rPr>
              <w:t>年满意率</w:t>
            </w:r>
          </w:p>
        </w:tc>
        <w:tc>
          <w:tcPr>
            <w:tcW w:w="1247" w:type="dxa"/>
            <w:tcBorders>
              <w:top w:val="single" w:color="4F81BD" w:themeColor="accent1" w:sz="8" w:space="0"/>
              <w:bottom w:val="single" w:color="4F81BD" w:themeColor="accent1" w:sz="8" w:space="0"/>
              <w:right w:val="nil"/>
              <w:insideH w:val="single" w:sz="8" w:space="0"/>
              <w:insideV w:val="nil"/>
            </w:tcBorders>
            <w:vAlign w:val="center"/>
          </w:tcPr>
          <w:p w14:paraId="7AD9AB10">
            <w:pPr>
              <w:widowControl/>
              <w:spacing w:before="0" w:after="0" w:line="240" w:lineRule="auto"/>
              <w:jc w:val="center"/>
              <w:rPr>
                <w:rFonts w:ascii="仿宋_GB2312" w:hAnsi="仿宋" w:eastAsia="仿宋_GB2312" w:cs="宋体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b/>
                <w:bCs/>
                <w:color w:val="auto"/>
                <w:kern w:val="0"/>
                <w:sz w:val="24"/>
              </w:rPr>
              <w:t>变化</w:t>
            </w:r>
          </w:p>
        </w:tc>
      </w:tr>
      <w:tr w14:paraId="36D1EDC6">
        <w:tblPrEx>
          <w:tblBorders>
            <w:top w:val="single" w:color="4F81BD" w:themeColor="accent1" w:sz="8" w:space="0"/>
            <w:left w:val="none" w:color="auto" w:sz="0" w:space="0"/>
            <w:bottom w:val="single" w:color="4F81BD" w:themeColor="accen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835" w:type="dxa"/>
            <w:tcBorders>
              <w:left w:val="nil"/>
              <w:right w:val="nil"/>
              <w:insideV w:val="nil"/>
            </w:tcBorders>
            <w:shd w:val="clear" w:color="auto" w:fill="D3DFEE" w:themeFill="accent1" w:themeFillTint="3F"/>
            <w:noWrap/>
            <w:vAlign w:val="center"/>
          </w:tcPr>
          <w:p w14:paraId="5A09C238">
            <w:pPr>
              <w:widowControl/>
              <w:jc w:val="left"/>
              <w:rPr>
                <w:rFonts w:ascii="仿宋_GB2312" w:hAnsi="仿宋" w:eastAsia="仿宋_GB2312" w:cs="宋体"/>
                <w:b w:val="0"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b w:val="0"/>
                <w:bCs/>
                <w:color w:val="auto"/>
                <w:kern w:val="0"/>
                <w:sz w:val="24"/>
              </w:rPr>
              <w:t>现场查勘工作</w:t>
            </w:r>
          </w:p>
        </w:tc>
        <w:tc>
          <w:tcPr>
            <w:tcW w:w="1814" w:type="dxa"/>
            <w:tcBorders>
              <w:right w:val="nil"/>
              <w:insideV w:val="nil"/>
            </w:tcBorders>
            <w:shd w:val="clear" w:color="auto" w:fill="D3DFEE" w:themeFill="accent1" w:themeFillTint="3F"/>
            <w:noWrap/>
            <w:vAlign w:val="center"/>
          </w:tcPr>
          <w:p w14:paraId="436CC479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ascii="仿宋_GB2312" w:eastAsia="仿宋_GB2312"/>
                <w:color w:val="auto"/>
                <w:sz w:val="24"/>
              </w:rPr>
              <w:t>100.00</w:t>
            </w:r>
            <w:r>
              <w:rPr>
                <w:rFonts w:hint="eastAsia" w:ascii="仿宋_GB2312" w:eastAsia="仿宋_GB2312"/>
                <w:color w:val="auto"/>
                <w:sz w:val="24"/>
              </w:rPr>
              <w:t>%</w:t>
            </w:r>
          </w:p>
        </w:tc>
        <w:tc>
          <w:tcPr>
            <w:tcW w:w="1814" w:type="dxa"/>
            <w:tcBorders>
              <w:right w:val="nil"/>
              <w:insideV w:val="nil"/>
            </w:tcBorders>
            <w:shd w:val="clear" w:color="auto" w:fill="D3DFEE" w:themeFill="accent1" w:themeFillTint="3F"/>
            <w:vAlign w:val="center"/>
          </w:tcPr>
          <w:p w14:paraId="43E0132A">
            <w:pPr>
              <w:widowControl/>
              <w:jc w:val="center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ascii="仿宋_GB2312" w:eastAsia="仿宋_GB2312"/>
                <w:color w:val="auto"/>
                <w:sz w:val="24"/>
              </w:rPr>
              <w:t>100.00</w:t>
            </w:r>
            <w:r>
              <w:rPr>
                <w:rFonts w:hint="eastAsia" w:ascii="仿宋_GB2312" w:eastAsia="仿宋_GB2312"/>
                <w:color w:val="auto"/>
                <w:sz w:val="24"/>
              </w:rPr>
              <w:t>%</w:t>
            </w:r>
          </w:p>
        </w:tc>
        <w:tc>
          <w:tcPr>
            <w:tcW w:w="1247" w:type="dxa"/>
            <w:tcBorders>
              <w:right w:val="nil"/>
              <w:insideV w:val="nil"/>
            </w:tcBorders>
            <w:shd w:val="clear" w:color="auto" w:fill="D3DFEE" w:themeFill="accent1" w:themeFillTint="3F"/>
            <w:vAlign w:val="center"/>
          </w:tcPr>
          <w:p w14:paraId="0558B2D9">
            <w:pPr>
              <w:widowControl/>
              <w:jc w:val="center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-</w:t>
            </w:r>
            <w:r>
              <w:rPr>
                <w:rFonts w:ascii="仿宋_GB2312" w:eastAsia="仿宋_GB2312"/>
                <w:color w:val="auto"/>
                <w:sz w:val="24"/>
              </w:rPr>
              <w:t>-</w:t>
            </w:r>
          </w:p>
        </w:tc>
      </w:tr>
      <w:tr w14:paraId="65AC78D3">
        <w:tblPrEx>
          <w:tblBorders>
            <w:top w:val="single" w:color="4F81BD" w:themeColor="accent1" w:sz="8" w:space="0"/>
            <w:left w:val="none" w:color="auto" w:sz="0" w:space="0"/>
            <w:bottom w:val="single" w:color="4F81BD" w:themeColor="accen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835" w:type="dxa"/>
            <w:noWrap/>
            <w:vAlign w:val="center"/>
          </w:tcPr>
          <w:p w14:paraId="2E9B8E96">
            <w:pPr>
              <w:widowControl/>
              <w:jc w:val="left"/>
              <w:rPr>
                <w:rFonts w:ascii="仿宋_GB2312" w:hAnsi="仿宋" w:eastAsia="仿宋_GB2312" w:cs="宋体"/>
                <w:b w:val="0"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b w:val="0"/>
                <w:bCs/>
                <w:color w:val="auto"/>
                <w:kern w:val="0"/>
                <w:sz w:val="24"/>
              </w:rPr>
              <w:t>供水方案</w:t>
            </w:r>
          </w:p>
        </w:tc>
        <w:tc>
          <w:tcPr>
            <w:tcW w:w="1814" w:type="dxa"/>
            <w:noWrap/>
            <w:vAlign w:val="center"/>
          </w:tcPr>
          <w:p w14:paraId="20B9D92D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ascii="仿宋_GB2312" w:eastAsia="仿宋_GB2312"/>
                <w:color w:val="auto"/>
                <w:sz w:val="24"/>
              </w:rPr>
              <w:t>100.00</w:t>
            </w:r>
            <w:r>
              <w:rPr>
                <w:rFonts w:hint="eastAsia" w:ascii="仿宋_GB2312" w:eastAsia="仿宋_GB2312"/>
                <w:color w:val="auto"/>
                <w:sz w:val="24"/>
              </w:rPr>
              <w:t>%</w:t>
            </w:r>
          </w:p>
        </w:tc>
        <w:tc>
          <w:tcPr>
            <w:tcW w:w="1814" w:type="dxa"/>
            <w:vAlign w:val="center"/>
          </w:tcPr>
          <w:p w14:paraId="2C98E25A">
            <w:pPr>
              <w:widowControl/>
              <w:jc w:val="center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ascii="仿宋_GB2312" w:eastAsia="仿宋_GB2312"/>
                <w:color w:val="auto"/>
                <w:sz w:val="24"/>
              </w:rPr>
              <w:t>100.00</w:t>
            </w:r>
            <w:r>
              <w:rPr>
                <w:rFonts w:hint="eastAsia" w:ascii="仿宋_GB2312" w:eastAsia="仿宋_GB2312"/>
                <w:color w:val="auto"/>
                <w:sz w:val="24"/>
              </w:rPr>
              <w:t>%</w:t>
            </w:r>
          </w:p>
        </w:tc>
        <w:tc>
          <w:tcPr>
            <w:tcW w:w="1247" w:type="dxa"/>
            <w:vAlign w:val="center"/>
          </w:tcPr>
          <w:p w14:paraId="233C91A7">
            <w:pPr>
              <w:widowControl/>
              <w:jc w:val="center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-</w:t>
            </w:r>
            <w:r>
              <w:rPr>
                <w:rFonts w:ascii="仿宋_GB2312" w:eastAsia="仿宋_GB2312"/>
                <w:color w:val="auto"/>
                <w:sz w:val="24"/>
              </w:rPr>
              <w:t>-</w:t>
            </w:r>
          </w:p>
        </w:tc>
      </w:tr>
      <w:tr w14:paraId="5BC12908">
        <w:tblPrEx>
          <w:tblBorders>
            <w:top w:val="single" w:color="4F81BD" w:themeColor="accent1" w:sz="8" w:space="0"/>
            <w:left w:val="none" w:color="auto" w:sz="0" w:space="0"/>
            <w:bottom w:val="single" w:color="4F81BD" w:themeColor="accen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835" w:type="dxa"/>
            <w:tcBorders>
              <w:left w:val="nil"/>
              <w:right w:val="nil"/>
              <w:insideV w:val="nil"/>
            </w:tcBorders>
            <w:shd w:val="clear" w:color="auto" w:fill="D3DFEE" w:themeFill="accent1" w:themeFillTint="3F"/>
            <w:noWrap/>
            <w:vAlign w:val="center"/>
          </w:tcPr>
          <w:p w14:paraId="775FABA5">
            <w:pPr>
              <w:widowControl/>
              <w:jc w:val="center"/>
              <w:rPr>
                <w:rFonts w:ascii="仿宋_GB2312" w:hAnsi="仿宋" w:eastAsia="仿宋_GB2312" w:cs="宋体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b/>
                <w:bCs/>
                <w:color w:val="auto"/>
                <w:kern w:val="0"/>
                <w:sz w:val="24"/>
              </w:rPr>
              <w:t>该指标总体</w:t>
            </w:r>
          </w:p>
        </w:tc>
        <w:tc>
          <w:tcPr>
            <w:tcW w:w="1814" w:type="dxa"/>
            <w:tcBorders>
              <w:right w:val="nil"/>
              <w:insideV w:val="nil"/>
            </w:tcBorders>
            <w:shd w:val="clear" w:color="auto" w:fill="D3DFEE" w:themeFill="accent1" w:themeFillTint="3F"/>
            <w:noWrap/>
            <w:vAlign w:val="center"/>
          </w:tcPr>
          <w:p w14:paraId="2C48C2E4">
            <w:pPr>
              <w:widowControl/>
              <w:jc w:val="center"/>
              <w:rPr>
                <w:rFonts w:ascii="仿宋_GB2312" w:eastAsia="仿宋_GB2312"/>
                <w:b/>
                <w:bCs/>
                <w:color w:val="auto"/>
                <w:sz w:val="24"/>
              </w:rPr>
            </w:pPr>
            <w:r>
              <w:rPr>
                <w:rFonts w:ascii="仿宋_GB2312" w:eastAsia="仿宋_GB2312"/>
                <w:b/>
                <w:bCs/>
                <w:color w:val="auto"/>
                <w:sz w:val="24"/>
              </w:rPr>
              <w:t>100.00</w:t>
            </w:r>
            <w:r>
              <w:rPr>
                <w:rFonts w:hint="eastAsia" w:ascii="仿宋_GB2312" w:eastAsia="仿宋_GB2312"/>
                <w:b/>
                <w:bCs/>
                <w:color w:val="auto"/>
                <w:sz w:val="24"/>
              </w:rPr>
              <w:t>%</w:t>
            </w:r>
          </w:p>
        </w:tc>
        <w:tc>
          <w:tcPr>
            <w:tcW w:w="1814" w:type="dxa"/>
            <w:tcBorders>
              <w:right w:val="nil"/>
              <w:insideV w:val="nil"/>
            </w:tcBorders>
            <w:shd w:val="clear" w:color="auto" w:fill="D3DFEE" w:themeFill="accent1" w:themeFillTint="3F"/>
            <w:vAlign w:val="center"/>
          </w:tcPr>
          <w:p w14:paraId="5CEFAE3A">
            <w:pPr>
              <w:widowControl/>
              <w:jc w:val="center"/>
              <w:rPr>
                <w:rFonts w:ascii="仿宋_GB2312" w:eastAsia="仿宋_GB2312"/>
                <w:b/>
                <w:bCs/>
                <w:color w:val="auto"/>
                <w:sz w:val="24"/>
              </w:rPr>
            </w:pPr>
            <w:r>
              <w:rPr>
                <w:rFonts w:ascii="仿宋_GB2312" w:eastAsia="仿宋_GB2312"/>
                <w:b/>
                <w:bCs/>
                <w:color w:val="auto"/>
                <w:sz w:val="24"/>
              </w:rPr>
              <w:t>100.00</w:t>
            </w:r>
            <w:r>
              <w:rPr>
                <w:rFonts w:hint="eastAsia" w:ascii="仿宋_GB2312" w:eastAsia="仿宋_GB2312"/>
                <w:b/>
                <w:bCs/>
                <w:color w:val="auto"/>
                <w:sz w:val="24"/>
              </w:rPr>
              <w:t>%</w:t>
            </w:r>
          </w:p>
        </w:tc>
        <w:tc>
          <w:tcPr>
            <w:tcW w:w="1247" w:type="dxa"/>
            <w:tcBorders>
              <w:right w:val="nil"/>
              <w:insideV w:val="nil"/>
            </w:tcBorders>
            <w:shd w:val="clear" w:color="auto" w:fill="D3DFEE" w:themeFill="accent1" w:themeFillTint="3F"/>
            <w:vAlign w:val="center"/>
          </w:tcPr>
          <w:p w14:paraId="2F474224">
            <w:pPr>
              <w:widowControl/>
              <w:jc w:val="center"/>
              <w:rPr>
                <w:rFonts w:ascii="仿宋_GB2312" w:eastAsia="仿宋_GB2312"/>
                <w:b/>
                <w:bCs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-</w:t>
            </w:r>
            <w:r>
              <w:rPr>
                <w:rFonts w:ascii="仿宋_GB2312" w:eastAsia="仿宋_GB2312"/>
                <w:color w:val="auto"/>
                <w:sz w:val="24"/>
              </w:rPr>
              <w:t>-</w:t>
            </w:r>
          </w:p>
        </w:tc>
      </w:tr>
    </w:tbl>
    <w:p w14:paraId="78599FF8">
      <w:pPr>
        <w:ind w:firstLine="640" w:firstLineChars="200"/>
        <w:rPr>
          <w:rFonts w:ascii="仿宋_GB2312" w:eastAsia="仿宋_GB2312"/>
          <w:sz w:val="32"/>
          <w:szCs w:val="32"/>
        </w:rPr>
      </w:pPr>
    </w:p>
    <w:p w14:paraId="2BD192C9">
      <w:pPr>
        <w:ind w:firstLine="640" w:firstLineChars="200"/>
        <w:rPr>
          <w:rFonts w:ascii="仿宋_GB2312" w:eastAsia="仿宋_GB2312"/>
          <w:sz w:val="32"/>
          <w:szCs w:val="32"/>
        </w:rPr>
      </w:pPr>
    </w:p>
    <w:p w14:paraId="6127D53A">
      <w:pPr>
        <w:ind w:firstLine="640" w:firstLineChars="200"/>
        <w:rPr>
          <w:rFonts w:ascii="仿宋_GB2312" w:eastAsia="仿宋_GB2312"/>
          <w:sz w:val="32"/>
          <w:szCs w:val="32"/>
        </w:rPr>
      </w:pPr>
    </w:p>
    <w:p w14:paraId="44B7A542">
      <w:pPr>
        <w:ind w:firstLine="640" w:firstLineChars="200"/>
        <w:rPr>
          <w:rFonts w:ascii="仿宋_GB2312" w:eastAsia="仿宋_GB2312"/>
          <w:sz w:val="32"/>
          <w:szCs w:val="32"/>
        </w:rPr>
      </w:pPr>
    </w:p>
    <w:p w14:paraId="0F9BB6AF">
      <w:pPr>
        <w:ind w:firstLine="640" w:firstLineChars="200"/>
        <w:rPr>
          <w:rFonts w:ascii="仿宋_GB2312" w:eastAsia="仿宋_GB2312"/>
          <w:sz w:val="32"/>
          <w:szCs w:val="32"/>
        </w:rPr>
      </w:pPr>
    </w:p>
    <w:p w14:paraId="5EE91A9A">
      <w:pPr>
        <w:pStyle w:val="14"/>
        <w:jc w:val="left"/>
        <w:outlineLvl w:val="2"/>
        <w:rPr>
          <w:rFonts w:ascii="仿宋_GB2312" w:hAnsi="宋体" w:eastAsia="仿宋_GB2312" w:cs="宋体"/>
          <w:kern w:val="0"/>
        </w:rPr>
      </w:pPr>
      <w:bookmarkStart w:id="14" w:name="_Toc145100757"/>
      <w:r>
        <w:rPr>
          <w:rFonts w:hint="eastAsia" w:ascii="仿宋_GB2312" w:hAnsi="仿宋" w:eastAsia="仿宋_GB2312"/>
        </w:rPr>
        <w:t>3、</w:t>
      </w:r>
      <w:bookmarkStart w:id="15" w:name="_Hlk144749628"/>
      <w:r>
        <w:rPr>
          <w:rFonts w:hint="eastAsia" w:ascii="仿宋_GB2312" w:hAnsi="宋体" w:eastAsia="仿宋_GB2312" w:cs="宋体"/>
          <w:kern w:val="0"/>
        </w:rPr>
        <w:t>工程质量验收</w:t>
      </w:r>
      <w:bookmarkEnd w:id="14"/>
      <w:bookmarkEnd w:id="15"/>
    </w:p>
    <w:p w14:paraId="217360D0">
      <w:pPr>
        <w:jc w:val="center"/>
        <w:rPr>
          <w:rFonts w:ascii="仿宋_GB2312" w:eastAsia="仿宋_GB2312"/>
          <w:sz w:val="32"/>
          <w:szCs w:val="32"/>
        </w:rPr>
      </w:pPr>
      <w:r>
        <w:drawing>
          <wp:inline distT="0" distB="0" distL="0" distR="0">
            <wp:extent cx="5274310" cy="2971165"/>
            <wp:effectExtent l="0" t="0" r="0" b="0"/>
            <wp:docPr id="6" name="图表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1A1A1128"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</w:t>
      </w:r>
      <w:r>
        <w:rPr>
          <w:rFonts w:ascii="仿宋_GB2312" w:eastAsia="仿宋_GB2312"/>
          <w:sz w:val="32"/>
          <w:szCs w:val="32"/>
        </w:rPr>
        <w:t>026</w:t>
      </w:r>
      <w:r>
        <w:rPr>
          <w:rFonts w:hint="eastAsia" w:ascii="仿宋_GB2312" w:eastAsia="仿宋_GB2312"/>
          <w:sz w:val="32"/>
          <w:szCs w:val="32"/>
        </w:rPr>
        <w:t>年调查结果显示，“工程质量验收”指标的满意率（</w:t>
      </w:r>
      <w:r>
        <w:rPr>
          <w:rFonts w:ascii="仿宋_GB2312" w:eastAsia="仿宋_GB2312"/>
          <w:sz w:val="32"/>
          <w:szCs w:val="32"/>
        </w:rPr>
        <w:t>100.00%</w:t>
      </w:r>
      <w:r>
        <w:rPr>
          <w:rFonts w:hint="eastAsia" w:ascii="仿宋_GB2312" w:eastAsia="仿宋_GB2312"/>
          <w:sz w:val="32"/>
          <w:szCs w:val="32"/>
        </w:rPr>
        <w:t>）在五项指标中排名并列第一。</w:t>
      </w:r>
    </w:p>
    <w:p w14:paraId="0A22ED54"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该指标共包含</w:t>
      </w:r>
      <w:r>
        <w:rPr>
          <w:rFonts w:ascii="仿宋_GB2312" w:eastAsia="仿宋_GB2312"/>
          <w:sz w:val="32"/>
          <w:szCs w:val="32"/>
        </w:rPr>
        <w:t>3</w:t>
      </w:r>
      <w:r>
        <w:rPr>
          <w:rFonts w:hint="eastAsia" w:ascii="仿宋_GB2312" w:eastAsia="仿宋_GB2312"/>
          <w:sz w:val="32"/>
          <w:szCs w:val="32"/>
        </w:rPr>
        <w:t>个子项目，本次</w:t>
      </w:r>
      <w:r>
        <w:rPr>
          <w:rFonts w:ascii="仿宋_GB2312" w:eastAsia="仿宋_GB2312"/>
          <w:sz w:val="32"/>
          <w:szCs w:val="32"/>
        </w:rPr>
        <w:t>3</w:t>
      </w:r>
      <w:r>
        <w:rPr>
          <w:rFonts w:hint="eastAsia" w:ascii="仿宋_GB2312" w:eastAsia="仿宋_GB2312"/>
          <w:sz w:val="32"/>
          <w:szCs w:val="32"/>
        </w:rPr>
        <w:t>个子项目的满意率均为1</w:t>
      </w:r>
      <w:r>
        <w:rPr>
          <w:rFonts w:ascii="仿宋_GB2312" w:eastAsia="仿宋_GB2312"/>
          <w:sz w:val="32"/>
          <w:szCs w:val="32"/>
        </w:rPr>
        <w:t>00.00%</w:t>
      </w:r>
      <w:r>
        <w:rPr>
          <w:rFonts w:hint="eastAsia" w:ascii="仿宋_GB2312" w:eastAsia="仿宋_GB2312"/>
          <w:sz w:val="32"/>
          <w:szCs w:val="32"/>
        </w:rPr>
        <w:t>。</w:t>
      </w:r>
    </w:p>
    <w:p w14:paraId="0E6E0170">
      <w:pPr>
        <w:spacing w:before="312" w:beforeLines="100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近两年该指标及其子项目的满意率结果详见下表：</w:t>
      </w:r>
    </w:p>
    <w:tbl>
      <w:tblPr>
        <w:tblStyle w:val="18"/>
        <w:tblW w:w="7710" w:type="dxa"/>
        <w:jc w:val="center"/>
        <w:tblBorders>
          <w:top w:val="single" w:color="4F81BD" w:themeColor="accent1" w:sz="8" w:space="0"/>
          <w:left w:val="none" w:color="auto" w:sz="0" w:space="0"/>
          <w:bottom w:val="single" w:color="4F81BD" w:themeColor="accent1" w:sz="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35"/>
        <w:gridCol w:w="1814"/>
        <w:gridCol w:w="1814"/>
        <w:gridCol w:w="1247"/>
      </w:tblGrid>
      <w:tr w14:paraId="1D2447A6">
        <w:tblPrEx>
          <w:tblBorders>
            <w:top w:val="single" w:color="4F81BD" w:themeColor="accent1" w:sz="8" w:space="0"/>
            <w:left w:val="none" w:color="auto" w:sz="0" w:space="0"/>
            <w:bottom w:val="single" w:color="4F81BD" w:themeColor="accen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835" w:type="dxa"/>
            <w:tcBorders>
              <w:top w:val="single" w:color="4F81BD" w:themeColor="accent1" w:sz="8" w:space="0"/>
              <w:left w:val="nil"/>
              <w:bottom w:val="single" w:color="4F81BD" w:themeColor="accent1" w:sz="8" w:space="0"/>
              <w:right w:val="nil"/>
              <w:insideH w:val="single" w:sz="8" w:space="0"/>
              <w:insideV w:val="nil"/>
            </w:tcBorders>
            <w:noWrap/>
            <w:vAlign w:val="center"/>
          </w:tcPr>
          <w:p w14:paraId="2D39E3A8">
            <w:pPr>
              <w:widowControl/>
              <w:spacing w:before="0" w:after="0" w:line="240" w:lineRule="auto"/>
              <w:jc w:val="center"/>
              <w:rPr>
                <w:rFonts w:ascii="仿宋_GB2312" w:hAnsi="仿宋" w:eastAsia="仿宋_GB2312" w:cs="宋体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b/>
                <w:bCs/>
                <w:color w:val="auto"/>
                <w:kern w:val="0"/>
                <w:sz w:val="24"/>
              </w:rPr>
              <w:t>指  标</w:t>
            </w:r>
          </w:p>
        </w:tc>
        <w:tc>
          <w:tcPr>
            <w:tcW w:w="1814" w:type="dxa"/>
            <w:tcBorders>
              <w:top w:val="single" w:color="4F81BD" w:themeColor="accent1" w:sz="8" w:space="0"/>
              <w:bottom w:val="single" w:color="4F81BD" w:themeColor="accent1" w:sz="8" w:space="0"/>
              <w:right w:val="nil"/>
              <w:insideH w:val="single" w:sz="8" w:space="0"/>
              <w:insideV w:val="nil"/>
            </w:tcBorders>
            <w:noWrap/>
            <w:vAlign w:val="center"/>
          </w:tcPr>
          <w:p w14:paraId="20DF5FD4">
            <w:pPr>
              <w:widowControl/>
              <w:spacing w:before="0" w:after="0" w:line="240" w:lineRule="auto"/>
              <w:jc w:val="center"/>
              <w:rPr>
                <w:rFonts w:ascii="仿宋_GB2312" w:hAnsi="仿宋" w:eastAsia="仿宋_GB2312" w:cs="宋体"/>
                <w:b/>
                <w:bCs/>
                <w:color w:val="auto"/>
                <w:kern w:val="0"/>
                <w:sz w:val="24"/>
              </w:rPr>
            </w:pPr>
            <w:r>
              <w:rPr>
                <w:rFonts w:ascii="仿宋_GB2312" w:hAnsi="仿宋" w:eastAsia="仿宋_GB2312" w:cs="宋体"/>
                <w:b/>
                <w:bCs/>
                <w:color w:val="auto"/>
                <w:kern w:val="0"/>
                <w:sz w:val="24"/>
              </w:rPr>
              <w:t>20</w:t>
            </w:r>
            <w:r>
              <w:rPr>
                <w:rFonts w:hint="eastAsia" w:ascii="仿宋_GB2312" w:hAnsi="仿宋" w:eastAsia="仿宋_GB2312" w:cs="宋体"/>
                <w:b/>
                <w:bCs/>
                <w:color w:val="auto"/>
                <w:kern w:val="0"/>
                <w:sz w:val="24"/>
              </w:rPr>
              <w:t>2</w:t>
            </w:r>
            <w:r>
              <w:rPr>
                <w:rFonts w:ascii="仿宋_GB2312" w:hAnsi="仿宋" w:eastAsia="仿宋_GB2312" w:cs="宋体"/>
                <w:b/>
                <w:bCs/>
                <w:color w:val="auto"/>
                <w:kern w:val="0"/>
                <w:sz w:val="24"/>
              </w:rPr>
              <w:t>6</w:t>
            </w:r>
            <w:r>
              <w:rPr>
                <w:rFonts w:hint="eastAsia" w:ascii="仿宋_GB2312" w:hAnsi="仿宋" w:eastAsia="仿宋_GB2312" w:cs="宋体"/>
                <w:b/>
                <w:bCs/>
                <w:color w:val="auto"/>
                <w:kern w:val="0"/>
                <w:sz w:val="24"/>
              </w:rPr>
              <w:t>年满意率</w:t>
            </w:r>
          </w:p>
        </w:tc>
        <w:tc>
          <w:tcPr>
            <w:tcW w:w="1814" w:type="dxa"/>
            <w:tcBorders>
              <w:top w:val="single" w:color="4F81BD" w:themeColor="accent1" w:sz="8" w:space="0"/>
              <w:bottom w:val="single" w:color="4F81BD" w:themeColor="accent1" w:sz="8" w:space="0"/>
              <w:right w:val="nil"/>
              <w:insideH w:val="single" w:sz="8" w:space="0"/>
              <w:insideV w:val="nil"/>
            </w:tcBorders>
            <w:vAlign w:val="center"/>
          </w:tcPr>
          <w:p w14:paraId="1188E57F">
            <w:pPr>
              <w:widowControl/>
              <w:spacing w:before="0" w:after="0" w:line="240" w:lineRule="auto"/>
              <w:jc w:val="center"/>
              <w:rPr>
                <w:rFonts w:ascii="仿宋_GB2312" w:hAnsi="仿宋" w:eastAsia="仿宋_GB2312" w:cs="宋体"/>
                <w:b/>
                <w:bCs/>
                <w:color w:val="auto"/>
                <w:kern w:val="0"/>
                <w:sz w:val="24"/>
              </w:rPr>
            </w:pPr>
            <w:r>
              <w:rPr>
                <w:rFonts w:ascii="仿宋_GB2312" w:hAnsi="仿宋" w:eastAsia="仿宋_GB2312" w:cs="宋体"/>
                <w:b/>
                <w:bCs/>
                <w:color w:val="auto"/>
                <w:kern w:val="0"/>
                <w:sz w:val="24"/>
              </w:rPr>
              <w:t>20</w:t>
            </w:r>
            <w:r>
              <w:rPr>
                <w:rFonts w:hint="eastAsia" w:ascii="仿宋_GB2312" w:hAnsi="仿宋" w:eastAsia="仿宋_GB2312" w:cs="宋体"/>
                <w:b/>
                <w:bCs/>
                <w:color w:val="auto"/>
                <w:kern w:val="0"/>
                <w:sz w:val="24"/>
              </w:rPr>
              <w:t>2</w:t>
            </w:r>
            <w:r>
              <w:rPr>
                <w:rFonts w:ascii="仿宋_GB2312" w:hAnsi="仿宋" w:eastAsia="仿宋_GB2312" w:cs="宋体"/>
                <w:b/>
                <w:bCs/>
                <w:color w:val="auto"/>
                <w:kern w:val="0"/>
                <w:sz w:val="24"/>
              </w:rPr>
              <w:t>5</w:t>
            </w:r>
            <w:r>
              <w:rPr>
                <w:rFonts w:hint="eastAsia" w:ascii="仿宋_GB2312" w:hAnsi="仿宋" w:eastAsia="仿宋_GB2312" w:cs="宋体"/>
                <w:b/>
                <w:bCs/>
                <w:color w:val="auto"/>
                <w:kern w:val="0"/>
                <w:sz w:val="24"/>
              </w:rPr>
              <w:t>年满意率</w:t>
            </w:r>
          </w:p>
        </w:tc>
        <w:tc>
          <w:tcPr>
            <w:tcW w:w="1247" w:type="dxa"/>
            <w:tcBorders>
              <w:top w:val="single" w:color="4F81BD" w:themeColor="accent1" w:sz="8" w:space="0"/>
              <w:bottom w:val="single" w:color="4F81BD" w:themeColor="accent1" w:sz="8" w:space="0"/>
              <w:right w:val="nil"/>
              <w:insideH w:val="single" w:sz="8" w:space="0"/>
              <w:insideV w:val="nil"/>
            </w:tcBorders>
            <w:vAlign w:val="center"/>
          </w:tcPr>
          <w:p w14:paraId="2D5125CF">
            <w:pPr>
              <w:widowControl/>
              <w:spacing w:before="0" w:after="0" w:line="240" w:lineRule="auto"/>
              <w:jc w:val="center"/>
              <w:rPr>
                <w:rFonts w:ascii="仿宋_GB2312" w:hAnsi="仿宋" w:eastAsia="仿宋_GB2312" w:cs="宋体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b/>
                <w:bCs/>
                <w:color w:val="auto"/>
                <w:kern w:val="0"/>
                <w:sz w:val="24"/>
              </w:rPr>
              <w:t>变化</w:t>
            </w:r>
          </w:p>
        </w:tc>
      </w:tr>
      <w:tr w14:paraId="1FBF86BC">
        <w:tblPrEx>
          <w:tblBorders>
            <w:top w:val="single" w:color="4F81BD" w:themeColor="accent1" w:sz="8" w:space="0"/>
            <w:left w:val="none" w:color="auto" w:sz="0" w:space="0"/>
            <w:bottom w:val="single" w:color="4F81BD" w:themeColor="accen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835" w:type="dxa"/>
            <w:tcBorders>
              <w:left w:val="nil"/>
              <w:right w:val="nil"/>
              <w:insideV w:val="nil"/>
            </w:tcBorders>
            <w:shd w:val="clear" w:color="auto" w:fill="D3DFEE" w:themeFill="accent1" w:themeFillTint="3F"/>
            <w:noWrap/>
            <w:vAlign w:val="center"/>
          </w:tcPr>
          <w:p w14:paraId="1034F10E">
            <w:pPr>
              <w:widowControl/>
              <w:jc w:val="left"/>
              <w:rPr>
                <w:rFonts w:ascii="仿宋_GB2312" w:hAnsi="仿宋" w:eastAsia="仿宋_GB2312" w:cs="宋体"/>
                <w:b w:val="0"/>
                <w:bCs w:val="0"/>
                <w:color w:val="auto"/>
                <w:kern w:val="0"/>
                <w:sz w:val="24"/>
              </w:rPr>
            </w:pPr>
            <w:r>
              <w:rPr>
                <w:rFonts w:hint="eastAsia" w:ascii="仿宋_GB2312" w:eastAsia="仿宋_GB2312"/>
                <w:b w:val="0"/>
                <w:bCs w:val="0"/>
                <w:color w:val="auto"/>
                <w:sz w:val="24"/>
              </w:rPr>
              <w:t>安装的智能水表</w:t>
            </w:r>
          </w:p>
        </w:tc>
        <w:tc>
          <w:tcPr>
            <w:tcW w:w="1814" w:type="dxa"/>
            <w:tcBorders>
              <w:right w:val="nil"/>
              <w:insideV w:val="nil"/>
            </w:tcBorders>
            <w:shd w:val="clear" w:color="auto" w:fill="D3DFEE" w:themeFill="accent1" w:themeFillTint="3F"/>
            <w:noWrap/>
            <w:vAlign w:val="center"/>
          </w:tcPr>
          <w:p w14:paraId="5A1051EB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ascii="仿宋_GB2312" w:eastAsia="仿宋_GB2312"/>
                <w:color w:val="auto"/>
                <w:sz w:val="24"/>
              </w:rPr>
              <w:t>100.00</w:t>
            </w:r>
            <w:r>
              <w:rPr>
                <w:rFonts w:hint="eastAsia" w:ascii="仿宋_GB2312" w:eastAsia="仿宋_GB2312"/>
                <w:color w:val="auto"/>
                <w:sz w:val="24"/>
              </w:rPr>
              <w:t>%</w:t>
            </w:r>
          </w:p>
        </w:tc>
        <w:tc>
          <w:tcPr>
            <w:tcW w:w="1814" w:type="dxa"/>
            <w:tcBorders>
              <w:right w:val="nil"/>
              <w:insideV w:val="nil"/>
            </w:tcBorders>
            <w:shd w:val="clear" w:color="auto" w:fill="D3DFEE" w:themeFill="accent1" w:themeFillTint="3F"/>
            <w:vAlign w:val="center"/>
          </w:tcPr>
          <w:p w14:paraId="5E9D9650">
            <w:pPr>
              <w:widowControl/>
              <w:jc w:val="center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ascii="仿宋_GB2312" w:eastAsia="仿宋_GB2312"/>
                <w:color w:val="auto"/>
                <w:sz w:val="24"/>
              </w:rPr>
              <w:t>100.00</w:t>
            </w:r>
            <w:r>
              <w:rPr>
                <w:rFonts w:hint="eastAsia" w:ascii="仿宋_GB2312" w:eastAsia="仿宋_GB2312"/>
                <w:color w:val="auto"/>
                <w:sz w:val="24"/>
              </w:rPr>
              <w:t>%</w:t>
            </w:r>
          </w:p>
        </w:tc>
        <w:tc>
          <w:tcPr>
            <w:tcW w:w="1247" w:type="dxa"/>
            <w:tcBorders>
              <w:right w:val="nil"/>
              <w:insideV w:val="nil"/>
            </w:tcBorders>
            <w:shd w:val="clear" w:color="auto" w:fill="D3DFEE" w:themeFill="accent1" w:themeFillTint="3F"/>
            <w:vAlign w:val="center"/>
          </w:tcPr>
          <w:p w14:paraId="512BFE17">
            <w:pPr>
              <w:widowControl/>
              <w:jc w:val="center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-</w:t>
            </w:r>
            <w:r>
              <w:rPr>
                <w:rFonts w:ascii="仿宋_GB2312" w:eastAsia="仿宋_GB2312"/>
                <w:color w:val="auto"/>
                <w:sz w:val="24"/>
              </w:rPr>
              <w:t>-</w:t>
            </w:r>
          </w:p>
        </w:tc>
      </w:tr>
      <w:tr w14:paraId="3BF108C2">
        <w:tblPrEx>
          <w:tblBorders>
            <w:top w:val="single" w:color="4F81BD" w:themeColor="accent1" w:sz="8" w:space="0"/>
            <w:left w:val="none" w:color="auto" w:sz="0" w:space="0"/>
            <w:bottom w:val="single" w:color="4F81BD" w:themeColor="accen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835" w:type="dxa"/>
            <w:noWrap/>
            <w:vAlign w:val="center"/>
          </w:tcPr>
          <w:p w14:paraId="11A08DA0">
            <w:pPr>
              <w:widowControl/>
              <w:jc w:val="left"/>
              <w:rPr>
                <w:rFonts w:ascii="仿宋_GB2312" w:hAnsi="仿宋" w:eastAsia="仿宋_GB2312" w:cs="宋体"/>
                <w:b w:val="0"/>
                <w:bCs w:val="0"/>
                <w:color w:val="auto"/>
                <w:kern w:val="0"/>
                <w:sz w:val="24"/>
              </w:rPr>
            </w:pPr>
            <w:r>
              <w:rPr>
                <w:rFonts w:hint="eastAsia" w:ascii="仿宋_GB2312" w:eastAsia="仿宋_GB2312"/>
                <w:b w:val="0"/>
                <w:bCs w:val="0"/>
                <w:color w:val="auto"/>
                <w:sz w:val="24"/>
              </w:rPr>
              <w:t>接入后的水质水压</w:t>
            </w:r>
          </w:p>
        </w:tc>
        <w:tc>
          <w:tcPr>
            <w:tcW w:w="1814" w:type="dxa"/>
            <w:noWrap/>
            <w:vAlign w:val="center"/>
          </w:tcPr>
          <w:p w14:paraId="5765F6DC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ascii="仿宋_GB2312" w:eastAsia="仿宋_GB2312"/>
                <w:color w:val="auto"/>
                <w:sz w:val="24"/>
              </w:rPr>
              <w:t>100.00</w:t>
            </w:r>
            <w:r>
              <w:rPr>
                <w:rFonts w:hint="eastAsia" w:ascii="仿宋_GB2312" w:eastAsia="仿宋_GB2312"/>
                <w:color w:val="auto"/>
                <w:sz w:val="24"/>
              </w:rPr>
              <w:t>%</w:t>
            </w:r>
          </w:p>
        </w:tc>
        <w:tc>
          <w:tcPr>
            <w:tcW w:w="1814" w:type="dxa"/>
            <w:vAlign w:val="center"/>
          </w:tcPr>
          <w:p w14:paraId="32B92251">
            <w:pPr>
              <w:widowControl/>
              <w:jc w:val="center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ascii="仿宋_GB2312" w:eastAsia="仿宋_GB2312"/>
                <w:color w:val="auto"/>
                <w:sz w:val="24"/>
              </w:rPr>
              <w:t>100.00</w:t>
            </w:r>
            <w:r>
              <w:rPr>
                <w:rFonts w:hint="eastAsia" w:ascii="仿宋_GB2312" w:eastAsia="仿宋_GB2312"/>
                <w:color w:val="auto"/>
                <w:sz w:val="24"/>
              </w:rPr>
              <w:t>%</w:t>
            </w:r>
          </w:p>
        </w:tc>
        <w:tc>
          <w:tcPr>
            <w:tcW w:w="1247" w:type="dxa"/>
            <w:vAlign w:val="center"/>
          </w:tcPr>
          <w:p w14:paraId="38AC1010">
            <w:pPr>
              <w:widowControl/>
              <w:jc w:val="center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-</w:t>
            </w:r>
            <w:r>
              <w:rPr>
                <w:rFonts w:ascii="仿宋_GB2312" w:eastAsia="仿宋_GB2312"/>
                <w:color w:val="auto"/>
                <w:sz w:val="24"/>
              </w:rPr>
              <w:t>-</w:t>
            </w:r>
          </w:p>
        </w:tc>
      </w:tr>
      <w:tr w14:paraId="68C80B37">
        <w:tblPrEx>
          <w:tblBorders>
            <w:top w:val="single" w:color="4F81BD" w:themeColor="accent1" w:sz="8" w:space="0"/>
            <w:left w:val="none" w:color="auto" w:sz="0" w:space="0"/>
            <w:bottom w:val="single" w:color="4F81BD" w:themeColor="accen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835" w:type="dxa"/>
            <w:tcBorders>
              <w:left w:val="nil"/>
              <w:right w:val="nil"/>
              <w:insideV w:val="nil"/>
            </w:tcBorders>
            <w:shd w:val="clear" w:color="auto" w:fill="D3DFEE" w:themeFill="accent1" w:themeFillTint="3F"/>
            <w:noWrap/>
            <w:vAlign w:val="center"/>
          </w:tcPr>
          <w:p w14:paraId="28E9D73D">
            <w:pPr>
              <w:widowControl/>
              <w:jc w:val="left"/>
              <w:rPr>
                <w:rFonts w:ascii="仿宋_GB2312" w:hAnsi="仿宋" w:eastAsia="仿宋_GB2312" w:cs="宋体"/>
                <w:b w:val="0"/>
                <w:bCs w:val="0"/>
                <w:color w:val="auto"/>
                <w:kern w:val="0"/>
                <w:sz w:val="24"/>
              </w:rPr>
            </w:pPr>
            <w:r>
              <w:rPr>
                <w:rFonts w:hint="eastAsia" w:ascii="仿宋_GB2312" w:eastAsia="仿宋_GB2312"/>
                <w:b w:val="0"/>
                <w:bCs w:val="0"/>
                <w:color w:val="auto"/>
                <w:sz w:val="24"/>
              </w:rPr>
              <w:t>接水施工及安装</w:t>
            </w:r>
          </w:p>
        </w:tc>
        <w:tc>
          <w:tcPr>
            <w:tcW w:w="1814" w:type="dxa"/>
            <w:tcBorders>
              <w:right w:val="nil"/>
              <w:insideV w:val="nil"/>
            </w:tcBorders>
            <w:shd w:val="clear" w:color="auto" w:fill="D3DFEE" w:themeFill="accent1" w:themeFillTint="3F"/>
            <w:noWrap/>
            <w:vAlign w:val="center"/>
          </w:tcPr>
          <w:p w14:paraId="2DF3140E">
            <w:pPr>
              <w:widowControl/>
              <w:jc w:val="center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ascii="仿宋_GB2312" w:eastAsia="仿宋_GB2312"/>
                <w:color w:val="auto"/>
                <w:sz w:val="24"/>
              </w:rPr>
              <w:t>100.00</w:t>
            </w:r>
            <w:r>
              <w:rPr>
                <w:rFonts w:hint="eastAsia" w:ascii="仿宋_GB2312" w:eastAsia="仿宋_GB2312"/>
                <w:color w:val="auto"/>
                <w:sz w:val="24"/>
              </w:rPr>
              <w:t>%</w:t>
            </w:r>
          </w:p>
        </w:tc>
        <w:tc>
          <w:tcPr>
            <w:tcW w:w="1814" w:type="dxa"/>
            <w:tcBorders>
              <w:right w:val="nil"/>
              <w:insideV w:val="nil"/>
            </w:tcBorders>
            <w:shd w:val="clear" w:color="auto" w:fill="D3DFEE" w:themeFill="accent1" w:themeFillTint="3F"/>
            <w:vAlign w:val="center"/>
          </w:tcPr>
          <w:p w14:paraId="0887B95F">
            <w:pPr>
              <w:widowControl/>
              <w:jc w:val="center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ascii="仿宋_GB2312" w:eastAsia="仿宋_GB2312"/>
                <w:color w:val="auto"/>
                <w:sz w:val="24"/>
              </w:rPr>
              <w:t>100.00</w:t>
            </w:r>
            <w:r>
              <w:rPr>
                <w:rFonts w:hint="eastAsia" w:ascii="仿宋_GB2312" w:eastAsia="仿宋_GB2312"/>
                <w:color w:val="auto"/>
                <w:sz w:val="24"/>
              </w:rPr>
              <w:t>%</w:t>
            </w:r>
          </w:p>
        </w:tc>
        <w:tc>
          <w:tcPr>
            <w:tcW w:w="1247" w:type="dxa"/>
            <w:tcBorders>
              <w:right w:val="nil"/>
              <w:insideV w:val="nil"/>
            </w:tcBorders>
            <w:shd w:val="clear" w:color="auto" w:fill="D3DFEE" w:themeFill="accent1" w:themeFillTint="3F"/>
            <w:vAlign w:val="center"/>
          </w:tcPr>
          <w:p w14:paraId="1C00E118">
            <w:pPr>
              <w:widowControl/>
              <w:jc w:val="center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-</w:t>
            </w:r>
            <w:r>
              <w:rPr>
                <w:rFonts w:ascii="仿宋_GB2312" w:eastAsia="仿宋_GB2312"/>
                <w:color w:val="auto"/>
                <w:sz w:val="24"/>
              </w:rPr>
              <w:t>-</w:t>
            </w:r>
          </w:p>
        </w:tc>
      </w:tr>
      <w:tr w14:paraId="46D020BE">
        <w:tblPrEx>
          <w:tblBorders>
            <w:top w:val="single" w:color="4F81BD" w:themeColor="accent1" w:sz="8" w:space="0"/>
            <w:left w:val="none" w:color="auto" w:sz="0" w:space="0"/>
            <w:bottom w:val="single" w:color="4F81BD" w:themeColor="accen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835" w:type="dxa"/>
            <w:noWrap/>
            <w:vAlign w:val="center"/>
          </w:tcPr>
          <w:p w14:paraId="13DD6FCB">
            <w:pPr>
              <w:widowControl/>
              <w:jc w:val="center"/>
              <w:rPr>
                <w:rFonts w:ascii="仿宋_GB2312" w:hAnsi="仿宋" w:eastAsia="仿宋_GB2312" w:cs="宋体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b/>
                <w:bCs/>
                <w:color w:val="auto"/>
                <w:kern w:val="0"/>
                <w:sz w:val="24"/>
              </w:rPr>
              <w:t>该指标总体</w:t>
            </w:r>
          </w:p>
        </w:tc>
        <w:tc>
          <w:tcPr>
            <w:tcW w:w="1814" w:type="dxa"/>
            <w:noWrap/>
            <w:vAlign w:val="center"/>
          </w:tcPr>
          <w:p w14:paraId="311672F9">
            <w:pPr>
              <w:widowControl/>
              <w:jc w:val="center"/>
              <w:rPr>
                <w:rFonts w:ascii="仿宋_GB2312" w:eastAsia="仿宋_GB2312"/>
                <w:b/>
                <w:bCs/>
                <w:color w:val="auto"/>
                <w:sz w:val="24"/>
              </w:rPr>
            </w:pPr>
            <w:r>
              <w:rPr>
                <w:rFonts w:ascii="仿宋_GB2312" w:eastAsia="仿宋_GB2312"/>
                <w:b/>
                <w:bCs/>
                <w:color w:val="auto"/>
                <w:sz w:val="24"/>
              </w:rPr>
              <w:t>100.00</w:t>
            </w:r>
            <w:r>
              <w:rPr>
                <w:rFonts w:hint="eastAsia" w:ascii="仿宋_GB2312" w:eastAsia="仿宋_GB2312"/>
                <w:b/>
                <w:bCs/>
                <w:color w:val="auto"/>
                <w:sz w:val="24"/>
              </w:rPr>
              <w:t>%</w:t>
            </w:r>
          </w:p>
        </w:tc>
        <w:tc>
          <w:tcPr>
            <w:tcW w:w="1814" w:type="dxa"/>
            <w:vAlign w:val="center"/>
          </w:tcPr>
          <w:p w14:paraId="5EA3C636">
            <w:pPr>
              <w:widowControl/>
              <w:jc w:val="center"/>
              <w:rPr>
                <w:rFonts w:ascii="仿宋_GB2312" w:eastAsia="仿宋_GB2312"/>
                <w:b/>
                <w:bCs/>
                <w:color w:val="auto"/>
                <w:sz w:val="24"/>
              </w:rPr>
            </w:pPr>
            <w:r>
              <w:rPr>
                <w:rFonts w:ascii="仿宋_GB2312" w:eastAsia="仿宋_GB2312"/>
                <w:b/>
                <w:bCs/>
                <w:color w:val="auto"/>
                <w:sz w:val="24"/>
              </w:rPr>
              <w:t>100.00</w:t>
            </w:r>
            <w:r>
              <w:rPr>
                <w:rFonts w:hint="eastAsia" w:ascii="仿宋_GB2312" w:eastAsia="仿宋_GB2312"/>
                <w:b/>
                <w:bCs/>
                <w:color w:val="auto"/>
                <w:sz w:val="24"/>
              </w:rPr>
              <w:t>%</w:t>
            </w:r>
          </w:p>
        </w:tc>
        <w:tc>
          <w:tcPr>
            <w:tcW w:w="1247" w:type="dxa"/>
            <w:vAlign w:val="center"/>
          </w:tcPr>
          <w:p w14:paraId="170F738A">
            <w:pPr>
              <w:widowControl/>
              <w:jc w:val="center"/>
              <w:rPr>
                <w:rFonts w:ascii="仿宋_GB2312" w:eastAsia="仿宋_GB2312"/>
                <w:b/>
                <w:bCs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-</w:t>
            </w:r>
            <w:r>
              <w:rPr>
                <w:rFonts w:ascii="仿宋_GB2312" w:eastAsia="仿宋_GB2312"/>
                <w:color w:val="auto"/>
                <w:sz w:val="24"/>
              </w:rPr>
              <w:t>-</w:t>
            </w:r>
          </w:p>
        </w:tc>
      </w:tr>
    </w:tbl>
    <w:p w14:paraId="706283FA">
      <w:pPr>
        <w:ind w:firstLine="640" w:firstLineChars="200"/>
        <w:rPr>
          <w:rFonts w:ascii="仿宋_GB2312" w:eastAsia="仿宋_GB2312"/>
          <w:sz w:val="32"/>
          <w:szCs w:val="32"/>
        </w:rPr>
      </w:pPr>
    </w:p>
    <w:p w14:paraId="4168DA2E">
      <w:pPr>
        <w:ind w:firstLine="640" w:firstLineChars="200"/>
        <w:rPr>
          <w:rFonts w:ascii="仿宋_GB2312" w:eastAsia="仿宋_GB2312"/>
          <w:sz w:val="32"/>
          <w:szCs w:val="32"/>
        </w:rPr>
      </w:pPr>
    </w:p>
    <w:p w14:paraId="498DA57B">
      <w:pPr>
        <w:ind w:firstLine="640" w:firstLineChars="200"/>
        <w:rPr>
          <w:rFonts w:ascii="仿宋_GB2312" w:eastAsia="仿宋_GB2312"/>
          <w:sz w:val="32"/>
          <w:szCs w:val="32"/>
        </w:rPr>
      </w:pPr>
    </w:p>
    <w:p w14:paraId="1C673409">
      <w:pPr>
        <w:ind w:firstLine="640" w:firstLineChars="200"/>
        <w:rPr>
          <w:rFonts w:ascii="仿宋_GB2312" w:eastAsia="仿宋_GB2312"/>
          <w:sz w:val="32"/>
          <w:szCs w:val="32"/>
        </w:rPr>
      </w:pPr>
    </w:p>
    <w:p w14:paraId="746199D0">
      <w:pPr>
        <w:ind w:firstLine="640" w:firstLineChars="200"/>
        <w:rPr>
          <w:rFonts w:ascii="仿宋_GB2312" w:eastAsia="仿宋_GB2312"/>
          <w:sz w:val="32"/>
          <w:szCs w:val="32"/>
        </w:rPr>
      </w:pPr>
    </w:p>
    <w:p w14:paraId="2FAE616F">
      <w:pPr>
        <w:pStyle w:val="14"/>
        <w:jc w:val="left"/>
        <w:outlineLvl w:val="2"/>
        <w:rPr>
          <w:rFonts w:ascii="仿宋_GB2312" w:hAnsi="宋体" w:eastAsia="仿宋_GB2312" w:cs="宋体"/>
          <w:kern w:val="0"/>
        </w:rPr>
      </w:pPr>
      <w:bookmarkStart w:id="16" w:name="_Toc145100758"/>
      <w:r>
        <w:rPr>
          <w:rFonts w:hint="eastAsia" w:ascii="仿宋_GB2312" w:hAnsi="仿宋" w:eastAsia="仿宋_GB2312"/>
        </w:rPr>
        <w:t>4、</w:t>
      </w:r>
      <w:r>
        <w:rPr>
          <w:rFonts w:hint="eastAsia" w:ascii="仿宋_GB2312" w:hAnsi="宋体" w:eastAsia="仿宋_GB2312" w:cs="宋体"/>
          <w:kern w:val="0"/>
        </w:rPr>
        <w:t>签订供用水合同</w:t>
      </w:r>
      <w:bookmarkEnd w:id="16"/>
    </w:p>
    <w:p w14:paraId="3A75BD36">
      <w:pPr>
        <w:jc w:val="center"/>
        <w:rPr>
          <w:rFonts w:ascii="仿宋_GB2312" w:eastAsia="仿宋_GB2312"/>
          <w:sz w:val="32"/>
          <w:szCs w:val="32"/>
        </w:rPr>
      </w:pPr>
      <w:r>
        <w:drawing>
          <wp:inline distT="0" distB="0" distL="0" distR="0">
            <wp:extent cx="5274310" cy="2985770"/>
            <wp:effectExtent l="0" t="0" r="0" b="0"/>
            <wp:docPr id="9" name="图表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14:paraId="23A3E7F0"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</w:t>
      </w:r>
      <w:r>
        <w:rPr>
          <w:rFonts w:ascii="仿宋_GB2312" w:eastAsia="仿宋_GB2312"/>
          <w:sz w:val="32"/>
          <w:szCs w:val="32"/>
        </w:rPr>
        <w:t>026</w:t>
      </w:r>
      <w:r>
        <w:rPr>
          <w:rFonts w:hint="eastAsia" w:ascii="仿宋_GB2312" w:eastAsia="仿宋_GB2312"/>
          <w:sz w:val="32"/>
          <w:szCs w:val="32"/>
        </w:rPr>
        <w:t>年调查结果显示，“签订供用水合同”指标的满意率（</w:t>
      </w:r>
      <w:r>
        <w:rPr>
          <w:rFonts w:ascii="仿宋_GB2312" w:eastAsia="仿宋_GB2312"/>
          <w:sz w:val="32"/>
          <w:szCs w:val="32"/>
        </w:rPr>
        <w:t>100.00%</w:t>
      </w:r>
      <w:r>
        <w:rPr>
          <w:rFonts w:hint="eastAsia" w:ascii="仿宋_GB2312" w:eastAsia="仿宋_GB2312"/>
          <w:sz w:val="32"/>
          <w:szCs w:val="32"/>
        </w:rPr>
        <w:t>）在五项指标中排名并列第一。</w:t>
      </w:r>
    </w:p>
    <w:p w14:paraId="364BF654"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该指标共包含</w:t>
      </w:r>
      <w:r>
        <w:rPr>
          <w:rFonts w:ascii="仿宋_GB2312" w:eastAsia="仿宋_GB2312"/>
          <w:sz w:val="32"/>
          <w:szCs w:val="32"/>
        </w:rPr>
        <w:t>2</w:t>
      </w:r>
      <w:r>
        <w:rPr>
          <w:rFonts w:hint="eastAsia" w:ascii="仿宋_GB2312" w:eastAsia="仿宋_GB2312"/>
          <w:sz w:val="32"/>
          <w:szCs w:val="32"/>
        </w:rPr>
        <w:t>个子项目。本次</w:t>
      </w:r>
      <w:r>
        <w:rPr>
          <w:rFonts w:ascii="仿宋_GB2312" w:eastAsia="仿宋_GB2312"/>
          <w:sz w:val="32"/>
          <w:szCs w:val="32"/>
        </w:rPr>
        <w:t>2</w:t>
      </w:r>
      <w:r>
        <w:rPr>
          <w:rFonts w:hint="eastAsia" w:ascii="仿宋_GB2312" w:eastAsia="仿宋_GB2312"/>
          <w:sz w:val="32"/>
          <w:szCs w:val="32"/>
        </w:rPr>
        <w:t>个子项目的满意率均为1</w:t>
      </w:r>
      <w:r>
        <w:rPr>
          <w:rFonts w:ascii="仿宋_GB2312" w:eastAsia="仿宋_GB2312"/>
          <w:sz w:val="32"/>
          <w:szCs w:val="32"/>
        </w:rPr>
        <w:t>00.00%</w:t>
      </w:r>
      <w:r>
        <w:rPr>
          <w:rFonts w:hint="eastAsia" w:ascii="仿宋_GB2312" w:eastAsia="仿宋_GB2312"/>
          <w:sz w:val="32"/>
          <w:szCs w:val="32"/>
        </w:rPr>
        <w:t>。</w:t>
      </w:r>
    </w:p>
    <w:p w14:paraId="1DC95A20">
      <w:pPr>
        <w:spacing w:before="312" w:beforeLines="100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近两年该指标及其子项目的满意率结果详见下表：</w:t>
      </w:r>
    </w:p>
    <w:tbl>
      <w:tblPr>
        <w:tblStyle w:val="18"/>
        <w:tblW w:w="7710" w:type="dxa"/>
        <w:jc w:val="center"/>
        <w:tblBorders>
          <w:top w:val="single" w:color="4F81BD" w:themeColor="accent1" w:sz="8" w:space="0"/>
          <w:left w:val="none" w:color="auto" w:sz="0" w:space="0"/>
          <w:bottom w:val="single" w:color="4F81BD" w:themeColor="accent1" w:sz="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35"/>
        <w:gridCol w:w="1814"/>
        <w:gridCol w:w="1814"/>
        <w:gridCol w:w="1247"/>
      </w:tblGrid>
      <w:tr w14:paraId="62A50FC4">
        <w:tblPrEx>
          <w:tblBorders>
            <w:top w:val="single" w:color="4F81BD" w:themeColor="accent1" w:sz="8" w:space="0"/>
            <w:left w:val="none" w:color="auto" w:sz="0" w:space="0"/>
            <w:bottom w:val="single" w:color="4F81BD" w:themeColor="accen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835" w:type="dxa"/>
            <w:tcBorders>
              <w:top w:val="single" w:color="4F81BD" w:themeColor="accent1" w:sz="8" w:space="0"/>
              <w:left w:val="nil"/>
              <w:bottom w:val="single" w:color="4F81BD" w:themeColor="accent1" w:sz="8" w:space="0"/>
              <w:right w:val="nil"/>
              <w:insideH w:val="single" w:sz="8" w:space="0"/>
              <w:insideV w:val="nil"/>
            </w:tcBorders>
            <w:noWrap/>
            <w:vAlign w:val="center"/>
          </w:tcPr>
          <w:p w14:paraId="5093317A">
            <w:pPr>
              <w:widowControl/>
              <w:spacing w:before="0" w:after="0" w:line="240" w:lineRule="auto"/>
              <w:jc w:val="center"/>
              <w:rPr>
                <w:rFonts w:ascii="仿宋_GB2312" w:hAnsi="仿宋" w:eastAsia="仿宋_GB2312" w:cs="宋体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b/>
                <w:bCs/>
                <w:color w:val="auto"/>
                <w:kern w:val="0"/>
                <w:sz w:val="24"/>
              </w:rPr>
              <w:t>指  标</w:t>
            </w:r>
          </w:p>
        </w:tc>
        <w:tc>
          <w:tcPr>
            <w:tcW w:w="1814" w:type="dxa"/>
            <w:tcBorders>
              <w:top w:val="single" w:color="4F81BD" w:themeColor="accent1" w:sz="8" w:space="0"/>
              <w:bottom w:val="single" w:color="4F81BD" w:themeColor="accent1" w:sz="8" w:space="0"/>
              <w:right w:val="nil"/>
              <w:insideH w:val="single" w:sz="8" w:space="0"/>
              <w:insideV w:val="nil"/>
            </w:tcBorders>
            <w:noWrap/>
            <w:vAlign w:val="center"/>
          </w:tcPr>
          <w:p w14:paraId="39DDE379">
            <w:pPr>
              <w:widowControl/>
              <w:spacing w:before="0" w:after="0" w:line="240" w:lineRule="auto"/>
              <w:jc w:val="center"/>
              <w:rPr>
                <w:rFonts w:ascii="仿宋_GB2312" w:hAnsi="仿宋" w:eastAsia="仿宋_GB2312" w:cs="宋体"/>
                <w:b/>
                <w:bCs/>
                <w:color w:val="auto"/>
                <w:kern w:val="0"/>
                <w:sz w:val="24"/>
              </w:rPr>
            </w:pPr>
            <w:r>
              <w:rPr>
                <w:rFonts w:ascii="仿宋_GB2312" w:hAnsi="仿宋" w:eastAsia="仿宋_GB2312" w:cs="宋体"/>
                <w:b/>
                <w:bCs/>
                <w:color w:val="auto"/>
                <w:kern w:val="0"/>
                <w:sz w:val="24"/>
              </w:rPr>
              <w:t>20</w:t>
            </w:r>
            <w:r>
              <w:rPr>
                <w:rFonts w:hint="eastAsia" w:ascii="仿宋_GB2312" w:hAnsi="仿宋" w:eastAsia="仿宋_GB2312" w:cs="宋体"/>
                <w:b/>
                <w:bCs/>
                <w:color w:val="auto"/>
                <w:kern w:val="0"/>
                <w:sz w:val="24"/>
              </w:rPr>
              <w:t>2</w:t>
            </w:r>
            <w:r>
              <w:rPr>
                <w:rFonts w:ascii="仿宋_GB2312" w:hAnsi="仿宋" w:eastAsia="仿宋_GB2312" w:cs="宋体"/>
                <w:b/>
                <w:bCs/>
                <w:color w:val="auto"/>
                <w:kern w:val="0"/>
                <w:sz w:val="24"/>
              </w:rPr>
              <w:t>6</w:t>
            </w:r>
            <w:r>
              <w:rPr>
                <w:rFonts w:hint="eastAsia" w:ascii="仿宋_GB2312" w:hAnsi="仿宋" w:eastAsia="仿宋_GB2312" w:cs="宋体"/>
                <w:b/>
                <w:bCs/>
                <w:color w:val="auto"/>
                <w:kern w:val="0"/>
                <w:sz w:val="24"/>
              </w:rPr>
              <w:t>年满意率</w:t>
            </w:r>
          </w:p>
        </w:tc>
        <w:tc>
          <w:tcPr>
            <w:tcW w:w="1814" w:type="dxa"/>
            <w:tcBorders>
              <w:top w:val="single" w:color="4F81BD" w:themeColor="accent1" w:sz="8" w:space="0"/>
              <w:bottom w:val="single" w:color="4F81BD" w:themeColor="accent1" w:sz="8" w:space="0"/>
              <w:right w:val="nil"/>
              <w:insideH w:val="single" w:sz="8" w:space="0"/>
              <w:insideV w:val="nil"/>
            </w:tcBorders>
            <w:noWrap/>
            <w:vAlign w:val="center"/>
          </w:tcPr>
          <w:p w14:paraId="106C5DBF">
            <w:pPr>
              <w:widowControl/>
              <w:spacing w:before="0" w:after="0" w:line="240" w:lineRule="auto"/>
              <w:jc w:val="center"/>
              <w:rPr>
                <w:rFonts w:ascii="仿宋_GB2312" w:hAnsi="仿宋" w:eastAsia="仿宋_GB2312" w:cs="宋体"/>
                <w:b/>
                <w:bCs/>
                <w:color w:val="auto"/>
                <w:kern w:val="0"/>
                <w:sz w:val="24"/>
              </w:rPr>
            </w:pPr>
            <w:r>
              <w:rPr>
                <w:rFonts w:ascii="仿宋_GB2312" w:hAnsi="仿宋" w:eastAsia="仿宋_GB2312" w:cs="宋体"/>
                <w:b/>
                <w:bCs/>
                <w:color w:val="auto"/>
                <w:kern w:val="0"/>
                <w:sz w:val="24"/>
              </w:rPr>
              <w:t>20</w:t>
            </w:r>
            <w:r>
              <w:rPr>
                <w:rFonts w:hint="eastAsia" w:ascii="仿宋_GB2312" w:hAnsi="仿宋" w:eastAsia="仿宋_GB2312" w:cs="宋体"/>
                <w:b/>
                <w:bCs/>
                <w:color w:val="auto"/>
                <w:kern w:val="0"/>
                <w:sz w:val="24"/>
              </w:rPr>
              <w:t>2</w:t>
            </w:r>
            <w:r>
              <w:rPr>
                <w:rFonts w:ascii="仿宋_GB2312" w:hAnsi="仿宋" w:eastAsia="仿宋_GB2312" w:cs="宋体"/>
                <w:b/>
                <w:bCs/>
                <w:color w:val="auto"/>
                <w:kern w:val="0"/>
                <w:sz w:val="24"/>
              </w:rPr>
              <w:t>5</w:t>
            </w:r>
            <w:r>
              <w:rPr>
                <w:rFonts w:hint="eastAsia" w:ascii="仿宋_GB2312" w:hAnsi="仿宋" w:eastAsia="仿宋_GB2312" w:cs="宋体"/>
                <w:b/>
                <w:bCs/>
                <w:color w:val="auto"/>
                <w:kern w:val="0"/>
                <w:sz w:val="24"/>
              </w:rPr>
              <w:t>年满意率</w:t>
            </w:r>
          </w:p>
        </w:tc>
        <w:tc>
          <w:tcPr>
            <w:tcW w:w="1247" w:type="dxa"/>
            <w:tcBorders>
              <w:top w:val="single" w:color="4F81BD" w:themeColor="accent1" w:sz="8" w:space="0"/>
              <w:bottom w:val="single" w:color="4F81BD" w:themeColor="accent1" w:sz="8" w:space="0"/>
              <w:right w:val="nil"/>
              <w:insideH w:val="single" w:sz="8" w:space="0"/>
              <w:insideV w:val="nil"/>
            </w:tcBorders>
            <w:vAlign w:val="center"/>
          </w:tcPr>
          <w:p w14:paraId="28551220">
            <w:pPr>
              <w:widowControl/>
              <w:spacing w:before="0" w:after="0" w:line="240" w:lineRule="auto"/>
              <w:jc w:val="center"/>
              <w:rPr>
                <w:rFonts w:ascii="仿宋_GB2312" w:hAnsi="仿宋" w:eastAsia="仿宋_GB2312" w:cs="宋体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b/>
                <w:bCs/>
                <w:color w:val="auto"/>
                <w:kern w:val="0"/>
                <w:sz w:val="24"/>
              </w:rPr>
              <w:t>变化</w:t>
            </w:r>
          </w:p>
        </w:tc>
      </w:tr>
      <w:tr w14:paraId="3501D76A">
        <w:tblPrEx>
          <w:tblBorders>
            <w:top w:val="single" w:color="4F81BD" w:themeColor="accent1" w:sz="8" w:space="0"/>
            <w:left w:val="none" w:color="auto" w:sz="0" w:space="0"/>
            <w:bottom w:val="single" w:color="4F81BD" w:themeColor="accen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835" w:type="dxa"/>
            <w:tcBorders>
              <w:left w:val="nil"/>
              <w:right w:val="nil"/>
              <w:insideV w:val="nil"/>
            </w:tcBorders>
            <w:shd w:val="clear" w:color="auto" w:fill="D3DFEE" w:themeFill="accent1" w:themeFillTint="3F"/>
            <w:noWrap/>
            <w:vAlign w:val="center"/>
          </w:tcPr>
          <w:p w14:paraId="28A77A03">
            <w:pPr>
              <w:widowControl/>
              <w:jc w:val="left"/>
              <w:rPr>
                <w:rFonts w:ascii="仿宋_GB2312" w:hAnsi="仿宋" w:eastAsia="仿宋_GB2312" w:cs="宋体"/>
                <w:b w:val="0"/>
                <w:bCs w:val="0"/>
                <w:color w:val="auto"/>
                <w:kern w:val="0"/>
                <w:sz w:val="24"/>
              </w:rPr>
            </w:pPr>
            <w:r>
              <w:rPr>
                <w:rFonts w:hint="eastAsia" w:ascii="仿宋_GB2312" w:eastAsia="仿宋_GB2312"/>
                <w:b w:val="0"/>
                <w:bCs w:val="0"/>
                <w:color w:val="auto"/>
                <w:sz w:val="24"/>
              </w:rPr>
              <w:t>移交材料的质量</w:t>
            </w:r>
          </w:p>
        </w:tc>
        <w:tc>
          <w:tcPr>
            <w:tcW w:w="1814" w:type="dxa"/>
            <w:tcBorders>
              <w:right w:val="nil"/>
              <w:insideV w:val="nil"/>
            </w:tcBorders>
            <w:shd w:val="clear" w:color="auto" w:fill="D3DFEE" w:themeFill="accent1" w:themeFillTint="3F"/>
            <w:noWrap/>
            <w:vAlign w:val="center"/>
          </w:tcPr>
          <w:p w14:paraId="3C009F4E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ascii="仿宋_GB2312" w:eastAsia="仿宋_GB2312"/>
                <w:color w:val="auto"/>
                <w:sz w:val="24"/>
              </w:rPr>
              <w:t>100.00</w:t>
            </w:r>
            <w:r>
              <w:rPr>
                <w:rFonts w:hint="eastAsia" w:ascii="仿宋_GB2312" w:eastAsia="仿宋_GB2312"/>
                <w:color w:val="auto"/>
                <w:sz w:val="24"/>
              </w:rPr>
              <w:t>%</w:t>
            </w:r>
          </w:p>
        </w:tc>
        <w:tc>
          <w:tcPr>
            <w:tcW w:w="1814" w:type="dxa"/>
            <w:tcBorders>
              <w:right w:val="nil"/>
              <w:insideV w:val="nil"/>
            </w:tcBorders>
            <w:shd w:val="clear" w:color="auto" w:fill="D3DFEE" w:themeFill="accent1" w:themeFillTint="3F"/>
            <w:noWrap/>
            <w:vAlign w:val="center"/>
          </w:tcPr>
          <w:p w14:paraId="7EEC417C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ascii="仿宋_GB2312" w:eastAsia="仿宋_GB2312"/>
                <w:color w:val="auto"/>
                <w:sz w:val="24"/>
              </w:rPr>
              <w:t>100.00</w:t>
            </w:r>
            <w:r>
              <w:rPr>
                <w:rFonts w:hint="eastAsia" w:ascii="仿宋_GB2312" w:eastAsia="仿宋_GB2312"/>
                <w:color w:val="auto"/>
                <w:sz w:val="24"/>
              </w:rPr>
              <w:t>%</w:t>
            </w:r>
          </w:p>
        </w:tc>
        <w:tc>
          <w:tcPr>
            <w:tcW w:w="1247" w:type="dxa"/>
            <w:tcBorders>
              <w:right w:val="nil"/>
              <w:insideV w:val="nil"/>
            </w:tcBorders>
            <w:shd w:val="clear" w:color="auto" w:fill="D3DFEE" w:themeFill="accent1" w:themeFillTint="3F"/>
            <w:vAlign w:val="center"/>
          </w:tcPr>
          <w:p w14:paraId="48991D32">
            <w:pPr>
              <w:widowControl/>
              <w:jc w:val="center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-</w:t>
            </w:r>
            <w:r>
              <w:rPr>
                <w:rFonts w:ascii="仿宋_GB2312" w:eastAsia="仿宋_GB2312"/>
                <w:color w:val="auto"/>
                <w:sz w:val="24"/>
              </w:rPr>
              <w:t>-</w:t>
            </w:r>
          </w:p>
        </w:tc>
      </w:tr>
      <w:tr w14:paraId="4DE28AE8">
        <w:tblPrEx>
          <w:tblBorders>
            <w:top w:val="single" w:color="4F81BD" w:themeColor="accent1" w:sz="8" w:space="0"/>
            <w:left w:val="none" w:color="auto" w:sz="0" w:space="0"/>
            <w:bottom w:val="single" w:color="4F81BD" w:themeColor="accen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835" w:type="dxa"/>
            <w:noWrap/>
            <w:vAlign w:val="center"/>
          </w:tcPr>
          <w:p w14:paraId="22B1C597">
            <w:pPr>
              <w:widowControl/>
              <w:jc w:val="left"/>
              <w:rPr>
                <w:rFonts w:ascii="仿宋_GB2312" w:hAnsi="仿宋" w:eastAsia="仿宋_GB2312" w:cs="宋体"/>
                <w:b w:val="0"/>
                <w:bCs w:val="0"/>
                <w:color w:val="auto"/>
                <w:kern w:val="0"/>
                <w:sz w:val="24"/>
              </w:rPr>
            </w:pPr>
            <w:r>
              <w:rPr>
                <w:rFonts w:hint="eastAsia" w:ascii="仿宋_GB2312" w:eastAsia="仿宋_GB2312"/>
                <w:b w:val="0"/>
                <w:bCs w:val="0"/>
                <w:color w:val="auto"/>
                <w:sz w:val="24"/>
              </w:rPr>
              <w:t>签订供用水合同</w:t>
            </w:r>
          </w:p>
        </w:tc>
        <w:tc>
          <w:tcPr>
            <w:tcW w:w="1814" w:type="dxa"/>
            <w:noWrap/>
            <w:vAlign w:val="center"/>
          </w:tcPr>
          <w:p w14:paraId="18F601A8">
            <w:pPr>
              <w:widowControl/>
              <w:jc w:val="center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ascii="仿宋_GB2312" w:eastAsia="仿宋_GB2312"/>
                <w:color w:val="auto"/>
                <w:sz w:val="24"/>
              </w:rPr>
              <w:t>100.00%</w:t>
            </w:r>
          </w:p>
        </w:tc>
        <w:tc>
          <w:tcPr>
            <w:tcW w:w="1814" w:type="dxa"/>
            <w:noWrap/>
            <w:vAlign w:val="center"/>
          </w:tcPr>
          <w:p w14:paraId="30AA4EAB">
            <w:pPr>
              <w:widowControl/>
              <w:jc w:val="center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ascii="仿宋_GB2312" w:eastAsia="仿宋_GB2312"/>
                <w:color w:val="auto"/>
                <w:sz w:val="24"/>
              </w:rPr>
              <w:t>100.00%</w:t>
            </w:r>
          </w:p>
        </w:tc>
        <w:tc>
          <w:tcPr>
            <w:tcW w:w="1247" w:type="dxa"/>
            <w:vAlign w:val="center"/>
          </w:tcPr>
          <w:p w14:paraId="1098B849">
            <w:pPr>
              <w:widowControl/>
              <w:jc w:val="center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-</w:t>
            </w:r>
            <w:r>
              <w:rPr>
                <w:rFonts w:ascii="仿宋_GB2312" w:eastAsia="仿宋_GB2312"/>
                <w:color w:val="auto"/>
                <w:sz w:val="24"/>
              </w:rPr>
              <w:t>-</w:t>
            </w:r>
          </w:p>
        </w:tc>
      </w:tr>
      <w:tr w14:paraId="18E80677">
        <w:tblPrEx>
          <w:tblBorders>
            <w:top w:val="single" w:color="4F81BD" w:themeColor="accent1" w:sz="8" w:space="0"/>
            <w:left w:val="none" w:color="auto" w:sz="0" w:space="0"/>
            <w:bottom w:val="single" w:color="4F81BD" w:themeColor="accen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835" w:type="dxa"/>
            <w:tcBorders>
              <w:left w:val="nil"/>
              <w:right w:val="nil"/>
              <w:insideV w:val="nil"/>
            </w:tcBorders>
            <w:shd w:val="clear" w:color="auto" w:fill="D3DFEE" w:themeFill="accent1" w:themeFillTint="3F"/>
            <w:noWrap/>
            <w:vAlign w:val="center"/>
          </w:tcPr>
          <w:p w14:paraId="06F7BD94">
            <w:pPr>
              <w:widowControl/>
              <w:jc w:val="center"/>
              <w:rPr>
                <w:rFonts w:ascii="仿宋_GB2312" w:hAnsi="仿宋" w:eastAsia="仿宋_GB2312" w:cs="宋体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b/>
                <w:bCs/>
                <w:color w:val="auto"/>
                <w:kern w:val="0"/>
                <w:sz w:val="24"/>
              </w:rPr>
              <w:t>该指标总体</w:t>
            </w:r>
          </w:p>
        </w:tc>
        <w:tc>
          <w:tcPr>
            <w:tcW w:w="1814" w:type="dxa"/>
            <w:tcBorders>
              <w:right w:val="nil"/>
              <w:insideV w:val="nil"/>
            </w:tcBorders>
            <w:shd w:val="clear" w:color="auto" w:fill="D3DFEE" w:themeFill="accent1" w:themeFillTint="3F"/>
            <w:noWrap/>
            <w:vAlign w:val="center"/>
          </w:tcPr>
          <w:p w14:paraId="69307B54">
            <w:pPr>
              <w:widowControl/>
              <w:jc w:val="center"/>
              <w:rPr>
                <w:rFonts w:ascii="仿宋_GB2312" w:eastAsia="仿宋_GB2312"/>
                <w:b/>
                <w:bCs/>
                <w:color w:val="auto"/>
                <w:sz w:val="24"/>
              </w:rPr>
            </w:pPr>
            <w:r>
              <w:rPr>
                <w:rFonts w:ascii="仿宋_GB2312" w:eastAsia="仿宋_GB2312"/>
                <w:b/>
                <w:bCs/>
                <w:color w:val="auto"/>
                <w:sz w:val="24"/>
              </w:rPr>
              <w:t>100.00</w:t>
            </w:r>
            <w:r>
              <w:rPr>
                <w:rFonts w:hint="eastAsia" w:ascii="仿宋_GB2312" w:eastAsia="仿宋_GB2312"/>
                <w:b/>
                <w:bCs/>
                <w:color w:val="auto"/>
                <w:sz w:val="24"/>
              </w:rPr>
              <w:t>%</w:t>
            </w:r>
          </w:p>
        </w:tc>
        <w:tc>
          <w:tcPr>
            <w:tcW w:w="1814" w:type="dxa"/>
            <w:tcBorders>
              <w:right w:val="nil"/>
              <w:insideV w:val="nil"/>
            </w:tcBorders>
            <w:shd w:val="clear" w:color="auto" w:fill="D3DFEE" w:themeFill="accent1" w:themeFillTint="3F"/>
            <w:noWrap/>
            <w:vAlign w:val="center"/>
          </w:tcPr>
          <w:p w14:paraId="03F837EF">
            <w:pPr>
              <w:widowControl/>
              <w:jc w:val="center"/>
              <w:rPr>
                <w:rFonts w:ascii="仿宋_GB2312" w:eastAsia="仿宋_GB2312"/>
                <w:b/>
                <w:bCs/>
                <w:color w:val="auto"/>
                <w:sz w:val="24"/>
              </w:rPr>
            </w:pPr>
            <w:r>
              <w:rPr>
                <w:rFonts w:ascii="仿宋_GB2312" w:eastAsia="仿宋_GB2312"/>
                <w:b/>
                <w:bCs/>
                <w:color w:val="auto"/>
                <w:sz w:val="24"/>
              </w:rPr>
              <w:t>100.00</w:t>
            </w:r>
            <w:r>
              <w:rPr>
                <w:rFonts w:hint="eastAsia" w:ascii="仿宋_GB2312" w:eastAsia="仿宋_GB2312"/>
                <w:b/>
                <w:bCs/>
                <w:color w:val="auto"/>
                <w:sz w:val="24"/>
              </w:rPr>
              <w:t>%</w:t>
            </w:r>
          </w:p>
        </w:tc>
        <w:tc>
          <w:tcPr>
            <w:tcW w:w="1247" w:type="dxa"/>
            <w:tcBorders>
              <w:right w:val="nil"/>
              <w:insideV w:val="nil"/>
            </w:tcBorders>
            <w:shd w:val="clear" w:color="auto" w:fill="D3DFEE" w:themeFill="accent1" w:themeFillTint="3F"/>
            <w:vAlign w:val="center"/>
          </w:tcPr>
          <w:p w14:paraId="64868D4F">
            <w:pPr>
              <w:widowControl/>
              <w:jc w:val="center"/>
              <w:rPr>
                <w:rFonts w:ascii="仿宋_GB2312" w:eastAsia="仿宋_GB2312"/>
                <w:b/>
                <w:bCs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-</w:t>
            </w:r>
            <w:r>
              <w:rPr>
                <w:rFonts w:ascii="仿宋_GB2312" w:eastAsia="仿宋_GB2312"/>
                <w:color w:val="auto"/>
                <w:sz w:val="24"/>
              </w:rPr>
              <w:t>-</w:t>
            </w:r>
          </w:p>
        </w:tc>
      </w:tr>
    </w:tbl>
    <w:p w14:paraId="3780C277">
      <w:pPr>
        <w:ind w:firstLine="640" w:firstLineChars="200"/>
        <w:rPr>
          <w:rFonts w:ascii="仿宋_GB2312" w:eastAsia="仿宋_GB2312"/>
          <w:sz w:val="32"/>
          <w:szCs w:val="32"/>
        </w:rPr>
      </w:pPr>
    </w:p>
    <w:p w14:paraId="65561FA4">
      <w:pPr>
        <w:ind w:firstLine="640" w:firstLineChars="200"/>
        <w:rPr>
          <w:rFonts w:ascii="仿宋_GB2312" w:eastAsia="仿宋_GB2312"/>
          <w:sz w:val="32"/>
          <w:szCs w:val="32"/>
        </w:rPr>
      </w:pPr>
    </w:p>
    <w:p w14:paraId="4C9E47F5">
      <w:pPr>
        <w:ind w:firstLine="640" w:firstLineChars="200"/>
        <w:rPr>
          <w:rFonts w:ascii="仿宋_GB2312" w:eastAsia="仿宋_GB2312"/>
          <w:sz w:val="32"/>
          <w:szCs w:val="32"/>
        </w:rPr>
      </w:pPr>
    </w:p>
    <w:p w14:paraId="525389BF">
      <w:pPr>
        <w:ind w:firstLine="640" w:firstLineChars="200"/>
        <w:rPr>
          <w:rFonts w:ascii="仿宋_GB2312" w:eastAsia="仿宋_GB2312"/>
          <w:sz w:val="32"/>
          <w:szCs w:val="32"/>
        </w:rPr>
      </w:pPr>
    </w:p>
    <w:p w14:paraId="5968DF05">
      <w:pPr>
        <w:ind w:firstLine="640" w:firstLineChars="200"/>
        <w:rPr>
          <w:rFonts w:ascii="仿宋_GB2312" w:eastAsia="仿宋_GB2312"/>
          <w:sz w:val="32"/>
          <w:szCs w:val="32"/>
        </w:rPr>
      </w:pPr>
    </w:p>
    <w:p w14:paraId="4FDCB0D8">
      <w:pPr>
        <w:pStyle w:val="14"/>
        <w:jc w:val="left"/>
        <w:outlineLvl w:val="2"/>
        <w:rPr>
          <w:rFonts w:ascii="仿宋_GB2312" w:hAnsi="宋体" w:eastAsia="仿宋_GB2312" w:cs="宋体"/>
          <w:kern w:val="0"/>
        </w:rPr>
      </w:pPr>
      <w:bookmarkStart w:id="17" w:name="_Toc145100759"/>
      <w:r>
        <w:rPr>
          <w:rFonts w:hint="eastAsia" w:ascii="仿宋_GB2312" w:hAnsi="仿宋" w:eastAsia="仿宋_GB2312"/>
        </w:rPr>
        <w:t>5、</w:t>
      </w:r>
      <w:r>
        <w:rPr>
          <w:rFonts w:hint="eastAsia" w:ascii="仿宋_GB2312" w:hAnsi="宋体" w:eastAsia="仿宋_GB2312" w:cs="宋体"/>
          <w:kern w:val="0"/>
        </w:rPr>
        <w:t>总体服务</w:t>
      </w:r>
      <w:bookmarkEnd w:id="17"/>
    </w:p>
    <w:p w14:paraId="2BA4400D">
      <w:pPr>
        <w:jc w:val="center"/>
        <w:rPr>
          <w:rFonts w:ascii="仿宋_GB2312" w:eastAsia="仿宋_GB2312"/>
          <w:sz w:val="32"/>
          <w:szCs w:val="32"/>
        </w:rPr>
      </w:pPr>
      <w:r>
        <w:drawing>
          <wp:inline distT="0" distB="0" distL="0" distR="0">
            <wp:extent cx="5274310" cy="2963545"/>
            <wp:effectExtent l="0" t="0" r="0" b="0"/>
            <wp:docPr id="11" name="图表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14:paraId="77C9B225"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</w:t>
      </w:r>
      <w:r>
        <w:rPr>
          <w:rFonts w:ascii="仿宋_GB2312" w:eastAsia="仿宋_GB2312"/>
          <w:sz w:val="32"/>
          <w:szCs w:val="32"/>
        </w:rPr>
        <w:t>026</w:t>
      </w:r>
      <w:r>
        <w:rPr>
          <w:rFonts w:hint="eastAsia" w:ascii="仿宋_GB2312" w:eastAsia="仿宋_GB2312"/>
          <w:sz w:val="32"/>
          <w:szCs w:val="32"/>
        </w:rPr>
        <w:t>年调查结果显示，“总体服务”指标的满意率（</w:t>
      </w:r>
      <w:r>
        <w:rPr>
          <w:rFonts w:ascii="仿宋_GB2312" w:eastAsia="仿宋_GB2312"/>
          <w:sz w:val="32"/>
          <w:szCs w:val="32"/>
        </w:rPr>
        <w:t>100.00%</w:t>
      </w:r>
      <w:r>
        <w:rPr>
          <w:rFonts w:hint="eastAsia" w:ascii="仿宋_GB2312" w:eastAsia="仿宋_GB2312"/>
          <w:sz w:val="32"/>
          <w:szCs w:val="32"/>
        </w:rPr>
        <w:t>）在五项指标中排名并列第一。</w:t>
      </w:r>
    </w:p>
    <w:p w14:paraId="518930BC"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该指标共包含</w:t>
      </w:r>
      <w:r>
        <w:rPr>
          <w:rFonts w:ascii="仿宋_GB2312" w:eastAsia="仿宋_GB2312"/>
          <w:sz w:val="32"/>
          <w:szCs w:val="32"/>
        </w:rPr>
        <w:t>2</w:t>
      </w:r>
      <w:r>
        <w:rPr>
          <w:rFonts w:hint="eastAsia" w:ascii="仿宋_GB2312" w:eastAsia="仿宋_GB2312"/>
          <w:sz w:val="32"/>
          <w:szCs w:val="32"/>
        </w:rPr>
        <w:t>个子项目。本次</w:t>
      </w:r>
      <w:r>
        <w:rPr>
          <w:rFonts w:ascii="仿宋_GB2312" w:eastAsia="仿宋_GB2312"/>
          <w:sz w:val="32"/>
          <w:szCs w:val="32"/>
        </w:rPr>
        <w:t>2</w:t>
      </w:r>
      <w:r>
        <w:rPr>
          <w:rFonts w:hint="eastAsia" w:ascii="仿宋_GB2312" w:eastAsia="仿宋_GB2312"/>
          <w:sz w:val="32"/>
          <w:szCs w:val="32"/>
        </w:rPr>
        <w:t>个子项目的满意率均为1</w:t>
      </w:r>
      <w:r>
        <w:rPr>
          <w:rFonts w:ascii="仿宋_GB2312" w:eastAsia="仿宋_GB2312"/>
          <w:sz w:val="32"/>
          <w:szCs w:val="32"/>
        </w:rPr>
        <w:t>00.00%</w:t>
      </w:r>
      <w:r>
        <w:rPr>
          <w:rFonts w:hint="eastAsia" w:ascii="仿宋_GB2312" w:eastAsia="仿宋_GB2312"/>
          <w:sz w:val="32"/>
          <w:szCs w:val="32"/>
        </w:rPr>
        <w:t>。</w:t>
      </w:r>
    </w:p>
    <w:p w14:paraId="0579FAE1">
      <w:pPr>
        <w:spacing w:before="312" w:beforeLines="100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近两年该指标及其子项目的满意率结果详见下表：</w:t>
      </w:r>
    </w:p>
    <w:tbl>
      <w:tblPr>
        <w:tblStyle w:val="18"/>
        <w:tblW w:w="7710" w:type="dxa"/>
        <w:jc w:val="center"/>
        <w:tblBorders>
          <w:top w:val="single" w:color="4F81BD" w:themeColor="accent1" w:sz="8" w:space="0"/>
          <w:left w:val="none" w:color="auto" w:sz="0" w:space="0"/>
          <w:bottom w:val="single" w:color="4F81BD" w:themeColor="accent1" w:sz="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35"/>
        <w:gridCol w:w="1814"/>
        <w:gridCol w:w="1814"/>
        <w:gridCol w:w="1247"/>
      </w:tblGrid>
      <w:tr w14:paraId="5BD669D8">
        <w:tblPrEx>
          <w:tblBorders>
            <w:top w:val="single" w:color="4F81BD" w:themeColor="accent1" w:sz="8" w:space="0"/>
            <w:left w:val="none" w:color="auto" w:sz="0" w:space="0"/>
            <w:bottom w:val="single" w:color="4F81BD" w:themeColor="accen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835" w:type="dxa"/>
            <w:tcBorders>
              <w:top w:val="single" w:color="4F81BD" w:themeColor="accent1" w:sz="8" w:space="0"/>
              <w:left w:val="nil"/>
              <w:bottom w:val="single" w:color="4F81BD" w:themeColor="accent1" w:sz="8" w:space="0"/>
              <w:right w:val="nil"/>
              <w:insideH w:val="single" w:sz="8" w:space="0"/>
              <w:insideV w:val="nil"/>
            </w:tcBorders>
            <w:noWrap/>
            <w:vAlign w:val="center"/>
          </w:tcPr>
          <w:p w14:paraId="339A41F0">
            <w:pPr>
              <w:widowControl/>
              <w:spacing w:before="0" w:after="0" w:line="240" w:lineRule="auto"/>
              <w:jc w:val="center"/>
              <w:rPr>
                <w:rFonts w:ascii="仿宋_GB2312" w:hAnsi="仿宋" w:eastAsia="仿宋_GB2312" w:cs="宋体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b/>
                <w:bCs/>
                <w:color w:val="auto"/>
                <w:kern w:val="0"/>
                <w:sz w:val="24"/>
              </w:rPr>
              <w:t>指  标</w:t>
            </w:r>
          </w:p>
        </w:tc>
        <w:tc>
          <w:tcPr>
            <w:tcW w:w="1814" w:type="dxa"/>
            <w:tcBorders>
              <w:top w:val="single" w:color="4F81BD" w:themeColor="accent1" w:sz="8" w:space="0"/>
              <w:bottom w:val="single" w:color="4F81BD" w:themeColor="accent1" w:sz="8" w:space="0"/>
              <w:right w:val="nil"/>
              <w:insideH w:val="single" w:sz="8" w:space="0"/>
              <w:insideV w:val="nil"/>
            </w:tcBorders>
            <w:noWrap/>
            <w:vAlign w:val="center"/>
          </w:tcPr>
          <w:p w14:paraId="3FE05081">
            <w:pPr>
              <w:widowControl/>
              <w:spacing w:before="0" w:after="0" w:line="240" w:lineRule="auto"/>
              <w:jc w:val="center"/>
              <w:rPr>
                <w:rFonts w:ascii="仿宋_GB2312" w:hAnsi="仿宋" w:eastAsia="仿宋_GB2312" w:cs="宋体"/>
                <w:b/>
                <w:bCs/>
                <w:color w:val="auto"/>
                <w:kern w:val="0"/>
                <w:sz w:val="24"/>
              </w:rPr>
            </w:pPr>
            <w:r>
              <w:rPr>
                <w:rFonts w:ascii="仿宋_GB2312" w:hAnsi="仿宋" w:eastAsia="仿宋_GB2312" w:cs="宋体"/>
                <w:b/>
                <w:bCs/>
                <w:color w:val="auto"/>
                <w:kern w:val="0"/>
                <w:sz w:val="24"/>
              </w:rPr>
              <w:t>20</w:t>
            </w:r>
            <w:r>
              <w:rPr>
                <w:rFonts w:hint="eastAsia" w:ascii="仿宋_GB2312" w:hAnsi="仿宋" w:eastAsia="仿宋_GB2312" w:cs="宋体"/>
                <w:b/>
                <w:bCs/>
                <w:color w:val="auto"/>
                <w:kern w:val="0"/>
                <w:sz w:val="24"/>
              </w:rPr>
              <w:t>2</w:t>
            </w:r>
            <w:r>
              <w:rPr>
                <w:rFonts w:ascii="仿宋_GB2312" w:hAnsi="仿宋" w:eastAsia="仿宋_GB2312" w:cs="宋体"/>
                <w:b/>
                <w:bCs/>
                <w:color w:val="auto"/>
                <w:kern w:val="0"/>
                <w:sz w:val="24"/>
              </w:rPr>
              <w:t>6</w:t>
            </w:r>
            <w:r>
              <w:rPr>
                <w:rFonts w:hint="eastAsia" w:ascii="仿宋_GB2312" w:hAnsi="仿宋" w:eastAsia="仿宋_GB2312" w:cs="宋体"/>
                <w:b/>
                <w:bCs/>
                <w:color w:val="auto"/>
                <w:kern w:val="0"/>
                <w:sz w:val="24"/>
              </w:rPr>
              <w:t>年满意率</w:t>
            </w:r>
          </w:p>
        </w:tc>
        <w:tc>
          <w:tcPr>
            <w:tcW w:w="1814" w:type="dxa"/>
            <w:tcBorders>
              <w:top w:val="single" w:color="4F81BD" w:themeColor="accent1" w:sz="8" w:space="0"/>
              <w:bottom w:val="single" w:color="4F81BD" w:themeColor="accent1" w:sz="8" w:space="0"/>
              <w:right w:val="nil"/>
              <w:insideH w:val="single" w:sz="8" w:space="0"/>
              <w:insideV w:val="nil"/>
            </w:tcBorders>
            <w:noWrap/>
            <w:vAlign w:val="center"/>
          </w:tcPr>
          <w:p w14:paraId="1B7D472C">
            <w:pPr>
              <w:widowControl/>
              <w:spacing w:before="0" w:after="0" w:line="240" w:lineRule="auto"/>
              <w:jc w:val="center"/>
              <w:rPr>
                <w:rFonts w:ascii="仿宋_GB2312" w:hAnsi="仿宋" w:eastAsia="仿宋_GB2312" w:cs="宋体"/>
                <w:b/>
                <w:bCs/>
                <w:color w:val="auto"/>
                <w:kern w:val="0"/>
                <w:sz w:val="24"/>
              </w:rPr>
            </w:pPr>
            <w:r>
              <w:rPr>
                <w:rFonts w:ascii="仿宋_GB2312" w:hAnsi="仿宋" w:eastAsia="仿宋_GB2312" w:cs="宋体"/>
                <w:b/>
                <w:bCs/>
                <w:color w:val="auto"/>
                <w:kern w:val="0"/>
                <w:sz w:val="24"/>
              </w:rPr>
              <w:t>20</w:t>
            </w:r>
            <w:r>
              <w:rPr>
                <w:rFonts w:hint="eastAsia" w:ascii="仿宋_GB2312" w:hAnsi="仿宋" w:eastAsia="仿宋_GB2312" w:cs="宋体"/>
                <w:b/>
                <w:bCs/>
                <w:color w:val="auto"/>
                <w:kern w:val="0"/>
                <w:sz w:val="24"/>
              </w:rPr>
              <w:t>2</w:t>
            </w:r>
            <w:r>
              <w:rPr>
                <w:rFonts w:ascii="仿宋_GB2312" w:hAnsi="仿宋" w:eastAsia="仿宋_GB2312" w:cs="宋体"/>
                <w:b/>
                <w:bCs/>
                <w:color w:val="auto"/>
                <w:kern w:val="0"/>
                <w:sz w:val="24"/>
              </w:rPr>
              <w:t>5</w:t>
            </w:r>
            <w:r>
              <w:rPr>
                <w:rFonts w:hint="eastAsia" w:ascii="仿宋_GB2312" w:hAnsi="仿宋" w:eastAsia="仿宋_GB2312" w:cs="宋体"/>
                <w:b/>
                <w:bCs/>
                <w:color w:val="auto"/>
                <w:kern w:val="0"/>
                <w:sz w:val="24"/>
              </w:rPr>
              <w:t>年满意率</w:t>
            </w:r>
          </w:p>
        </w:tc>
        <w:tc>
          <w:tcPr>
            <w:tcW w:w="1247" w:type="dxa"/>
            <w:tcBorders>
              <w:top w:val="single" w:color="4F81BD" w:themeColor="accent1" w:sz="8" w:space="0"/>
              <w:bottom w:val="single" w:color="4F81BD" w:themeColor="accent1" w:sz="8" w:space="0"/>
              <w:right w:val="nil"/>
              <w:insideH w:val="single" w:sz="8" w:space="0"/>
              <w:insideV w:val="nil"/>
            </w:tcBorders>
            <w:vAlign w:val="center"/>
          </w:tcPr>
          <w:p w14:paraId="30202273">
            <w:pPr>
              <w:widowControl/>
              <w:spacing w:before="0" w:after="0" w:line="240" w:lineRule="auto"/>
              <w:jc w:val="center"/>
              <w:rPr>
                <w:rFonts w:ascii="仿宋_GB2312" w:hAnsi="仿宋" w:eastAsia="仿宋_GB2312" w:cs="宋体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b/>
                <w:bCs/>
                <w:color w:val="auto"/>
                <w:kern w:val="0"/>
                <w:sz w:val="24"/>
              </w:rPr>
              <w:t>变化</w:t>
            </w:r>
          </w:p>
        </w:tc>
      </w:tr>
      <w:tr w14:paraId="117E125B">
        <w:tblPrEx>
          <w:tblBorders>
            <w:top w:val="single" w:color="4F81BD" w:themeColor="accent1" w:sz="8" w:space="0"/>
            <w:left w:val="none" w:color="auto" w:sz="0" w:space="0"/>
            <w:bottom w:val="single" w:color="4F81BD" w:themeColor="accen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835" w:type="dxa"/>
            <w:tcBorders>
              <w:left w:val="nil"/>
              <w:right w:val="nil"/>
              <w:insideV w:val="nil"/>
            </w:tcBorders>
            <w:shd w:val="clear" w:color="auto" w:fill="D3DFEE" w:themeFill="accent1" w:themeFillTint="3F"/>
            <w:noWrap/>
            <w:vAlign w:val="center"/>
          </w:tcPr>
          <w:p w14:paraId="4BA77C07">
            <w:pPr>
              <w:widowControl/>
              <w:jc w:val="left"/>
              <w:rPr>
                <w:rFonts w:ascii="仿宋_GB2312" w:hAnsi="仿宋" w:eastAsia="仿宋_GB2312" w:cs="宋体"/>
                <w:b w:val="0"/>
                <w:bCs w:val="0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b w:val="0"/>
                <w:bCs w:val="0"/>
                <w:color w:val="auto"/>
                <w:kern w:val="0"/>
                <w:sz w:val="24"/>
              </w:rPr>
              <w:t>供水接入耗时</w:t>
            </w:r>
          </w:p>
        </w:tc>
        <w:tc>
          <w:tcPr>
            <w:tcW w:w="1814" w:type="dxa"/>
            <w:tcBorders>
              <w:right w:val="nil"/>
              <w:insideV w:val="nil"/>
            </w:tcBorders>
            <w:shd w:val="clear" w:color="auto" w:fill="D3DFEE" w:themeFill="accent1" w:themeFillTint="3F"/>
            <w:noWrap/>
            <w:vAlign w:val="center"/>
          </w:tcPr>
          <w:p w14:paraId="734DFC58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ascii="仿宋_GB2312" w:eastAsia="仿宋_GB2312"/>
                <w:color w:val="auto"/>
                <w:sz w:val="24"/>
              </w:rPr>
              <w:t>100.00</w:t>
            </w:r>
            <w:r>
              <w:rPr>
                <w:rFonts w:hint="eastAsia" w:ascii="仿宋_GB2312" w:eastAsia="仿宋_GB2312"/>
                <w:color w:val="auto"/>
                <w:sz w:val="24"/>
              </w:rPr>
              <w:t>%</w:t>
            </w:r>
          </w:p>
        </w:tc>
        <w:tc>
          <w:tcPr>
            <w:tcW w:w="1814" w:type="dxa"/>
            <w:tcBorders>
              <w:right w:val="nil"/>
              <w:insideV w:val="nil"/>
            </w:tcBorders>
            <w:shd w:val="clear" w:color="auto" w:fill="D3DFEE" w:themeFill="accent1" w:themeFillTint="3F"/>
            <w:noWrap/>
            <w:vAlign w:val="center"/>
          </w:tcPr>
          <w:p w14:paraId="11D6BA14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ascii="仿宋_GB2312" w:eastAsia="仿宋_GB2312"/>
                <w:color w:val="auto"/>
                <w:sz w:val="24"/>
              </w:rPr>
              <w:t>100.00</w:t>
            </w:r>
            <w:r>
              <w:rPr>
                <w:rFonts w:hint="eastAsia" w:ascii="仿宋_GB2312" w:eastAsia="仿宋_GB2312"/>
                <w:color w:val="auto"/>
                <w:sz w:val="24"/>
              </w:rPr>
              <w:t>%</w:t>
            </w:r>
          </w:p>
        </w:tc>
        <w:tc>
          <w:tcPr>
            <w:tcW w:w="1247" w:type="dxa"/>
            <w:tcBorders>
              <w:right w:val="nil"/>
              <w:insideV w:val="nil"/>
            </w:tcBorders>
            <w:shd w:val="clear" w:color="auto" w:fill="D3DFEE" w:themeFill="accent1" w:themeFillTint="3F"/>
            <w:vAlign w:val="center"/>
          </w:tcPr>
          <w:p w14:paraId="75AD3959">
            <w:pPr>
              <w:widowControl/>
              <w:jc w:val="center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-</w:t>
            </w:r>
            <w:r>
              <w:rPr>
                <w:rFonts w:ascii="仿宋_GB2312" w:eastAsia="仿宋_GB2312"/>
                <w:color w:val="auto"/>
                <w:sz w:val="24"/>
              </w:rPr>
              <w:t>-</w:t>
            </w:r>
          </w:p>
        </w:tc>
      </w:tr>
      <w:tr w14:paraId="093EB610">
        <w:tblPrEx>
          <w:tblBorders>
            <w:top w:val="single" w:color="4F81BD" w:themeColor="accent1" w:sz="8" w:space="0"/>
            <w:left w:val="none" w:color="auto" w:sz="0" w:space="0"/>
            <w:bottom w:val="single" w:color="4F81BD" w:themeColor="accen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835" w:type="dxa"/>
            <w:noWrap/>
            <w:vAlign w:val="center"/>
          </w:tcPr>
          <w:p w14:paraId="2C92ECD3">
            <w:pPr>
              <w:widowControl/>
              <w:jc w:val="left"/>
              <w:rPr>
                <w:rFonts w:ascii="仿宋_GB2312" w:hAnsi="仿宋" w:eastAsia="仿宋_GB2312" w:cs="宋体"/>
                <w:b w:val="0"/>
                <w:bCs w:val="0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b w:val="0"/>
                <w:bCs w:val="0"/>
                <w:color w:val="auto"/>
                <w:kern w:val="0"/>
                <w:sz w:val="24"/>
              </w:rPr>
              <w:t>免费接入</w:t>
            </w:r>
          </w:p>
        </w:tc>
        <w:tc>
          <w:tcPr>
            <w:tcW w:w="1814" w:type="dxa"/>
            <w:noWrap/>
            <w:vAlign w:val="center"/>
          </w:tcPr>
          <w:p w14:paraId="1B94243C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ascii="仿宋_GB2312" w:eastAsia="仿宋_GB2312"/>
                <w:color w:val="auto"/>
                <w:sz w:val="24"/>
              </w:rPr>
              <w:t>100.00</w:t>
            </w:r>
            <w:r>
              <w:rPr>
                <w:rFonts w:hint="eastAsia" w:ascii="仿宋_GB2312" w:eastAsia="仿宋_GB2312"/>
                <w:color w:val="auto"/>
                <w:sz w:val="24"/>
              </w:rPr>
              <w:t>%</w:t>
            </w:r>
          </w:p>
        </w:tc>
        <w:tc>
          <w:tcPr>
            <w:tcW w:w="1814" w:type="dxa"/>
            <w:noWrap/>
            <w:vAlign w:val="center"/>
          </w:tcPr>
          <w:p w14:paraId="1D3ED383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ascii="仿宋_GB2312" w:eastAsia="仿宋_GB2312"/>
                <w:color w:val="auto"/>
                <w:sz w:val="24"/>
              </w:rPr>
              <w:t>100.00</w:t>
            </w:r>
            <w:r>
              <w:rPr>
                <w:rFonts w:hint="eastAsia" w:ascii="仿宋_GB2312" w:eastAsia="仿宋_GB2312"/>
                <w:color w:val="auto"/>
                <w:sz w:val="24"/>
              </w:rPr>
              <w:t>%</w:t>
            </w:r>
          </w:p>
        </w:tc>
        <w:tc>
          <w:tcPr>
            <w:tcW w:w="1247" w:type="dxa"/>
            <w:vAlign w:val="center"/>
          </w:tcPr>
          <w:p w14:paraId="0E450788">
            <w:pPr>
              <w:widowControl/>
              <w:jc w:val="center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-</w:t>
            </w:r>
            <w:r>
              <w:rPr>
                <w:rFonts w:ascii="仿宋_GB2312" w:eastAsia="仿宋_GB2312"/>
                <w:color w:val="auto"/>
                <w:sz w:val="24"/>
              </w:rPr>
              <w:t>-</w:t>
            </w:r>
          </w:p>
        </w:tc>
      </w:tr>
      <w:tr w14:paraId="68A54E59">
        <w:tblPrEx>
          <w:tblBorders>
            <w:top w:val="single" w:color="4F81BD" w:themeColor="accent1" w:sz="8" w:space="0"/>
            <w:left w:val="none" w:color="auto" w:sz="0" w:space="0"/>
            <w:bottom w:val="single" w:color="4F81BD" w:themeColor="accen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835" w:type="dxa"/>
            <w:tcBorders>
              <w:left w:val="nil"/>
              <w:right w:val="nil"/>
              <w:insideV w:val="nil"/>
            </w:tcBorders>
            <w:shd w:val="clear" w:color="auto" w:fill="D3DFEE" w:themeFill="accent1" w:themeFillTint="3F"/>
            <w:noWrap/>
            <w:vAlign w:val="center"/>
          </w:tcPr>
          <w:p w14:paraId="6D407308">
            <w:pPr>
              <w:widowControl/>
              <w:jc w:val="center"/>
              <w:rPr>
                <w:rFonts w:ascii="仿宋_GB2312" w:hAnsi="仿宋" w:eastAsia="仿宋_GB2312" w:cs="宋体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b/>
                <w:bCs/>
                <w:color w:val="auto"/>
                <w:kern w:val="0"/>
                <w:sz w:val="24"/>
              </w:rPr>
              <w:t>该指标总体</w:t>
            </w:r>
          </w:p>
        </w:tc>
        <w:tc>
          <w:tcPr>
            <w:tcW w:w="1814" w:type="dxa"/>
            <w:tcBorders>
              <w:right w:val="nil"/>
              <w:insideV w:val="nil"/>
            </w:tcBorders>
            <w:shd w:val="clear" w:color="auto" w:fill="D3DFEE" w:themeFill="accent1" w:themeFillTint="3F"/>
            <w:noWrap/>
            <w:vAlign w:val="center"/>
          </w:tcPr>
          <w:p w14:paraId="5C89FA2F">
            <w:pPr>
              <w:widowControl/>
              <w:jc w:val="center"/>
              <w:rPr>
                <w:rFonts w:ascii="仿宋_GB2312" w:eastAsia="仿宋_GB2312"/>
                <w:b/>
                <w:bCs/>
                <w:color w:val="auto"/>
                <w:sz w:val="24"/>
              </w:rPr>
            </w:pPr>
            <w:r>
              <w:rPr>
                <w:rFonts w:ascii="仿宋_GB2312" w:eastAsia="仿宋_GB2312"/>
                <w:b/>
                <w:bCs/>
                <w:color w:val="auto"/>
                <w:sz w:val="24"/>
              </w:rPr>
              <w:t>100.00</w:t>
            </w:r>
            <w:r>
              <w:rPr>
                <w:rFonts w:hint="eastAsia" w:ascii="仿宋_GB2312" w:eastAsia="仿宋_GB2312"/>
                <w:b/>
                <w:bCs/>
                <w:color w:val="auto"/>
                <w:sz w:val="24"/>
              </w:rPr>
              <w:t>%</w:t>
            </w:r>
          </w:p>
        </w:tc>
        <w:tc>
          <w:tcPr>
            <w:tcW w:w="1814" w:type="dxa"/>
            <w:tcBorders>
              <w:right w:val="nil"/>
              <w:insideV w:val="nil"/>
            </w:tcBorders>
            <w:shd w:val="clear" w:color="auto" w:fill="D3DFEE" w:themeFill="accent1" w:themeFillTint="3F"/>
            <w:noWrap/>
            <w:vAlign w:val="center"/>
          </w:tcPr>
          <w:p w14:paraId="344FB5B7">
            <w:pPr>
              <w:widowControl/>
              <w:jc w:val="center"/>
              <w:rPr>
                <w:rFonts w:ascii="仿宋_GB2312" w:eastAsia="仿宋_GB2312"/>
                <w:b/>
                <w:bCs/>
                <w:color w:val="auto"/>
                <w:sz w:val="24"/>
              </w:rPr>
            </w:pPr>
            <w:r>
              <w:rPr>
                <w:rFonts w:ascii="仿宋_GB2312" w:eastAsia="仿宋_GB2312"/>
                <w:b/>
                <w:bCs/>
                <w:color w:val="auto"/>
                <w:sz w:val="24"/>
              </w:rPr>
              <w:t>100.00</w:t>
            </w:r>
            <w:r>
              <w:rPr>
                <w:rFonts w:hint="eastAsia" w:ascii="仿宋_GB2312" w:eastAsia="仿宋_GB2312"/>
                <w:b/>
                <w:bCs/>
                <w:color w:val="auto"/>
                <w:sz w:val="24"/>
              </w:rPr>
              <w:t>%</w:t>
            </w:r>
          </w:p>
        </w:tc>
        <w:tc>
          <w:tcPr>
            <w:tcW w:w="1247" w:type="dxa"/>
            <w:tcBorders>
              <w:right w:val="nil"/>
              <w:insideV w:val="nil"/>
            </w:tcBorders>
            <w:shd w:val="clear" w:color="auto" w:fill="D3DFEE" w:themeFill="accent1" w:themeFillTint="3F"/>
            <w:vAlign w:val="center"/>
          </w:tcPr>
          <w:p w14:paraId="70FB02BF">
            <w:pPr>
              <w:widowControl/>
              <w:jc w:val="center"/>
              <w:rPr>
                <w:rFonts w:ascii="仿宋_GB2312" w:eastAsia="仿宋_GB2312"/>
                <w:b/>
                <w:bCs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-</w:t>
            </w:r>
            <w:r>
              <w:rPr>
                <w:rFonts w:ascii="仿宋_GB2312" w:eastAsia="仿宋_GB2312"/>
                <w:color w:val="auto"/>
                <w:sz w:val="24"/>
              </w:rPr>
              <w:t>-</w:t>
            </w:r>
          </w:p>
        </w:tc>
      </w:tr>
    </w:tbl>
    <w:p w14:paraId="75C0B2F4">
      <w:pPr>
        <w:ind w:firstLine="640" w:firstLineChars="200"/>
        <w:rPr>
          <w:rFonts w:ascii="仿宋_GB2312" w:eastAsia="仿宋_GB2312"/>
          <w:sz w:val="32"/>
          <w:szCs w:val="32"/>
        </w:rPr>
      </w:pPr>
    </w:p>
    <w:p w14:paraId="19C39292">
      <w:pPr>
        <w:ind w:firstLine="640" w:firstLineChars="200"/>
        <w:rPr>
          <w:rFonts w:ascii="仿宋_GB2312" w:eastAsia="仿宋_GB2312"/>
          <w:sz w:val="32"/>
          <w:szCs w:val="32"/>
        </w:rPr>
      </w:pPr>
    </w:p>
    <w:p w14:paraId="276897D6">
      <w:pPr>
        <w:ind w:firstLine="640" w:firstLineChars="200"/>
        <w:rPr>
          <w:rFonts w:ascii="仿宋_GB2312" w:eastAsia="仿宋_GB2312"/>
          <w:sz w:val="32"/>
          <w:szCs w:val="32"/>
        </w:rPr>
      </w:pPr>
    </w:p>
    <w:p w14:paraId="547406AF">
      <w:pPr>
        <w:ind w:firstLine="640" w:firstLineChars="200"/>
        <w:rPr>
          <w:rFonts w:ascii="仿宋_GB2312" w:eastAsia="仿宋_GB2312"/>
          <w:sz w:val="32"/>
          <w:szCs w:val="32"/>
        </w:rPr>
      </w:pPr>
    </w:p>
    <w:p w14:paraId="23538763">
      <w:pPr>
        <w:ind w:firstLine="640" w:firstLineChars="200"/>
        <w:rPr>
          <w:rFonts w:ascii="仿宋_GB2312" w:eastAsia="仿宋_GB2312"/>
          <w:sz w:val="32"/>
          <w:szCs w:val="32"/>
        </w:rPr>
      </w:pPr>
    </w:p>
    <w:p w14:paraId="03DF1F08">
      <w:pPr>
        <w:pStyle w:val="14"/>
        <w:jc w:val="left"/>
        <w:outlineLvl w:val="1"/>
        <w:rPr>
          <w:rFonts w:ascii="仿宋_GB2312" w:hAnsi="仿宋" w:eastAsia="仿宋_GB2312"/>
        </w:rPr>
      </w:pPr>
      <w:bookmarkStart w:id="18" w:name="_Toc145100760"/>
      <w:r>
        <w:rPr>
          <w:rFonts w:hint="eastAsia" w:ascii="仿宋_GB2312" w:hAnsi="仿宋" w:eastAsia="仿宋_GB2312"/>
        </w:rPr>
        <w:t>（二）各水司调查结果</w:t>
      </w:r>
      <w:bookmarkEnd w:id="18"/>
    </w:p>
    <w:p w14:paraId="0A543248">
      <w:pPr>
        <w:pStyle w:val="11"/>
        <w:jc w:val="left"/>
        <w:outlineLvl w:val="2"/>
        <w:rPr>
          <w:rFonts w:ascii="仿宋_GB2312" w:hAnsi="仿宋" w:eastAsia="仿宋_GB2312"/>
        </w:rPr>
      </w:pPr>
      <w:bookmarkStart w:id="19" w:name="_Toc145100761"/>
      <w:r>
        <w:rPr>
          <w:rFonts w:hint="eastAsia" w:ascii="仿宋_GB2312" w:hAnsi="仿宋" w:eastAsia="仿宋_GB2312"/>
        </w:rPr>
        <w:t>1、各</w:t>
      </w:r>
      <w:r>
        <w:rPr>
          <w:rFonts w:hint="eastAsia" w:ascii="仿宋_GB2312" w:eastAsia="仿宋_GB2312"/>
        </w:rPr>
        <w:t>水司</w:t>
      </w:r>
      <w:r>
        <w:rPr>
          <w:rFonts w:hint="eastAsia" w:ascii="仿宋_GB2312" w:hAnsi="仿宋" w:eastAsia="仿宋_GB2312"/>
        </w:rPr>
        <w:t>总体情况</w:t>
      </w:r>
      <w:bookmarkEnd w:id="19"/>
    </w:p>
    <w:p w14:paraId="01C24938"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本次调查共涵盖本市1</w:t>
      </w:r>
      <w:r>
        <w:rPr>
          <w:rFonts w:ascii="仿宋_GB2312" w:eastAsia="仿宋_GB2312"/>
          <w:sz w:val="32"/>
          <w:szCs w:val="32"/>
        </w:rPr>
        <w:t>2</w:t>
      </w:r>
      <w:r>
        <w:rPr>
          <w:rFonts w:hint="eastAsia" w:ascii="仿宋_GB2312" w:eastAsia="仿宋_GB2312"/>
          <w:sz w:val="32"/>
          <w:szCs w:val="32"/>
        </w:rPr>
        <w:t>家供水企业(简称：水司)。各水司的满意率均为</w:t>
      </w:r>
      <w:r>
        <w:rPr>
          <w:rFonts w:ascii="仿宋_GB2312" w:eastAsia="仿宋_GB2312"/>
          <w:sz w:val="32"/>
          <w:szCs w:val="32"/>
        </w:rPr>
        <w:t>100</w:t>
      </w:r>
      <w:r>
        <w:rPr>
          <w:rFonts w:hint="eastAsia" w:ascii="仿宋_GB2312" w:eastAsia="仿宋_GB2312"/>
          <w:sz w:val="32"/>
          <w:szCs w:val="32"/>
        </w:rPr>
        <w:t>%。具体情况如下：</w:t>
      </w:r>
    </w:p>
    <w:p w14:paraId="162CD0A4">
      <w:pPr>
        <w:jc w:val="center"/>
        <w:rPr>
          <w:rFonts w:ascii="仿宋_GB2312" w:eastAsia="仿宋_GB2312"/>
          <w:sz w:val="32"/>
          <w:szCs w:val="32"/>
        </w:rPr>
      </w:pPr>
      <w:r>
        <w:drawing>
          <wp:inline distT="0" distB="0" distL="0" distR="0">
            <wp:extent cx="5043805" cy="3342640"/>
            <wp:effectExtent l="0" t="0" r="0" b="0"/>
            <wp:docPr id="15" name="图表 1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14:paraId="5A0C48D8">
      <w:pPr>
        <w:tabs>
          <w:tab w:val="left" w:pos="3114"/>
        </w:tabs>
        <w:ind w:firstLine="480" w:firstLineChars="200"/>
        <w:jc w:val="left"/>
        <w:rPr>
          <w:rFonts w:ascii="楷体" w:hAnsi="楷体" w:eastAsia="楷体"/>
          <w:sz w:val="24"/>
          <w:szCs w:val="32"/>
        </w:rPr>
      </w:pPr>
      <w:r>
        <w:rPr>
          <w:rFonts w:hint="eastAsia" w:ascii="楷体" w:hAnsi="楷体" w:eastAsia="楷体"/>
          <w:sz w:val="24"/>
          <w:szCs w:val="32"/>
        </w:rPr>
        <w:t>注：因回收到各水司的样本数量不同，可能导致个别数据并不能完全真实反映情况，因此各水司之间的数据比较仅具有一定的参考意义，不具有完全的可比性。</w:t>
      </w:r>
    </w:p>
    <w:p w14:paraId="2F321665">
      <w:pPr>
        <w:pStyle w:val="11"/>
        <w:jc w:val="left"/>
        <w:outlineLvl w:val="2"/>
        <w:rPr>
          <w:rFonts w:ascii="仿宋" w:hAnsi="仿宋" w:eastAsia="仿宋"/>
        </w:rPr>
      </w:pPr>
      <w:bookmarkStart w:id="20" w:name="_Toc145100762"/>
      <w:r>
        <w:rPr>
          <w:rFonts w:hint="eastAsia" w:ascii="仿宋" w:hAnsi="仿宋" w:eastAsia="仿宋"/>
        </w:rPr>
        <w:t>2、</w:t>
      </w:r>
      <w:r>
        <w:rPr>
          <w:rFonts w:hint="eastAsia" w:ascii="仿宋_GB2312" w:hAnsi="仿宋" w:eastAsia="仿宋_GB2312"/>
        </w:rPr>
        <w:t>各</w:t>
      </w:r>
      <w:r>
        <w:rPr>
          <w:rFonts w:hint="eastAsia" w:ascii="仿宋_GB2312" w:eastAsia="仿宋_GB2312"/>
        </w:rPr>
        <w:t>水司</w:t>
      </w:r>
      <w:r>
        <w:rPr>
          <w:rFonts w:hint="eastAsia" w:ascii="仿宋" w:hAnsi="仿宋" w:eastAsia="仿宋"/>
        </w:rPr>
        <w:t>具体指标情况</w:t>
      </w:r>
      <w:bookmarkEnd w:id="20"/>
    </w:p>
    <w:p w14:paraId="434120B7">
      <w:pPr>
        <w:spacing w:before="156" w:beforeLines="50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（1）自来水奉贤</w:t>
      </w:r>
    </w:p>
    <w:tbl>
      <w:tblPr>
        <w:tblStyle w:val="18"/>
        <w:tblW w:w="8611" w:type="dxa"/>
        <w:jc w:val="center"/>
        <w:tblBorders>
          <w:top w:val="single" w:color="4F81BD" w:themeColor="accent1" w:sz="8" w:space="0"/>
          <w:left w:val="none" w:color="auto" w:sz="0" w:space="0"/>
          <w:bottom w:val="single" w:color="4F81BD" w:themeColor="accent1" w:sz="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25"/>
        <w:gridCol w:w="1245"/>
        <w:gridCol w:w="1245"/>
        <w:gridCol w:w="1245"/>
        <w:gridCol w:w="1251"/>
      </w:tblGrid>
      <w:tr w14:paraId="6D52AA86">
        <w:tblPrEx>
          <w:tblBorders>
            <w:top w:val="single" w:color="4F81BD" w:themeColor="accent1" w:sz="8" w:space="0"/>
            <w:left w:val="none" w:color="auto" w:sz="0" w:space="0"/>
            <w:bottom w:val="single" w:color="4F81BD" w:themeColor="accen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  <w:jc w:val="center"/>
        </w:trPr>
        <w:tc>
          <w:tcPr>
            <w:tcW w:w="3625" w:type="dxa"/>
            <w:tcBorders>
              <w:top w:val="single" w:color="4F81BD" w:themeColor="accent1" w:sz="8" w:space="0"/>
              <w:left w:val="nil"/>
              <w:bottom w:val="single" w:color="4F81BD" w:themeColor="accent1" w:sz="8" w:space="0"/>
              <w:right w:val="nil"/>
              <w:insideH w:val="single" w:sz="8" w:space="0"/>
              <w:insideV w:val="nil"/>
            </w:tcBorders>
            <w:noWrap/>
          </w:tcPr>
          <w:p w14:paraId="3490D29D">
            <w:pPr>
              <w:widowControl/>
              <w:spacing w:before="0" w:after="0" w:line="240" w:lineRule="auto"/>
              <w:jc w:val="center"/>
              <w:rPr>
                <w:rFonts w:ascii="仿宋_GB2312" w:hAnsi="仿宋" w:eastAsia="仿宋_GB2312" w:cs="宋体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b/>
                <w:bCs/>
                <w:color w:val="auto"/>
                <w:kern w:val="0"/>
                <w:sz w:val="24"/>
              </w:rPr>
              <w:t>指  标</w:t>
            </w:r>
          </w:p>
        </w:tc>
        <w:tc>
          <w:tcPr>
            <w:tcW w:w="1245" w:type="dxa"/>
            <w:tcBorders>
              <w:top w:val="single" w:color="4F81BD" w:themeColor="accent1" w:sz="8" w:space="0"/>
              <w:bottom w:val="single" w:color="4F81BD" w:themeColor="accent1" w:sz="8" w:space="0"/>
              <w:right w:val="nil"/>
              <w:insideH w:val="single" w:sz="8" w:space="0"/>
              <w:insideV w:val="nil"/>
            </w:tcBorders>
            <w:noWrap/>
          </w:tcPr>
          <w:p w14:paraId="32ECAB7A">
            <w:pPr>
              <w:widowControl/>
              <w:spacing w:before="0" w:after="0" w:line="240" w:lineRule="auto"/>
              <w:jc w:val="center"/>
              <w:rPr>
                <w:rFonts w:ascii="仿宋_GB2312" w:hAnsi="仿宋" w:eastAsia="仿宋_GB2312" w:cs="宋体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b/>
                <w:bCs/>
                <w:color w:val="auto"/>
                <w:kern w:val="0"/>
                <w:sz w:val="24"/>
              </w:rPr>
              <w:t>非常满意</w:t>
            </w:r>
          </w:p>
        </w:tc>
        <w:tc>
          <w:tcPr>
            <w:tcW w:w="1245" w:type="dxa"/>
            <w:tcBorders>
              <w:top w:val="single" w:color="4F81BD" w:themeColor="accent1" w:sz="8" w:space="0"/>
              <w:bottom w:val="single" w:color="4F81BD" w:themeColor="accent1" w:sz="8" w:space="0"/>
              <w:right w:val="nil"/>
              <w:insideH w:val="single" w:sz="8" w:space="0"/>
              <w:insideV w:val="nil"/>
            </w:tcBorders>
            <w:noWrap/>
          </w:tcPr>
          <w:p w14:paraId="3C7B2403">
            <w:pPr>
              <w:widowControl/>
              <w:spacing w:before="0" w:after="0" w:line="240" w:lineRule="auto"/>
              <w:jc w:val="center"/>
              <w:rPr>
                <w:rFonts w:ascii="仿宋_GB2312" w:hAnsi="仿宋" w:eastAsia="仿宋_GB2312" w:cs="宋体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b/>
                <w:bCs/>
                <w:color w:val="auto"/>
                <w:kern w:val="0"/>
                <w:sz w:val="24"/>
              </w:rPr>
              <w:t>满意</w:t>
            </w:r>
          </w:p>
        </w:tc>
        <w:tc>
          <w:tcPr>
            <w:tcW w:w="1245" w:type="dxa"/>
            <w:tcBorders>
              <w:top w:val="single" w:color="4F81BD" w:themeColor="accent1" w:sz="8" w:space="0"/>
              <w:bottom w:val="single" w:color="4F81BD" w:themeColor="accent1" w:sz="8" w:space="0"/>
              <w:right w:val="nil"/>
              <w:insideH w:val="single" w:sz="8" w:space="0"/>
              <w:insideV w:val="nil"/>
            </w:tcBorders>
            <w:noWrap/>
          </w:tcPr>
          <w:p w14:paraId="5B2165DF">
            <w:pPr>
              <w:widowControl/>
              <w:spacing w:before="0" w:after="0" w:line="240" w:lineRule="auto"/>
              <w:jc w:val="center"/>
              <w:rPr>
                <w:rFonts w:ascii="仿宋_GB2312" w:hAnsi="仿宋" w:eastAsia="仿宋_GB2312" w:cs="宋体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b/>
                <w:bCs/>
                <w:color w:val="auto"/>
                <w:kern w:val="0"/>
                <w:sz w:val="24"/>
              </w:rPr>
              <w:t>基本满意</w:t>
            </w:r>
          </w:p>
        </w:tc>
        <w:tc>
          <w:tcPr>
            <w:tcW w:w="1251" w:type="dxa"/>
            <w:tcBorders>
              <w:top w:val="single" w:color="4F81BD" w:themeColor="accent1" w:sz="8" w:space="0"/>
              <w:bottom w:val="single" w:color="4F81BD" w:themeColor="accent1" w:sz="8" w:space="0"/>
              <w:right w:val="nil"/>
              <w:insideH w:val="single" w:sz="8" w:space="0"/>
              <w:insideV w:val="nil"/>
            </w:tcBorders>
            <w:noWrap/>
          </w:tcPr>
          <w:p w14:paraId="2B4E1399">
            <w:pPr>
              <w:widowControl/>
              <w:spacing w:before="0" w:after="0" w:line="240" w:lineRule="auto"/>
              <w:jc w:val="center"/>
              <w:rPr>
                <w:rFonts w:ascii="仿宋_GB2312" w:hAnsi="仿宋" w:eastAsia="仿宋_GB2312" w:cs="宋体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b/>
                <w:bCs/>
                <w:color w:val="auto"/>
                <w:kern w:val="0"/>
                <w:sz w:val="24"/>
              </w:rPr>
              <w:t>不满意</w:t>
            </w:r>
          </w:p>
        </w:tc>
      </w:tr>
      <w:tr w14:paraId="41C47780">
        <w:tblPrEx>
          <w:tblBorders>
            <w:top w:val="single" w:color="4F81BD" w:themeColor="accent1" w:sz="8" w:space="0"/>
            <w:left w:val="none" w:color="auto" w:sz="0" w:space="0"/>
            <w:bottom w:val="single" w:color="4F81BD" w:themeColor="accen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  <w:jc w:val="center"/>
        </w:trPr>
        <w:tc>
          <w:tcPr>
            <w:tcW w:w="3625" w:type="dxa"/>
            <w:tcBorders>
              <w:left w:val="nil"/>
              <w:right w:val="nil"/>
              <w:insideV w:val="nil"/>
            </w:tcBorders>
            <w:shd w:val="clear" w:color="auto" w:fill="D3DFEE" w:themeFill="accent1" w:themeFillTint="3F"/>
            <w:noWrap/>
          </w:tcPr>
          <w:p w14:paraId="1764BDA2">
            <w:pPr>
              <w:widowControl/>
              <w:jc w:val="left"/>
              <w:rPr>
                <w:rFonts w:ascii="仿宋_GB2312" w:hAnsi="仿宋" w:eastAsia="仿宋_GB2312" w:cs="宋体"/>
                <w:b w:val="0"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b w:val="0"/>
                <w:bCs/>
                <w:color w:val="auto"/>
                <w:kern w:val="0"/>
                <w:sz w:val="24"/>
              </w:rPr>
              <w:t>前期咨询和申请受理</w:t>
            </w:r>
          </w:p>
        </w:tc>
        <w:tc>
          <w:tcPr>
            <w:tcW w:w="1245" w:type="dxa"/>
            <w:tcBorders>
              <w:right w:val="nil"/>
              <w:insideV w:val="nil"/>
            </w:tcBorders>
            <w:shd w:val="clear" w:color="auto" w:fill="D3DFEE" w:themeFill="accent1" w:themeFillTint="3F"/>
            <w:noWrap/>
            <w:vAlign w:val="center"/>
          </w:tcPr>
          <w:p w14:paraId="0ECBB982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kern w:val="0"/>
                <w:sz w:val="24"/>
              </w:rPr>
              <w:t>46.30%</w:t>
            </w:r>
          </w:p>
        </w:tc>
        <w:tc>
          <w:tcPr>
            <w:tcW w:w="1245" w:type="dxa"/>
            <w:tcBorders>
              <w:right w:val="nil"/>
              <w:insideV w:val="nil"/>
            </w:tcBorders>
            <w:shd w:val="clear" w:color="auto" w:fill="D3DFEE" w:themeFill="accent1" w:themeFillTint="3F"/>
            <w:noWrap/>
            <w:vAlign w:val="center"/>
          </w:tcPr>
          <w:p w14:paraId="389878E8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kern w:val="0"/>
                <w:sz w:val="24"/>
              </w:rPr>
              <w:t>53.70%</w:t>
            </w:r>
          </w:p>
        </w:tc>
        <w:tc>
          <w:tcPr>
            <w:tcW w:w="1245" w:type="dxa"/>
            <w:tcBorders>
              <w:right w:val="nil"/>
              <w:insideV w:val="nil"/>
            </w:tcBorders>
            <w:shd w:val="clear" w:color="auto" w:fill="D3DFEE" w:themeFill="accent1" w:themeFillTint="3F"/>
            <w:noWrap/>
            <w:vAlign w:val="center"/>
          </w:tcPr>
          <w:p w14:paraId="4C633D76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kern w:val="0"/>
                <w:sz w:val="24"/>
              </w:rPr>
              <w:t>0.00%</w:t>
            </w:r>
          </w:p>
        </w:tc>
        <w:tc>
          <w:tcPr>
            <w:tcW w:w="1251" w:type="dxa"/>
            <w:tcBorders>
              <w:right w:val="nil"/>
              <w:insideV w:val="nil"/>
            </w:tcBorders>
            <w:shd w:val="clear" w:color="auto" w:fill="D3DFEE" w:themeFill="accent1" w:themeFillTint="3F"/>
            <w:noWrap/>
            <w:vAlign w:val="center"/>
          </w:tcPr>
          <w:p w14:paraId="1639C843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kern w:val="0"/>
                <w:sz w:val="24"/>
              </w:rPr>
              <w:t>0.00%</w:t>
            </w:r>
          </w:p>
        </w:tc>
      </w:tr>
      <w:tr w14:paraId="1370EE1C">
        <w:tblPrEx>
          <w:tblBorders>
            <w:top w:val="single" w:color="4F81BD" w:themeColor="accent1" w:sz="8" w:space="0"/>
            <w:left w:val="none" w:color="auto" w:sz="0" w:space="0"/>
            <w:bottom w:val="single" w:color="4F81BD" w:themeColor="accen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  <w:jc w:val="center"/>
        </w:trPr>
        <w:tc>
          <w:tcPr>
            <w:tcW w:w="3625" w:type="dxa"/>
            <w:noWrap/>
          </w:tcPr>
          <w:p w14:paraId="29293614">
            <w:pPr>
              <w:widowControl/>
              <w:jc w:val="left"/>
              <w:rPr>
                <w:rFonts w:ascii="仿宋_GB2312" w:hAnsi="仿宋" w:eastAsia="仿宋_GB2312" w:cs="宋体"/>
                <w:b w:val="0"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b w:val="0"/>
                <w:bCs/>
                <w:color w:val="auto"/>
                <w:kern w:val="0"/>
                <w:sz w:val="24"/>
              </w:rPr>
              <w:t>现场查勘和编制/复核供水方案</w:t>
            </w:r>
          </w:p>
        </w:tc>
        <w:tc>
          <w:tcPr>
            <w:tcW w:w="1245" w:type="dxa"/>
            <w:noWrap/>
            <w:vAlign w:val="center"/>
          </w:tcPr>
          <w:p w14:paraId="2D0C692B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kern w:val="0"/>
                <w:sz w:val="24"/>
              </w:rPr>
              <w:t>38.89%</w:t>
            </w:r>
          </w:p>
        </w:tc>
        <w:tc>
          <w:tcPr>
            <w:tcW w:w="1245" w:type="dxa"/>
            <w:noWrap/>
            <w:vAlign w:val="center"/>
          </w:tcPr>
          <w:p w14:paraId="502B7089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kern w:val="0"/>
                <w:sz w:val="24"/>
              </w:rPr>
              <w:t>61.11%</w:t>
            </w:r>
          </w:p>
        </w:tc>
        <w:tc>
          <w:tcPr>
            <w:tcW w:w="1245" w:type="dxa"/>
            <w:noWrap/>
            <w:vAlign w:val="center"/>
          </w:tcPr>
          <w:p w14:paraId="2D891069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kern w:val="0"/>
                <w:sz w:val="24"/>
              </w:rPr>
              <w:t>0.00%</w:t>
            </w:r>
          </w:p>
        </w:tc>
        <w:tc>
          <w:tcPr>
            <w:tcW w:w="1251" w:type="dxa"/>
            <w:noWrap/>
            <w:vAlign w:val="center"/>
          </w:tcPr>
          <w:p w14:paraId="7E476169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kern w:val="0"/>
                <w:sz w:val="24"/>
              </w:rPr>
              <w:t>0.00%</w:t>
            </w:r>
          </w:p>
        </w:tc>
      </w:tr>
      <w:tr w14:paraId="7DEE5DAC">
        <w:tblPrEx>
          <w:tblBorders>
            <w:top w:val="single" w:color="4F81BD" w:themeColor="accent1" w:sz="8" w:space="0"/>
            <w:left w:val="none" w:color="auto" w:sz="0" w:space="0"/>
            <w:bottom w:val="single" w:color="4F81BD" w:themeColor="accen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  <w:jc w:val="center"/>
        </w:trPr>
        <w:tc>
          <w:tcPr>
            <w:tcW w:w="3625" w:type="dxa"/>
            <w:tcBorders>
              <w:left w:val="nil"/>
              <w:right w:val="nil"/>
              <w:insideV w:val="nil"/>
            </w:tcBorders>
            <w:shd w:val="clear" w:color="auto" w:fill="D3DFEE" w:themeFill="accent1" w:themeFillTint="3F"/>
            <w:noWrap/>
          </w:tcPr>
          <w:p w14:paraId="6E6B707A">
            <w:pPr>
              <w:widowControl/>
              <w:jc w:val="left"/>
              <w:rPr>
                <w:rFonts w:ascii="仿宋_GB2312" w:hAnsi="仿宋" w:eastAsia="仿宋_GB2312" w:cs="宋体"/>
                <w:b w:val="0"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b w:val="0"/>
                <w:bCs/>
                <w:color w:val="auto"/>
                <w:kern w:val="0"/>
                <w:sz w:val="24"/>
              </w:rPr>
              <w:t>工程质量验收</w:t>
            </w:r>
          </w:p>
        </w:tc>
        <w:tc>
          <w:tcPr>
            <w:tcW w:w="1245" w:type="dxa"/>
            <w:tcBorders>
              <w:right w:val="nil"/>
              <w:insideV w:val="nil"/>
            </w:tcBorders>
            <w:shd w:val="clear" w:color="auto" w:fill="D3DFEE" w:themeFill="accent1" w:themeFillTint="3F"/>
            <w:noWrap/>
            <w:vAlign w:val="center"/>
          </w:tcPr>
          <w:p w14:paraId="2AC6DD07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kern w:val="0"/>
                <w:sz w:val="24"/>
              </w:rPr>
              <w:t>46.30%</w:t>
            </w:r>
          </w:p>
        </w:tc>
        <w:tc>
          <w:tcPr>
            <w:tcW w:w="1245" w:type="dxa"/>
            <w:tcBorders>
              <w:right w:val="nil"/>
              <w:insideV w:val="nil"/>
            </w:tcBorders>
            <w:shd w:val="clear" w:color="auto" w:fill="D3DFEE" w:themeFill="accent1" w:themeFillTint="3F"/>
            <w:noWrap/>
            <w:vAlign w:val="center"/>
          </w:tcPr>
          <w:p w14:paraId="2A1A0DD1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kern w:val="0"/>
                <w:sz w:val="24"/>
              </w:rPr>
              <w:t>53.70%</w:t>
            </w:r>
          </w:p>
        </w:tc>
        <w:tc>
          <w:tcPr>
            <w:tcW w:w="1245" w:type="dxa"/>
            <w:tcBorders>
              <w:right w:val="nil"/>
              <w:insideV w:val="nil"/>
            </w:tcBorders>
            <w:shd w:val="clear" w:color="auto" w:fill="D3DFEE" w:themeFill="accent1" w:themeFillTint="3F"/>
            <w:noWrap/>
            <w:vAlign w:val="center"/>
          </w:tcPr>
          <w:p w14:paraId="4490CE36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kern w:val="0"/>
                <w:sz w:val="24"/>
              </w:rPr>
              <w:t>0.00%</w:t>
            </w:r>
          </w:p>
        </w:tc>
        <w:tc>
          <w:tcPr>
            <w:tcW w:w="1251" w:type="dxa"/>
            <w:tcBorders>
              <w:right w:val="nil"/>
              <w:insideV w:val="nil"/>
            </w:tcBorders>
            <w:shd w:val="clear" w:color="auto" w:fill="D3DFEE" w:themeFill="accent1" w:themeFillTint="3F"/>
            <w:noWrap/>
            <w:vAlign w:val="center"/>
          </w:tcPr>
          <w:p w14:paraId="0243CBCE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kern w:val="0"/>
                <w:sz w:val="24"/>
              </w:rPr>
              <w:t>0.00%</w:t>
            </w:r>
          </w:p>
        </w:tc>
      </w:tr>
      <w:tr w14:paraId="5FFC18D3">
        <w:tblPrEx>
          <w:tblBorders>
            <w:top w:val="single" w:color="4F81BD" w:themeColor="accent1" w:sz="8" w:space="0"/>
            <w:left w:val="none" w:color="auto" w:sz="0" w:space="0"/>
            <w:bottom w:val="single" w:color="4F81BD" w:themeColor="accen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  <w:jc w:val="center"/>
        </w:trPr>
        <w:tc>
          <w:tcPr>
            <w:tcW w:w="3625" w:type="dxa"/>
            <w:noWrap/>
          </w:tcPr>
          <w:p w14:paraId="3C8C8666">
            <w:pPr>
              <w:widowControl/>
              <w:jc w:val="left"/>
              <w:rPr>
                <w:rFonts w:ascii="仿宋_GB2312" w:hAnsi="仿宋" w:eastAsia="仿宋_GB2312" w:cs="宋体"/>
                <w:b w:val="0"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b w:val="0"/>
                <w:bCs/>
                <w:color w:val="auto"/>
                <w:kern w:val="0"/>
                <w:sz w:val="24"/>
              </w:rPr>
              <w:t>签订供用水合同</w:t>
            </w:r>
          </w:p>
        </w:tc>
        <w:tc>
          <w:tcPr>
            <w:tcW w:w="1245" w:type="dxa"/>
            <w:noWrap/>
            <w:vAlign w:val="center"/>
          </w:tcPr>
          <w:p w14:paraId="760CCBA5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kern w:val="0"/>
                <w:sz w:val="24"/>
              </w:rPr>
              <w:t>44.44%</w:t>
            </w:r>
          </w:p>
        </w:tc>
        <w:tc>
          <w:tcPr>
            <w:tcW w:w="1245" w:type="dxa"/>
            <w:noWrap/>
            <w:vAlign w:val="center"/>
          </w:tcPr>
          <w:p w14:paraId="63ED7BEA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kern w:val="0"/>
                <w:sz w:val="24"/>
              </w:rPr>
              <w:t>55.56%</w:t>
            </w:r>
          </w:p>
        </w:tc>
        <w:tc>
          <w:tcPr>
            <w:tcW w:w="1245" w:type="dxa"/>
            <w:noWrap/>
            <w:vAlign w:val="center"/>
          </w:tcPr>
          <w:p w14:paraId="28B7AD54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kern w:val="0"/>
                <w:sz w:val="24"/>
              </w:rPr>
              <w:t>0.00%</w:t>
            </w:r>
          </w:p>
        </w:tc>
        <w:tc>
          <w:tcPr>
            <w:tcW w:w="1251" w:type="dxa"/>
            <w:noWrap/>
            <w:vAlign w:val="center"/>
          </w:tcPr>
          <w:p w14:paraId="298149E1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kern w:val="0"/>
                <w:sz w:val="24"/>
              </w:rPr>
              <w:t>0.00%</w:t>
            </w:r>
          </w:p>
        </w:tc>
      </w:tr>
      <w:tr w14:paraId="51A8D51D">
        <w:tblPrEx>
          <w:tblBorders>
            <w:top w:val="single" w:color="4F81BD" w:themeColor="accent1" w:sz="8" w:space="0"/>
            <w:left w:val="none" w:color="auto" w:sz="0" w:space="0"/>
            <w:bottom w:val="single" w:color="4F81BD" w:themeColor="accen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  <w:jc w:val="center"/>
        </w:trPr>
        <w:tc>
          <w:tcPr>
            <w:tcW w:w="3625" w:type="dxa"/>
            <w:tcBorders>
              <w:left w:val="nil"/>
              <w:right w:val="nil"/>
              <w:insideV w:val="nil"/>
            </w:tcBorders>
            <w:shd w:val="clear" w:color="auto" w:fill="D3DFEE" w:themeFill="accent1" w:themeFillTint="3F"/>
            <w:noWrap/>
          </w:tcPr>
          <w:p w14:paraId="6551398E">
            <w:pPr>
              <w:widowControl/>
              <w:jc w:val="left"/>
              <w:rPr>
                <w:rFonts w:ascii="仿宋_GB2312" w:hAnsi="仿宋" w:eastAsia="仿宋_GB2312" w:cs="宋体"/>
                <w:b w:val="0"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b w:val="0"/>
                <w:bCs/>
                <w:color w:val="auto"/>
                <w:kern w:val="0"/>
                <w:sz w:val="24"/>
              </w:rPr>
              <w:t>总体服务</w:t>
            </w:r>
          </w:p>
        </w:tc>
        <w:tc>
          <w:tcPr>
            <w:tcW w:w="1245" w:type="dxa"/>
            <w:tcBorders>
              <w:right w:val="nil"/>
              <w:insideV w:val="nil"/>
            </w:tcBorders>
            <w:shd w:val="clear" w:color="auto" w:fill="D3DFEE" w:themeFill="accent1" w:themeFillTint="3F"/>
            <w:noWrap/>
            <w:vAlign w:val="center"/>
          </w:tcPr>
          <w:p w14:paraId="7819F3CB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kern w:val="0"/>
                <w:sz w:val="24"/>
              </w:rPr>
              <w:t>44.44%</w:t>
            </w:r>
          </w:p>
        </w:tc>
        <w:tc>
          <w:tcPr>
            <w:tcW w:w="1245" w:type="dxa"/>
            <w:tcBorders>
              <w:right w:val="nil"/>
              <w:insideV w:val="nil"/>
            </w:tcBorders>
            <w:shd w:val="clear" w:color="auto" w:fill="D3DFEE" w:themeFill="accent1" w:themeFillTint="3F"/>
            <w:noWrap/>
            <w:vAlign w:val="center"/>
          </w:tcPr>
          <w:p w14:paraId="16AAB294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kern w:val="0"/>
                <w:sz w:val="24"/>
              </w:rPr>
              <w:t>55.56%</w:t>
            </w:r>
          </w:p>
        </w:tc>
        <w:tc>
          <w:tcPr>
            <w:tcW w:w="1245" w:type="dxa"/>
            <w:tcBorders>
              <w:right w:val="nil"/>
              <w:insideV w:val="nil"/>
            </w:tcBorders>
            <w:shd w:val="clear" w:color="auto" w:fill="D3DFEE" w:themeFill="accent1" w:themeFillTint="3F"/>
            <w:noWrap/>
            <w:vAlign w:val="center"/>
          </w:tcPr>
          <w:p w14:paraId="2D9186BF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kern w:val="0"/>
                <w:sz w:val="24"/>
              </w:rPr>
              <w:t>0.00%</w:t>
            </w:r>
          </w:p>
        </w:tc>
        <w:tc>
          <w:tcPr>
            <w:tcW w:w="1251" w:type="dxa"/>
            <w:tcBorders>
              <w:right w:val="nil"/>
              <w:insideV w:val="nil"/>
            </w:tcBorders>
            <w:shd w:val="clear" w:color="auto" w:fill="D3DFEE" w:themeFill="accent1" w:themeFillTint="3F"/>
            <w:noWrap/>
            <w:vAlign w:val="center"/>
          </w:tcPr>
          <w:p w14:paraId="42EB22F4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kern w:val="0"/>
                <w:sz w:val="24"/>
              </w:rPr>
              <w:t>0.00%</w:t>
            </w:r>
          </w:p>
        </w:tc>
      </w:tr>
      <w:tr w14:paraId="5987B704">
        <w:tblPrEx>
          <w:tblBorders>
            <w:top w:val="single" w:color="4F81BD" w:themeColor="accent1" w:sz="8" w:space="0"/>
            <w:left w:val="none" w:color="auto" w:sz="0" w:space="0"/>
            <w:bottom w:val="single" w:color="4F81BD" w:themeColor="accen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  <w:jc w:val="center"/>
        </w:trPr>
        <w:tc>
          <w:tcPr>
            <w:tcW w:w="3625" w:type="dxa"/>
            <w:noWrap/>
          </w:tcPr>
          <w:p w14:paraId="550497A5">
            <w:pPr>
              <w:widowControl/>
              <w:jc w:val="center"/>
              <w:rPr>
                <w:rFonts w:ascii="仿宋_GB2312" w:hAnsi="仿宋" w:eastAsia="仿宋_GB2312" w:cs="宋体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b/>
                <w:bCs/>
                <w:color w:val="auto"/>
                <w:kern w:val="0"/>
                <w:sz w:val="24"/>
              </w:rPr>
              <w:t>总体满意率</w:t>
            </w:r>
          </w:p>
        </w:tc>
        <w:tc>
          <w:tcPr>
            <w:tcW w:w="4986" w:type="dxa"/>
            <w:gridSpan w:val="4"/>
            <w:noWrap/>
          </w:tcPr>
          <w:p w14:paraId="2C3A742D">
            <w:pPr>
              <w:widowControl/>
              <w:jc w:val="center"/>
              <w:rPr>
                <w:rFonts w:ascii="仿宋_GB2312" w:hAnsi="仿宋" w:eastAsia="仿宋_GB2312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b/>
                <w:bCs/>
                <w:color w:val="auto"/>
                <w:kern w:val="0"/>
                <w:sz w:val="24"/>
              </w:rPr>
              <w:t>100.00%</w:t>
            </w:r>
          </w:p>
        </w:tc>
      </w:tr>
    </w:tbl>
    <w:p w14:paraId="08E949C5">
      <w:pPr>
        <w:rPr>
          <w:rFonts w:ascii="仿宋_GB2312" w:eastAsia="仿宋_GB2312"/>
          <w:b/>
          <w:sz w:val="32"/>
          <w:szCs w:val="32"/>
        </w:rPr>
      </w:pPr>
    </w:p>
    <w:p w14:paraId="2F91FCB4">
      <w:pPr>
        <w:spacing w:before="156" w:beforeLines="50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（2）嘉定自来水</w:t>
      </w:r>
    </w:p>
    <w:tbl>
      <w:tblPr>
        <w:tblStyle w:val="18"/>
        <w:tblW w:w="8577" w:type="dxa"/>
        <w:jc w:val="center"/>
        <w:tblBorders>
          <w:top w:val="single" w:color="4F81BD" w:themeColor="accent1" w:sz="8" w:space="0"/>
          <w:left w:val="none" w:color="auto" w:sz="0" w:space="0"/>
          <w:bottom w:val="single" w:color="4F81BD" w:themeColor="accent1" w:sz="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11"/>
        <w:gridCol w:w="1241"/>
        <w:gridCol w:w="1241"/>
        <w:gridCol w:w="1241"/>
        <w:gridCol w:w="1243"/>
      </w:tblGrid>
      <w:tr w14:paraId="5FD7BA68">
        <w:tblPrEx>
          <w:tblBorders>
            <w:top w:val="single" w:color="4F81BD" w:themeColor="accent1" w:sz="8" w:space="0"/>
            <w:left w:val="none" w:color="auto" w:sz="0" w:space="0"/>
            <w:bottom w:val="single" w:color="4F81BD" w:themeColor="accen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  <w:jc w:val="center"/>
        </w:trPr>
        <w:tc>
          <w:tcPr>
            <w:tcW w:w="3611" w:type="dxa"/>
            <w:tcBorders>
              <w:top w:val="single" w:color="4F81BD" w:themeColor="accent1" w:sz="8" w:space="0"/>
              <w:left w:val="nil"/>
              <w:bottom w:val="single" w:color="4F81BD" w:themeColor="accent1" w:sz="8" w:space="0"/>
              <w:right w:val="nil"/>
              <w:insideH w:val="single" w:sz="8" w:space="0"/>
              <w:insideV w:val="nil"/>
            </w:tcBorders>
            <w:noWrap/>
          </w:tcPr>
          <w:p w14:paraId="50D88C2F">
            <w:pPr>
              <w:widowControl/>
              <w:spacing w:before="0" w:after="0" w:line="240" w:lineRule="auto"/>
              <w:jc w:val="center"/>
              <w:rPr>
                <w:rFonts w:ascii="仿宋_GB2312" w:hAnsi="仿宋" w:eastAsia="仿宋_GB2312" w:cs="宋体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b/>
                <w:bCs/>
                <w:color w:val="auto"/>
                <w:kern w:val="0"/>
                <w:sz w:val="24"/>
              </w:rPr>
              <w:t>指  标</w:t>
            </w:r>
          </w:p>
        </w:tc>
        <w:tc>
          <w:tcPr>
            <w:tcW w:w="1241" w:type="dxa"/>
            <w:tcBorders>
              <w:top w:val="single" w:color="4F81BD" w:themeColor="accent1" w:sz="8" w:space="0"/>
              <w:bottom w:val="single" w:color="4F81BD" w:themeColor="accent1" w:sz="8" w:space="0"/>
              <w:right w:val="nil"/>
              <w:insideH w:val="single" w:sz="8" w:space="0"/>
              <w:insideV w:val="nil"/>
            </w:tcBorders>
            <w:noWrap/>
          </w:tcPr>
          <w:p w14:paraId="1E86B886">
            <w:pPr>
              <w:widowControl/>
              <w:spacing w:before="0" w:after="0" w:line="240" w:lineRule="auto"/>
              <w:jc w:val="center"/>
              <w:rPr>
                <w:rFonts w:ascii="仿宋_GB2312" w:hAnsi="仿宋" w:eastAsia="仿宋_GB2312" w:cs="宋体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b/>
                <w:bCs/>
                <w:color w:val="auto"/>
                <w:kern w:val="0"/>
                <w:sz w:val="24"/>
              </w:rPr>
              <w:t>非常满意</w:t>
            </w:r>
          </w:p>
        </w:tc>
        <w:tc>
          <w:tcPr>
            <w:tcW w:w="1241" w:type="dxa"/>
            <w:tcBorders>
              <w:top w:val="single" w:color="4F81BD" w:themeColor="accent1" w:sz="8" w:space="0"/>
              <w:bottom w:val="single" w:color="4F81BD" w:themeColor="accent1" w:sz="8" w:space="0"/>
              <w:right w:val="nil"/>
              <w:insideH w:val="single" w:sz="8" w:space="0"/>
              <w:insideV w:val="nil"/>
            </w:tcBorders>
            <w:noWrap/>
          </w:tcPr>
          <w:p w14:paraId="3161B12A">
            <w:pPr>
              <w:widowControl/>
              <w:spacing w:before="0" w:after="0" w:line="240" w:lineRule="auto"/>
              <w:jc w:val="center"/>
              <w:rPr>
                <w:rFonts w:ascii="仿宋_GB2312" w:hAnsi="仿宋" w:eastAsia="仿宋_GB2312" w:cs="宋体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b/>
                <w:bCs/>
                <w:color w:val="auto"/>
                <w:kern w:val="0"/>
                <w:sz w:val="24"/>
              </w:rPr>
              <w:t>满意</w:t>
            </w:r>
          </w:p>
        </w:tc>
        <w:tc>
          <w:tcPr>
            <w:tcW w:w="1241" w:type="dxa"/>
            <w:tcBorders>
              <w:top w:val="single" w:color="4F81BD" w:themeColor="accent1" w:sz="8" w:space="0"/>
              <w:bottom w:val="single" w:color="4F81BD" w:themeColor="accent1" w:sz="8" w:space="0"/>
              <w:right w:val="nil"/>
              <w:insideH w:val="single" w:sz="8" w:space="0"/>
              <w:insideV w:val="nil"/>
            </w:tcBorders>
            <w:noWrap/>
          </w:tcPr>
          <w:p w14:paraId="0BD672DA">
            <w:pPr>
              <w:widowControl/>
              <w:spacing w:before="0" w:after="0" w:line="240" w:lineRule="auto"/>
              <w:jc w:val="center"/>
              <w:rPr>
                <w:rFonts w:ascii="仿宋_GB2312" w:hAnsi="仿宋" w:eastAsia="仿宋_GB2312" w:cs="宋体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b/>
                <w:bCs/>
                <w:color w:val="auto"/>
                <w:kern w:val="0"/>
                <w:sz w:val="24"/>
              </w:rPr>
              <w:t>基本满意</w:t>
            </w:r>
          </w:p>
        </w:tc>
        <w:tc>
          <w:tcPr>
            <w:tcW w:w="1243" w:type="dxa"/>
            <w:tcBorders>
              <w:top w:val="single" w:color="4F81BD" w:themeColor="accent1" w:sz="8" w:space="0"/>
              <w:bottom w:val="single" w:color="4F81BD" w:themeColor="accent1" w:sz="8" w:space="0"/>
              <w:right w:val="nil"/>
              <w:insideH w:val="single" w:sz="8" w:space="0"/>
              <w:insideV w:val="nil"/>
            </w:tcBorders>
            <w:noWrap/>
          </w:tcPr>
          <w:p w14:paraId="3D00B976">
            <w:pPr>
              <w:widowControl/>
              <w:spacing w:before="0" w:after="0" w:line="240" w:lineRule="auto"/>
              <w:jc w:val="center"/>
              <w:rPr>
                <w:rFonts w:ascii="仿宋_GB2312" w:hAnsi="仿宋" w:eastAsia="仿宋_GB2312" w:cs="宋体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b/>
                <w:bCs/>
                <w:color w:val="auto"/>
                <w:kern w:val="0"/>
                <w:sz w:val="24"/>
              </w:rPr>
              <w:t>不满意</w:t>
            </w:r>
          </w:p>
        </w:tc>
      </w:tr>
      <w:tr w14:paraId="67125237">
        <w:tblPrEx>
          <w:tblBorders>
            <w:top w:val="single" w:color="4F81BD" w:themeColor="accent1" w:sz="8" w:space="0"/>
            <w:left w:val="none" w:color="auto" w:sz="0" w:space="0"/>
            <w:bottom w:val="single" w:color="4F81BD" w:themeColor="accen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  <w:jc w:val="center"/>
        </w:trPr>
        <w:tc>
          <w:tcPr>
            <w:tcW w:w="3611" w:type="dxa"/>
            <w:tcBorders>
              <w:left w:val="nil"/>
              <w:right w:val="nil"/>
              <w:insideV w:val="nil"/>
            </w:tcBorders>
            <w:shd w:val="clear" w:color="auto" w:fill="D3DFEE" w:themeFill="accent1" w:themeFillTint="3F"/>
            <w:noWrap/>
          </w:tcPr>
          <w:p w14:paraId="7217201D">
            <w:pPr>
              <w:widowControl/>
              <w:jc w:val="left"/>
              <w:rPr>
                <w:rFonts w:ascii="仿宋_GB2312" w:hAnsi="仿宋" w:eastAsia="仿宋_GB2312" w:cs="宋体"/>
                <w:b w:val="0"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b w:val="0"/>
                <w:bCs/>
                <w:color w:val="auto"/>
                <w:kern w:val="0"/>
                <w:sz w:val="24"/>
              </w:rPr>
              <w:t>前期咨询和申请受理</w:t>
            </w:r>
          </w:p>
        </w:tc>
        <w:tc>
          <w:tcPr>
            <w:tcW w:w="1241" w:type="dxa"/>
            <w:tcBorders>
              <w:right w:val="nil"/>
              <w:insideV w:val="nil"/>
            </w:tcBorders>
            <w:shd w:val="clear" w:color="auto" w:fill="D3DFEE" w:themeFill="accent1" w:themeFillTint="3F"/>
            <w:noWrap/>
            <w:vAlign w:val="center"/>
          </w:tcPr>
          <w:p w14:paraId="7C37EDCB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kern w:val="0"/>
                <w:sz w:val="24"/>
              </w:rPr>
              <w:t>59.42%</w:t>
            </w:r>
          </w:p>
        </w:tc>
        <w:tc>
          <w:tcPr>
            <w:tcW w:w="1241" w:type="dxa"/>
            <w:tcBorders>
              <w:right w:val="nil"/>
              <w:insideV w:val="nil"/>
            </w:tcBorders>
            <w:shd w:val="clear" w:color="auto" w:fill="D3DFEE" w:themeFill="accent1" w:themeFillTint="3F"/>
            <w:noWrap/>
            <w:vAlign w:val="center"/>
          </w:tcPr>
          <w:p w14:paraId="08AA8F4B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kern w:val="0"/>
                <w:sz w:val="24"/>
              </w:rPr>
              <w:t>40.58%</w:t>
            </w:r>
          </w:p>
        </w:tc>
        <w:tc>
          <w:tcPr>
            <w:tcW w:w="1241" w:type="dxa"/>
            <w:tcBorders>
              <w:right w:val="nil"/>
              <w:insideV w:val="nil"/>
            </w:tcBorders>
            <w:shd w:val="clear" w:color="auto" w:fill="D3DFEE" w:themeFill="accent1" w:themeFillTint="3F"/>
            <w:noWrap/>
            <w:vAlign w:val="center"/>
          </w:tcPr>
          <w:p w14:paraId="1247DE2E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kern w:val="0"/>
                <w:sz w:val="24"/>
              </w:rPr>
              <w:t>0.00%</w:t>
            </w:r>
          </w:p>
        </w:tc>
        <w:tc>
          <w:tcPr>
            <w:tcW w:w="1243" w:type="dxa"/>
            <w:tcBorders>
              <w:right w:val="nil"/>
              <w:insideV w:val="nil"/>
            </w:tcBorders>
            <w:shd w:val="clear" w:color="auto" w:fill="D3DFEE" w:themeFill="accent1" w:themeFillTint="3F"/>
            <w:noWrap/>
          </w:tcPr>
          <w:p w14:paraId="6A234B72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kern w:val="0"/>
                <w:sz w:val="24"/>
              </w:rPr>
              <w:t>0.00%</w:t>
            </w:r>
          </w:p>
        </w:tc>
      </w:tr>
      <w:tr w14:paraId="1CDBA6BC">
        <w:tblPrEx>
          <w:tblBorders>
            <w:top w:val="single" w:color="4F81BD" w:themeColor="accent1" w:sz="8" w:space="0"/>
            <w:left w:val="none" w:color="auto" w:sz="0" w:space="0"/>
            <w:bottom w:val="single" w:color="4F81BD" w:themeColor="accen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  <w:jc w:val="center"/>
        </w:trPr>
        <w:tc>
          <w:tcPr>
            <w:tcW w:w="3611" w:type="dxa"/>
            <w:noWrap/>
          </w:tcPr>
          <w:p w14:paraId="44E90735">
            <w:pPr>
              <w:widowControl/>
              <w:jc w:val="left"/>
              <w:rPr>
                <w:rFonts w:ascii="仿宋_GB2312" w:hAnsi="仿宋" w:eastAsia="仿宋_GB2312" w:cs="宋体"/>
                <w:b w:val="0"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b w:val="0"/>
                <w:bCs/>
                <w:color w:val="auto"/>
                <w:kern w:val="0"/>
                <w:sz w:val="24"/>
              </w:rPr>
              <w:t>现场查勘和编制/复核供水方案</w:t>
            </w:r>
          </w:p>
        </w:tc>
        <w:tc>
          <w:tcPr>
            <w:tcW w:w="1241" w:type="dxa"/>
            <w:noWrap/>
            <w:vAlign w:val="center"/>
          </w:tcPr>
          <w:p w14:paraId="3AC6666E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kern w:val="0"/>
                <w:sz w:val="24"/>
              </w:rPr>
              <w:t>56.52%</w:t>
            </w:r>
          </w:p>
        </w:tc>
        <w:tc>
          <w:tcPr>
            <w:tcW w:w="1241" w:type="dxa"/>
            <w:noWrap/>
            <w:vAlign w:val="center"/>
          </w:tcPr>
          <w:p w14:paraId="68544C32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kern w:val="0"/>
                <w:sz w:val="24"/>
              </w:rPr>
              <w:t>43.48%</w:t>
            </w:r>
          </w:p>
        </w:tc>
        <w:tc>
          <w:tcPr>
            <w:tcW w:w="1241" w:type="dxa"/>
            <w:noWrap/>
            <w:vAlign w:val="center"/>
          </w:tcPr>
          <w:p w14:paraId="04FC09E3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kern w:val="0"/>
                <w:sz w:val="24"/>
              </w:rPr>
              <w:t>0.00%</w:t>
            </w:r>
          </w:p>
        </w:tc>
        <w:tc>
          <w:tcPr>
            <w:tcW w:w="1243" w:type="dxa"/>
            <w:noWrap/>
          </w:tcPr>
          <w:p w14:paraId="5413F645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kern w:val="0"/>
                <w:sz w:val="24"/>
              </w:rPr>
              <w:t>0.00%</w:t>
            </w:r>
          </w:p>
        </w:tc>
      </w:tr>
      <w:tr w14:paraId="63AF2E04">
        <w:tblPrEx>
          <w:tblBorders>
            <w:top w:val="single" w:color="4F81BD" w:themeColor="accent1" w:sz="8" w:space="0"/>
            <w:left w:val="none" w:color="auto" w:sz="0" w:space="0"/>
            <w:bottom w:val="single" w:color="4F81BD" w:themeColor="accen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  <w:jc w:val="center"/>
        </w:trPr>
        <w:tc>
          <w:tcPr>
            <w:tcW w:w="3611" w:type="dxa"/>
            <w:tcBorders>
              <w:left w:val="nil"/>
              <w:right w:val="nil"/>
              <w:insideV w:val="nil"/>
            </w:tcBorders>
            <w:shd w:val="clear" w:color="auto" w:fill="D3DFEE" w:themeFill="accent1" w:themeFillTint="3F"/>
            <w:noWrap/>
          </w:tcPr>
          <w:p w14:paraId="319842D4">
            <w:pPr>
              <w:widowControl/>
              <w:jc w:val="left"/>
              <w:rPr>
                <w:rFonts w:ascii="仿宋_GB2312" w:hAnsi="仿宋" w:eastAsia="仿宋_GB2312" w:cs="宋体"/>
                <w:b w:val="0"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b w:val="0"/>
                <w:bCs/>
                <w:color w:val="auto"/>
                <w:kern w:val="0"/>
                <w:sz w:val="24"/>
              </w:rPr>
              <w:t>工程质量验收</w:t>
            </w:r>
          </w:p>
        </w:tc>
        <w:tc>
          <w:tcPr>
            <w:tcW w:w="1241" w:type="dxa"/>
            <w:tcBorders>
              <w:right w:val="nil"/>
              <w:insideV w:val="nil"/>
            </w:tcBorders>
            <w:shd w:val="clear" w:color="auto" w:fill="D3DFEE" w:themeFill="accent1" w:themeFillTint="3F"/>
            <w:noWrap/>
            <w:vAlign w:val="center"/>
          </w:tcPr>
          <w:p w14:paraId="39489243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kern w:val="0"/>
                <w:sz w:val="24"/>
              </w:rPr>
              <w:t>60.87%</w:t>
            </w:r>
          </w:p>
        </w:tc>
        <w:tc>
          <w:tcPr>
            <w:tcW w:w="1241" w:type="dxa"/>
            <w:tcBorders>
              <w:right w:val="nil"/>
              <w:insideV w:val="nil"/>
            </w:tcBorders>
            <w:shd w:val="clear" w:color="auto" w:fill="D3DFEE" w:themeFill="accent1" w:themeFillTint="3F"/>
            <w:noWrap/>
            <w:vAlign w:val="center"/>
          </w:tcPr>
          <w:p w14:paraId="301FE69D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kern w:val="0"/>
                <w:sz w:val="24"/>
              </w:rPr>
              <w:t>39.13%</w:t>
            </w:r>
          </w:p>
        </w:tc>
        <w:tc>
          <w:tcPr>
            <w:tcW w:w="1241" w:type="dxa"/>
            <w:tcBorders>
              <w:right w:val="nil"/>
              <w:insideV w:val="nil"/>
            </w:tcBorders>
            <w:shd w:val="clear" w:color="auto" w:fill="D3DFEE" w:themeFill="accent1" w:themeFillTint="3F"/>
            <w:noWrap/>
            <w:vAlign w:val="center"/>
          </w:tcPr>
          <w:p w14:paraId="52DED972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kern w:val="0"/>
                <w:sz w:val="24"/>
              </w:rPr>
              <w:t>0.00%</w:t>
            </w:r>
          </w:p>
        </w:tc>
        <w:tc>
          <w:tcPr>
            <w:tcW w:w="1243" w:type="dxa"/>
            <w:tcBorders>
              <w:right w:val="nil"/>
              <w:insideV w:val="nil"/>
            </w:tcBorders>
            <w:shd w:val="clear" w:color="auto" w:fill="D3DFEE" w:themeFill="accent1" w:themeFillTint="3F"/>
            <w:noWrap/>
          </w:tcPr>
          <w:p w14:paraId="4A48BE09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kern w:val="0"/>
                <w:sz w:val="24"/>
              </w:rPr>
              <w:t>0.00%</w:t>
            </w:r>
          </w:p>
        </w:tc>
      </w:tr>
      <w:tr w14:paraId="19E3451F">
        <w:tblPrEx>
          <w:tblBorders>
            <w:top w:val="single" w:color="4F81BD" w:themeColor="accent1" w:sz="8" w:space="0"/>
            <w:left w:val="none" w:color="auto" w:sz="0" w:space="0"/>
            <w:bottom w:val="single" w:color="4F81BD" w:themeColor="accen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  <w:jc w:val="center"/>
        </w:trPr>
        <w:tc>
          <w:tcPr>
            <w:tcW w:w="3611" w:type="dxa"/>
            <w:noWrap/>
          </w:tcPr>
          <w:p w14:paraId="52854BFC">
            <w:pPr>
              <w:widowControl/>
              <w:jc w:val="left"/>
              <w:rPr>
                <w:rFonts w:ascii="仿宋_GB2312" w:hAnsi="仿宋" w:eastAsia="仿宋_GB2312" w:cs="宋体"/>
                <w:b w:val="0"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b w:val="0"/>
                <w:bCs/>
                <w:color w:val="auto"/>
                <w:kern w:val="0"/>
                <w:sz w:val="24"/>
              </w:rPr>
              <w:t>签订供用水合同</w:t>
            </w:r>
          </w:p>
        </w:tc>
        <w:tc>
          <w:tcPr>
            <w:tcW w:w="1241" w:type="dxa"/>
            <w:noWrap/>
            <w:vAlign w:val="center"/>
          </w:tcPr>
          <w:p w14:paraId="5EC0D80A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kern w:val="0"/>
                <w:sz w:val="24"/>
              </w:rPr>
              <w:t>56.52%</w:t>
            </w:r>
          </w:p>
        </w:tc>
        <w:tc>
          <w:tcPr>
            <w:tcW w:w="1241" w:type="dxa"/>
            <w:noWrap/>
            <w:vAlign w:val="center"/>
          </w:tcPr>
          <w:p w14:paraId="272CDB24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kern w:val="0"/>
                <w:sz w:val="24"/>
              </w:rPr>
              <w:t>43.48%</w:t>
            </w:r>
          </w:p>
        </w:tc>
        <w:tc>
          <w:tcPr>
            <w:tcW w:w="1241" w:type="dxa"/>
            <w:noWrap/>
            <w:vAlign w:val="center"/>
          </w:tcPr>
          <w:p w14:paraId="7EDFAFF1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kern w:val="0"/>
                <w:sz w:val="24"/>
              </w:rPr>
              <w:t>0.00%</w:t>
            </w:r>
          </w:p>
        </w:tc>
        <w:tc>
          <w:tcPr>
            <w:tcW w:w="1243" w:type="dxa"/>
            <w:noWrap/>
          </w:tcPr>
          <w:p w14:paraId="666DB5C5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kern w:val="0"/>
                <w:sz w:val="24"/>
              </w:rPr>
              <w:t>0.00%</w:t>
            </w:r>
          </w:p>
        </w:tc>
      </w:tr>
      <w:tr w14:paraId="09157E17">
        <w:tblPrEx>
          <w:tblBorders>
            <w:top w:val="single" w:color="4F81BD" w:themeColor="accent1" w:sz="8" w:space="0"/>
            <w:left w:val="none" w:color="auto" w:sz="0" w:space="0"/>
            <w:bottom w:val="single" w:color="4F81BD" w:themeColor="accen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  <w:jc w:val="center"/>
        </w:trPr>
        <w:tc>
          <w:tcPr>
            <w:tcW w:w="3611" w:type="dxa"/>
            <w:tcBorders>
              <w:left w:val="nil"/>
              <w:right w:val="nil"/>
              <w:insideV w:val="nil"/>
            </w:tcBorders>
            <w:shd w:val="clear" w:color="auto" w:fill="D3DFEE" w:themeFill="accent1" w:themeFillTint="3F"/>
            <w:noWrap/>
          </w:tcPr>
          <w:p w14:paraId="3EDF8815">
            <w:pPr>
              <w:widowControl/>
              <w:jc w:val="left"/>
              <w:rPr>
                <w:rFonts w:ascii="仿宋_GB2312" w:hAnsi="仿宋" w:eastAsia="仿宋_GB2312" w:cs="宋体"/>
                <w:b w:val="0"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b w:val="0"/>
                <w:bCs/>
                <w:color w:val="auto"/>
                <w:kern w:val="0"/>
                <w:sz w:val="24"/>
              </w:rPr>
              <w:t>总体服务</w:t>
            </w:r>
          </w:p>
        </w:tc>
        <w:tc>
          <w:tcPr>
            <w:tcW w:w="1241" w:type="dxa"/>
            <w:tcBorders>
              <w:right w:val="nil"/>
              <w:insideV w:val="nil"/>
            </w:tcBorders>
            <w:shd w:val="clear" w:color="auto" w:fill="D3DFEE" w:themeFill="accent1" w:themeFillTint="3F"/>
            <w:noWrap/>
            <w:vAlign w:val="center"/>
          </w:tcPr>
          <w:p w14:paraId="207474F5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kern w:val="0"/>
                <w:sz w:val="24"/>
              </w:rPr>
              <w:t>60.87%</w:t>
            </w:r>
          </w:p>
        </w:tc>
        <w:tc>
          <w:tcPr>
            <w:tcW w:w="1241" w:type="dxa"/>
            <w:tcBorders>
              <w:right w:val="nil"/>
              <w:insideV w:val="nil"/>
            </w:tcBorders>
            <w:shd w:val="clear" w:color="auto" w:fill="D3DFEE" w:themeFill="accent1" w:themeFillTint="3F"/>
            <w:noWrap/>
            <w:vAlign w:val="center"/>
          </w:tcPr>
          <w:p w14:paraId="2EB7A0FD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kern w:val="0"/>
                <w:sz w:val="24"/>
              </w:rPr>
              <w:t>39.13%</w:t>
            </w:r>
          </w:p>
        </w:tc>
        <w:tc>
          <w:tcPr>
            <w:tcW w:w="1241" w:type="dxa"/>
            <w:tcBorders>
              <w:right w:val="nil"/>
              <w:insideV w:val="nil"/>
            </w:tcBorders>
            <w:shd w:val="clear" w:color="auto" w:fill="D3DFEE" w:themeFill="accent1" w:themeFillTint="3F"/>
            <w:noWrap/>
            <w:vAlign w:val="center"/>
          </w:tcPr>
          <w:p w14:paraId="55A7D669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kern w:val="0"/>
                <w:sz w:val="24"/>
              </w:rPr>
              <w:t>0.00%</w:t>
            </w:r>
          </w:p>
        </w:tc>
        <w:tc>
          <w:tcPr>
            <w:tcW w:w="1243" w:type="dxa"/>
            <w:tcBorders>
              <w:right w:val="nil"/>
              <w:insideV w:val="nil"/>
            </w:tcBorders>
            <w:shd w:val="clear" w:color="auto" w:fill="D3DFEE" w:themeFill="accent1" w:themeFillTint="3F"/>
            <w:noWrap/>
          </w:tcPr>
          <w:p w14:paraId="22D96572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kern w:val="0"/>
                <w:sz w:val="24"/>
              </w:rPr>
              <w:t>0.00%</w:t>
            </w:r>
          </w:p>
        </w:tc>
      </w:tr>
      <w:tr w14:paraId="2A704869">
        <w:tblPrEx>
          <w:tblBorders>
            <w:top w:val="single" w:color="4F81BD" w:themeColor="accent1" w:sz="8" w:space="0"/>
            <w:left w:val="none" w:color="auto" w:sz="0" w:space="0"/>
            <w:bottom w:val="single" w:color="4F81BD" w:themeColor="accen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  <w:jc w:val="center"/>
        </w:trPr>
        <w:tc>
          <w:tcPr>
            <w:tcW w:w="3611" w:type="dxa"/>
            <w:noWrap/>
          </w:tcPr>
          <w:p w14:paraId="1892EA43">
            <w:pPr>
              <w:widowControl/>
              <w:jc w:val="center"/>
              <w:rPr>
                <w:rFonts w:ascii="仿宋_GB2312" w:hAnsi="仿宋" w:eastAsia="仿宋_GB2312" w:cs="宋体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b/>
                <w:bCs/>
                <w:color w:val="auto"/>
                <w:kern w:val="0"/>
                <w:sz w:val="24"/>
              </w:rPr>
              <w:t>总体满意率</w:t>
            </w:r>
          </w:p>
        </w:tc>
        <w:tc>
          <w:tcPr>
            <w:tcW w:w="4966" w:type="dxa"/>
            <w:gridSpan w:val="4"/>
            <w:noWrap/>
          </w:tcPr>
          <w:p w14:paraId="5731BEC4">
            <w:pPr>
              <w:widowControl/>
              <w:jc w:val="center"/>
              <w:rPr>
                <w:rFonts w:ascii="仿宋_GB2312" w:hAnsi="仿宋" w:eastAsia="仿宋_GB2312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b/>
                <w:bCs/>
                <w:color w:val="auto"/>
                <w:kern w:val="0"/>
                <w:sz w:val="24"/>
              </w:rPr>
              <w:t>100.00%</w:t>
            </w:r>
          </w:p>
        </w:tc>
      </w:tr>
    </w:tbl>
    <w:p w14:paraId="125D1F12">
      <w:pPr>
        <w:spacing w:before="156" w:beforeLines="50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（3）金山自来水</w:t>
      </w:r>
    </w:p>
    <w:tbl>
      <w:tblPr>
        <w:tblStyle w:val="18"/>
        <w:tblW w:w="8595" w:type="dxa"/>
        <w:jc w:val="center"/>
        <w:tblBorders>
          <w:top w:val="single" w:color="4F81BD" w:themeColor="accent1" w:sz="8" w:space="0"/>
          <w:left w:val="none" w:color="auto" w:sz="0" w:space="0"/>
          <w:bottom w:val="single" w:color="4F81BD" w:themeColor="accent1" w:sz="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18"/>
        <w:gridCol w:w="1244"/>
        <w:gridCol w:w="1244"/>
        <w:gridCol w:w="1244"/>
        <w:gridCol w:w="1245"/>
      </w:tblGrid>
      <w:tr w14:paraId="7DBECB68">
        <w:tblPrEx>
          <w:tblBorders>
            <w:top w:val="single" w:color="4F81BD" w:themeColor="accent1" w:sz="8" w:space="0"/>
            <w:left w:val="none" w:color="auto" w:sz="0" w:space="0"/>
            <w:bottom w:val="single" w:color="4F81BD" w:themeColor="accen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  <w:jc w:val="center"/>
        </w:trPr>
        <w:tc>
          <w:tcPr>
            <w:tcW w:w="3618" w:type="dxa"/>
            <w:tcBorders>
              <w:top w:val="single" w:color="4F81BD" w:themeColor="accent1" w:sz="8" w:space="0"/>
              <w:left w:val="nil"/>
              <w:bottom w:val="single" w:color="4F81BD" w:themeColor="accent1" w:sz="8" w:space="0"/>
              <w:right w:val="nil"/>
              <w:insideH w:val="single" w:sz="8" w:space="0"/>
              <w:insideV w:val="nil"/>
            </w:tcBorders>
            <w:noWrap/>
          </w:tcPr>
          <w:p w14:paraId="197DC2F1">
            <w:pPr>
              <w:widowControl/>
              <w:spacing w:before="0" w:after="0" w:line="240" w:lineRule="auto"/>
              <w:jc w:val="center"/>
              <w:rPr>
                <w:rFonts w:ascii="仿宋_GB2312" w:hAnsi="仿宋" w:eastAsia="仿宋_GB2312" w:cs="宋体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b/>
                <w:bCs/>
                <w:color w:val="auto"/>
                <w:kern w:val="0"/>
                <w:sz w:val="24"/>
              </w:rPr>
              <w:t>指  标</w:t>
            </w:r>
          </w:p>
        </w:tc>
        <w:tc>
          <w:tcPr>
            <w:tcW w:w="1244" w:type="dxa"/>
            <w:tcBorders>
              <w:top w:val="single" w:color="4F81BD" w:themeColor="accent1" w:sz="8" w:space="0"/>
              <w:bottom w:val="single" w:color="4F81BD" w:themeColor="accent1" w:sz="8" w:space="0"/>
              <w:right w:val="nil"/>
              <w:insideH w:val="single" w:sz="8" w:space="0"/>
              <w:insideV w:val="nil"/>
            </w:tcBorders>
            <w:noWrap/>
          </w:tcPr>
          <w:p w14:paraId="08AC6362">
            <w:pPr>
              <w:widowControl/>
              <w:spacing w:before="0" w:after="0" w:line="240" w:lineRule="auto"/>
              <w:jc w:val="center"/>
              <w:rPr>
                <w:rFonts w:ascii="仿宋_GB2312" w:hAnsi="仿宋" w:eastAsia="仿宋_GB2312" w:cs="宋体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b/>
                <w:bCs/>
                <w:color w:val="auto"/>
                <w:kern w:val="0"/>
                <w:sz w:val="24"/>
              </w:rPr>
              <w:t>非常满意</w:t>
            </w:r>
          </w:p>
        </w:tc>
        <w:tc>
          <w:tcPr>
            <w:tcW w:w="1244" w:type="dxa"/>
            <w:tcBorders>
              <w:top w:val="single" w:color="4F81BD" w:themeColor="accent1" w:sz="8" w:space="0"/>
              <w:bottom w:val="single" w:color="4F81BD" w:themeColor="accent1" w:sz="8" w:space="0"/>
              <w:right w:val="nil"/>
              <w:insideH w:val="single" w:sz="8" w:space="0"/>
              <w:insideV w:val="nil"/>
            </w:tcBorders>
            <w:noWrap/>
          </w:tcPr>
          <w:p w14:paraId="586D532F">
            <w:pPr>
              <w:widowControl/>
              <w:spacing w:before="0" w:after="0" w:line="240" w:lineRule="auto"/>
              <w:jc w:val="center"/>
              <w:rPr>
                <w:rFonts w:ascii="仿宋_GB2312" w:hAnsi="仿宋" w:eastAsia="仿宋_GB2312" w:cs="宋体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b/>
                <w:bCs/>
                <w:color w:val="auto"/>
                <w:kern w:val="0"/>
                <w:sz w:val="24"/>
              </w:rPr>
              <w:t>满意</w:t>
            </w:r>
          </w:p>
        </w:tc>
        <w:tc>
          <w:tcPr>
            <w:tcW w:w="1244" w:type="dxa"/>
            <w:tcBorders>
              <w:top w:val="single" w:color="4F81BD" w:themeColor="accent1" w:sz="8" w:space="0"/>
              <w:bottom w:val="single" w:color="4F81BD" w:themeColor="accent1" w:sz="8" w:space="0"/>
              <w:right w:val="nil"/>
              <w:insideH w:val="single" w:sz="8" w:space="0"/>
              <w:insideV w:val="nil"/>
            </w:tcBorders>
            <w:noWrap/>
          </w:tcPr>
          <w:p w14:paraId="751D0ED5">
            <w:pPr>
              <w:widowControl/>
              <w:spacing w:before="0" w:after="0" w:line="240" w:lineRule="auto"/>
              <w:jc w:val="center"/>
              <w:rPr>
                <w:rFonts w:ascii="仿宋_GB2312" w:hAnsi="仿宋" w:eastAsia="仿宋_GB2312" w:cs="宋体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b/>
                <w:bCs/>
                <w:color w:val="auto"/>
                <w:kern w:val="0"/>
                <w:sz w:val="24"/>
              </w:rPr>
              <w:t>基本满意</w:t>
            </w:r>
          </w:p>
        </w:tc>
        <w:tc>
          <w:tcPr>
            <w:tcW w:w="1245" w:type="dxa"/>
            <w:tcBorders>
              <w:top w:val="single" w:color="4F81BD" w:themeColor="accent1" w:sz="8" w:space="0"/>
              <w:bottom w:val="single" w:color="4F81BD" w:themeColor="accent1" w:sz="8" w:space="0"/>
              <w:right w:val="nil"/>
              <w:insideH w:val="single" w:sz="8" w:space="0"/>
              <w:insideV w:val="nil"/>
            </w:tcBorders>
            <w:noWrap/>
          </w:tcPr>
          <w:p w14:paraId="76CEFCA2">
            <w:pPr>
              <w:widowControl/>
              <w:spacing w:before="0" w:after="0" w:line="240" w:lineRule="auto"/>
              <w:jc w:val="center"/>
              <w:rPr>
                <w:rFonts w:ascii="仿宋_GB2312" w:hAnsi="仿宋" w:eastAsia="仿宋_GB2312" w:cs="宋体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b/>
                <w:bCs/>
                <w:color w:val="auto"/>
                <w:kern w:val="0"/>
                <w:sz w:val="24"/>
              </w:rPr>
              <w:t>不满意</w:t>
            </w:r>
          </w:p>
        </w:tc>
      </w:tr>
      <w:tr w14:paraId="11F98F23">
        <w:tblPrEx>
          <w:tblBorders>
            <w:top w:val="single" w:color="4F81BD" w:themeColor="accent1" w:sz="8" w:space="0"/>
            <w:left w:val="none" w:color="auto" w:sz="0" w:space="0"/>
            <w:bottom w:val="single" w:color="4F81BD" w:themeColor="accen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  <w:jc w:val="center"/>
        </w:trPr>
        <w:tc>
          <w:tcPr>
            <w:tcW w:w="3618" w:type="dxa"/>
            <w:tcBorders>
              <w:left w:val="nil"/>
              <w:right w:val="nil"/>
              <w:insideV w:val="nil"/>
            </w:tcBorders>
            <w:shd w:val="clear" w:color="auto" w:fill="D3DFEE" w:themeFill="accent1" w:themeFillTint="3F"/>
            <w:noWrap/>
          </w:tcPr>
          <w:p w14:paraId="1B8E5F07">
            <w:pPr>
              <w:widowControl/>
              <w:jc w:val="left"/>
              <w:rPr>
                <w:rFonts w:ascii="仿宋_GB2312" w:hAnsi="仿宋" w:eastAsia="仿宋_GB2312" w:cs="宋体"/>
                <w:b w:val="0"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b w:val="0"/>
                <w:bCs/>
                <w:color w:val="auto"/>
                <w:kern w:val="0"/>
                <w:sz w:val="24"/>
              </w:rPr>
              <w:t>前期咨询和申请受理</w:t>
            </w:r>
          </w:p>
        </w:tc>
        <w:tc>
          <w:tcPr>
            <w:tcW w:w="1244" w:type="dxa"/>
            <w:tcBorders>
              <w:right w:val="nil"/>
              <w:insideV w:val="nil"/>
            </w:tcBorders>
            <w:shd w:val="clear" w:color="auto" w:fill="D3DFEE" w:themeFill="accent1" w:themeFillTint="3F"/>
            <w:noWrap/>
            <w:vAlign w:val="center"/>
          </w:tcPr>
          <w:p w14:paraId="3FE047F7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kern w:val="0"/>
                <w:sz w:val="24"/>
              </w:rPr>
              <w:t>50.00%</w:t>
            </w:r>
          </w:p>
        </w:tc>
        <w:tc>
          <w:tcPr>
            <w:tcW w:w="1244" w:type="dxa"/>
            <w:tcBorders>
              <w:right w:val="nil"/>
              <w:insideV w:val="nil"/>
            </w:tcBorders>
            <w:shd w:val="clear" w:color="auto" w:fill="D3DFEE" w:themeFill="accent1" w:themeFillTint="3F"/>
            <w:noWrap/>
            <w:vAlign w:val="center"/>
          </w:tcPr>
          <w:p w14:paraId="1A359FF5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kern w:val="0"/>
                <w:sz w:val="24"/>
              </w:rPr>
              <w:t>50.00%</w:t>
            </w:r>
          </w:p>
        </w:tc>
        <w:tc>
          <w:tcPr>
            <w:tcW w:w="1244" w:type="dxa"/>
            <w:tcBorders>
              <w:right w:val="nil"/>
              <w:insideV w:val="nil"/>
            </w:tcBorders>
            <w:shd w:val="clear" w:color="auto" w:fill="D3DFEE" w:themeFill="accent1" w:themeFillTint="3F"/>
            <w:noWrap/>
            <w:vAlign w:val="center"/>
          </w:tcPr>
          <w:p w14:paraId="16462996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kern w:val="0"/>
                <w:sz w:val="24"/>
              </w:rPr>
              <w:t>0.00%</w:t>
            </w:r>
          </w:p>
        </w:tc>
        <w:tc>
          <w:tcPr>
            <w:tcW w:w="1245" w:type="dxa"/>
            <w:tcBorders>
              <w:right w:val="nil"/>
              <w:insideV w:val="nil"/>
            </w:tcBorders>
            <w:shd w:val="clear" w:color="auto" w:fill="D3DFEE" w:themeFill="accent1" w:themeFillTint="3F"/>
            <w:noWrap/>
            <w:vAlign w:val="center"/>
          </w:tcPr>
          <w:p w14:paraId="1CB62015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kern w:val="0"/>
                <w:sz w:val="24"/>
              </w:rPr>
              <w:t>0.00%</w:t>
            </w:r>
          </w:p>
        </w:tc>
      </w:tr>
      <w:tr w14:paraId="6874592A">
        <w:tblPrEx>
          <w:tblBorders>
            <w:top w:val="single" w:color="4F81BD" w:themeColor="accent1" w:sz="8" w:space="0"/>
            <w:left w:val="none" w:color="auto" w:sz="0" w:space="0"/>
            <w:bottom w:val="single" w:color="4F81BD" w:themeColor="accen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  <w:jc w:val="center"/>
        </w:trPr>
        <w:tc>
          <w:tcPr>
            <w:tcW w:w="3618" w:type="dxa"/>
            <w:noWrap/>
          </w:tcPr>
          <w:p w14:paraId="2DF4EC76">
            <w:pPr>
              <w:widowControl/>
              <w:jc w:val="left"/>
              <w:rPr>
                <w:rFonts w:ascii="仿宋_GB2312" w:hAnsi="仿宋" w:eastAsia="仿宋_GB2312" w:cs="宋体"/>
                <w:b w:val="0"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b w:val="0"/>
                <w:bCs/>
                <w:color w:val="auto"/>
                <w:kern w:val="0"/>
                <w:sz w:val="24"/>
              </w:rPr>
              <w:t>现场查勘和编制/复核供水方案</w:t>
            </w:r>
          </w:p>
        </w:tc>
        <w:tc>
          <w:tcPr>
            <w:tcW w:w="1244" w:type="dxa"/>
            <w:noWrap/>
            <w:vAlign w:val="center"/>
          </w:tcPr>
          <w:p w14:paraId="28202DEE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kern w:val="0"/>
                <w:sz w:val="24"/>
              </w:rPr>
              <w:t>50.00%</w:t>
            </w:r>
          </w:p>
        </w:tc>
        <w:tc>
          <w:tcPr>
            <w:tcW w:w="1244" w:type="dxa"/>
            <w:noWrap/>
            <w:vAlign w:val="center"/>
          </w:tcPr>
          <w:p w14:paraId="758ECCBD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kern w:val="0"/>
                <w:sz w:val="24"/>
              </w:rPr>
              <w:t>50.00%</w:t>
            </w:r>
          </w:p>
        </w:tc>
        <w:tc>
          <w:tcPr>
            <w:tcW w:w="1244" w:type="dxa"/>
            <w:noWrap/>
            <w:vAlign w:val="center"/>
          </w:tcPr>
          <w:p w14:paraId="0251613B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kern w:val="0"/>
                <w:sz w:val="24"/>
              </w:rPr>
              <w:t>0.00%</w:t>
            </w:r>
          </w:p>
        </w:tc>
        <w:tc>
          <w:tcPr>
            <w:tcW w:w="1245" w:type="dxa"/>
            <w:noWrap/>
            <w:vAlign w:val="center"/>
          </w:tcPr>
          <w:p w14:paraId="070BBD93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kern w:val="0"/>
                <w:sz w:val="24"/>
              </w:rPr>
              <w:t>0.00%</w:t>
            </w:r>
          </w:p>
        </w:tc>
      </w:tr>
      <w:tr w14:paraId="66BE6648">
        <w:tblPrEx>
          <w:tblBorders>
            <w:top w:val="single" w:color="4F81BD" w:themeColor="accent1" w:sz="8" w:space="0"/>
            <w:left w:val="none" w:color="auto" w:sz="0" w:space="0"/>
            <w:bottom w:val="single" w:color="4F81BD" w:themeColor="accen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  <w:jc w:val="center"/>
        </w:trPr>
        <w:tc>
          <w:tcPr>
            <w:tcW w:w="3618" w:type="dxa"/>
            <w:tcBorders>
              <w:left w:val="nil"/>
              <w:right w:val="nil"/>
              <w:insideV w:val="nil"/>
            </w:tcBorders>
            <w:shd w:val="clear" w:color="auto" w:fill="D3DFEE" w:themeFill="accent1" w:themeFillTint="3F"/>
            <w:noWrap/>
          </w:tcPr>
          <w:p w14:paraId="528D89E6">
            <w:pPr>
              <w:widowControl/>
              <w:jc w:val="left"/>
              <w:rPr>
                <w:rFonts w:ascii="仿宋_GB2312" w:hAnsi="仿宋" w:eastAsia="仿宋_GB2312" w:cs="宋体"/>
                <w:b w:val="0"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b w:val="0"/>
                <w:bCs/>
                <w:color w:val="auto"/>
                <w:kern w:val="0"/>
                <w:sz w:val="24"/>
              </w:rPr>
              <w:t>工程质量验收</w:t>
            </w:r>
          </w:p>
        </w:tc>
        <w:tc>
          <w:tcPr>
            <w:tcW w:w="1244" w:type="dxa"/>
            <w:tcBorders>
              <w:right w:val="nil"/>
              <w:insideV w:val="nil"/>
            </w:tcBorders>
            <w:shd w:val="clear" w:color="auto" w:fill="D3DFEE" w:themeFill="accent1" w:themeFillTint="3F"/>
            <w:noWrap/>
            <w:vAlign w:val="center"/>
          </w:tcPr>
          <w:p w14:paraId="1AF00B75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kern w:val="0"/>
                <w:sz w:val="24"/>
              </w:rPr>
              <w:t>50.00%</w:t>
            </w:r>
          </w:p>
        </w:tc>
        <w:tc>
          <w:tcPr>
            <w:tcW w:w="1244" w:type="dxa"/>
            <w:tcBorders>
              <w:right w:val="nil"/>
              <w:insideV w:val="nil"/>
            </w:tcBorders>
            <w:shd w:val="clear" w:color="auto" w:fill="D3DFEE" w:themeFill="accent1" w:themeFillTint="3F"/>
            <w:noWrap/>
            <w:vAlign w:val="center"/>
          </w:tcPr>
          <w:p w14:paraId="05F44540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kern w:val="0"/>
                <w:sz w:val="24"/>
              </w:rPr>
              <w:t>50.00%</w:t>
            </w:r>
          </w:p>
        </w:tc>
        <w:tc>
          <w:tcPr>
            <w:tcW w:w="1244" w:type="dxa"/>
            <w:tcBorders>
              <w:right w:val="nil"/>
              <w:insideV w:val="nil"/>
            </w:tcBorders>
            <w:shd w:val="clear" w:color="auto" w:fill="D3DFEE" w:themeFill="accent1" w:themeFillTint="3F"/>
            <w:noWrap/>
            <w:vAlign w:val="center"/>
          </w:tcPr>
          <w:p w14:paraId="07114F24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kern w:val="0"/>
                <w:sz w:val="24"/>
              </w:rPr>
              <w:t>0.00%</w:t>
            </w:r>
          </w:p>
        </w:tc>
        <w:tc>
          <w:tcPr>
            <w:tcW w:w="1245" w:type="dxa"/>
            <w:tcBorders>
              <w:right w:val="nil"/>
              <w:insideV w:val="nil"/>
            </w:tcBorders>
            <w:shd w:val="clear" w:color="auto" w:fill="D3DFEE" w:themeFill="accent1" w:themeFillTint="3F"/>
            <w:noWrap/>
            <w:vAlign w:val="center"/>
          </w:tcPr>
          <w:p w14:paraId="3E15D5F8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kern w:val="0"/>
                <w:sz w:val="24"/>
              </w:rPr>
              <w:t>0.00%</w:t>
            </w:r>
          </w:p>
        </w:tc>
      </w:tr>
      <w:tr w14:paraId="720D965D">
        <w:tblPrEx>
          <w:tblBorders>
            <w:top w:val="single" w:color="4F81BD" w:themeColor="accent1" w:sz="8" w:space="0"/>
            <w:left w:val="none" w:color="auto" w:sz="0" w:space="0"/>
            <w:bottom w:val="single" w:color="4F81BD" w:themeColor="accen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  <w:jc w:val="center"/>
        </w:trPr>
        <w:tc>
          <w:tcPr>
            <w:tcW w:w="3618" w:type="dxa"/>
            <w:noWrap/>
          </w:tcPr>
          <w:p w14:paraId="3166B42B">
            <w:pPr>
              <w:widowControl/>
              <w:jc w:val="left"/>
              <w:rPr>
                <w:rFonts w:ascii="仿宋_GB2312" w:hAnsi="仿宋" w:eastAsia="仿宋_GB2312" w:cs="宋体"/>
                <w:b w:val="0"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b w:val="0"/>
                <w:bCs/>
                <w:color w:val="auto"/>
                <w:kern w:val="0"/>
                <w:sz w:val="24"/>
              </w:rPr>
              <w:t>签订供用水合同</w:t>
            </w:r>
          </w:p>
        </w:tc>
        <w:tc>
          <w:tcPr>
            <w:tcW w:w="1244" w:type="dxa"/>
            <w:noWrap/>
            <w:vAlign w:val="center"/>
          </w:tcPr>
          <w:p w14:paraId="4C1AB18F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kern w:val="0"/>
                <w:sz w:val="24"/>
              </w:rPr>
              <w:t>50.00%</w:t>
            </w:r>
          </w:p>
        </w:tc>
        <w:tc>
          <w:tcPr>
            <w:tcW w:w="1244" w:type="dxa"/>
            <w:noWrap/>
            <w:vAlign w:val="center"/>
          </w:tcPr>
          <w:p w14:paraId="371A8FEB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kern w:val="0"/>
                <w:sz w:val="24"/>
              </w:rPr>
              <w:t>50.00%</w:t>
            </w:r>
          </w:p>
        </w:tc>
        <w:tc>
          <w:tcPr>
            <w:tcW w:w="1244" w:type="dxa"/>
            <w:noWrap/>
            <w:vAlign w:val="center"/>
          </w:tcPr>
          <w:p w14:paraId="11100377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kern w:val="0"/>
                <w:sz w:val="24"/>
              </w:rPr>
              <w:t>0.00%</w:t>
            </w:r>
          </w:p>
        </w:tc>
        <w:tc>
          <w:tcPr>
            <w:tcW w:w="1245" w:type="dxa"/>
            <w:noWrap/>
            <w:vAlign w:val="center"/>
          </w:tcPr>
          <w:p w14:paraId="2E619E95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kern w:val="0"/>
                <w:sz w:val="24"/>
              </w:rPr>
              <w:t>0.00%</w:t>
            </w:r>
          </w:p>
        </w:tc>
      </w:tr>
      <w:tr w14:paraId="39D00068">
        <w:tblPrEx>
          <w:tblBorders>
            <w:top w:val="single" w:color="4F81BD" w:themeColor="accent1" w:sz="8" w:space="0"/>
            <w:left w:val="none" w:color="auto" w:sz="0" w:space="0"/>
            <w:bottom w:val="single" w:color="4F81BD" w:themeColor="accen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  <w:jc w:val="center"/>
        </w:trPr>
        <w:tc>
          <w:tcPr>
            <w:tcW w:w="3618" w:type="dxa"/>
            <w:tcBorders>
              <w:left w:val="nil"/>
              <w:right w:val="nil"/>
              <w:insideV w:val="nil"/>
            </w:tcBorders>
            <w:shd w:val="clear" w:color="auto" w:fill="D3DFEE" w:themeFill="accent1" w:themeFillTint="3F"/>
            <w:noWrap/>
          </w:tcPr>
          <w:p w14:paraId="0E4E5EA1">
            <w:pPr>
              <w:widowControl/>
              <w:jc w:val="left"/>
              <w:rPr>
                <w:rFonts w:ascii="仿宋_GB2312" w:hAnsi="仿宋" w:eastAsia="仿宋_GB2312" w:cs="宋体"/>
                <w:b w:val="0"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b w:val="0"/>
                <w:bCs/>
                <w:color w:val="auto"/>
                <w:kern w:val="0"/>
                <w:sz w:val="24"/>
              </w:rPr>
              <w:t>总体服务</w:t>
            </w:r>
          </w:p>
        </w:tc>
        <w:tc>
          <w:tcPr>
            <w:tcW w:w="1244" w:type="dxa"/>
            <w:tcBorders>
              <w:right w:val="nil"/>
              <w:insideV w:val="nil"/>
            </w:tcBorders>
            <w:shd w:val="clear" w:color="auto" w:fill="D3DFEE" w:themeFill="accent1" w:themeFillTint="3F"/>
            <w:noWrap/>
            <w:vAlign w:val="center"/>
          </w:tcPr>
          <w:p w14:paraId="6F910F17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kern w:val="0"/>
                <w:sz w:val="24"/>
              </w:rPr>
              <w:t>50.00%</w:t>
            </w:r>
          </w:p>
        </w:tc>
        <w:tc>
          <w:tcPr>
            <w:tcW w:w="1244" w:type="dxa"/>
            <w:tcBorders>
              <w:right w:val="nil"/>
              <w:insideV w:val="nil"/>
            </w:tcBorders>
            <w:shd w:val="clear" w:color="auto" w:fill="D3DFEE" w:themeFill="accent1" w:themeFillTint="3F"/>
            <w:noWrap/>
            <w:vAlign w:val="center"/>
          </w:tcPr>
          <w:p w14:paraId="2AFCE5EF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kern w:val="0"/>
                <w:sz w:val="24"/>
              </w:rPr>
              <w:t>50.00%</w:t>
            </w:r>
          </w:p>
        </w:tc>
        <w:tc>
          <w:tcPr>
            <w:tcW w:w="1244" w:type="dxa"/>
            <w:tcBorders>
              <w:right w:val="nil"/>
              <w:insideV w:val="nil"/>
            </w:tcBorders>
            <w:shd w:val="clear" w:color="auto" w:fill="D3DFEE" w:themeFill="accent1" w:themeFillTint="3F"/>
            <w:noWrap/>
            <w:vAlign w:val="center"/>
          </w:tcPr>
          <w:p w14:paraId="430DCFF9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kern w:val="0"/>
                <w:sz w:val="24"/>
              </w:rPr>
              <w:t>0.00%</w:t>
            </w:r>
          </w:p>
        </w:tc>
        <w:tc>
          <w:tcPr>
            <w:tcW w:w="1245" w:type="dxa"/>
            <w:tcBorders>
              <w:right w:val="nil"/>
              <w:insideV w:val="nil"/>
            </w:tcBorders>
            <w:shd w:val="clear" w:color="auto" w:fill="D3DFEE" w:themeFill="accent1" w:themeFillTint="3F"/>
            <w:noWrap/>
            <w:vAlign w:val="center"/>
          </w:tcPr>
          <w:p w14:paraId="03F06E9C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kern w:val="0"/>
                <w:sz w:val="24"/>
              </w:rPr>
              <w:t>0.00%</w:t>
            </w:r>
          </w:p>
        </w:tc>
      </w:tr>
      <w:tr w14:paraId="77BC640E">
        <w:tblPrEx>
          <w:tblBorders>
            <w:top w:val="single" w:color="4F81BD" w:themeColor="accent1" w:sz="8" w:space="0"/>
            <w:left w:val="none" w:color="auto" w:sz="0" w:space="0"/>
            <w:bottom w:val="single" w:color="4F81BD" w:themeColor="accen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  <w:jc w:val="center"/>
        </w:trPr>
        <w:tc>
          <w:tcPr>
            <w:tcW w:w="3618" w:type="dxa"/>
            <w:noWrap/>
          </w:tcPr>
          <w:p w14:paraId="7BAC7649">
            <w:pPr>
              <w:widowControl/>
              <w:jc w:val="center"/>
              <w:rPr>
                <w:rFonts w:ascii="仿宋_GB2312" w:hAnsi="仿宋" w:eastAsia="仿宋_GB2312" w:cs="宋体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b/>
                <w:bCs/>
                <w:color w:val="auto"/>
                <w:kern w:val="0"/>
                <w:sz w:val="24"/>
              </w:rPr>
              <w:t>总体满意率</w:t>
            </w:r>
          </w:p>
        </w:tc>
        <w:tc>
          <w:tcPr>
            <w:tcW w:w="4977" w:type="dxa"/>
            <w:gridSpan w:val="4"/>
            <w:noWrap/>
          </w:tcPr>
          <w:p w14:paraId="2242CCED">
            <w:pPr>
              <w:widowControl/>
              <w:jc w:val="center"/>
              <w:rPr>
                <w:rFonts w:ascii="仿宋_GB2312" w:hAnsi="仿宋" w:eastAsia="仿宋_GB2312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b/>
                <w:bCs/>
                <w:color w:val="auto"/>
                <w:kern w:val="0"/>
                <w:sz w:val="24"/>
              </w:rPr>
              <w:t>100.00%</w:t>
            </w:r>
          </w:p>
        </w:tc>
      </w:tr>
    </w:tbl>
    <w:p w14:paraId="6095B23C">
      <w:pPr>
        <w:spacing w:before="156" w:beforeLines="50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（4）市北宝山自来水</w:t>
      </w:r>
    </w:p>
    <w:tbl>
      <w:tblPr>
        <w:tblStyle w:val="18"/>
        <w:tblW w:w="8577" w:type="dxa"/>
        <w:jc w:val="center"/>
        <w:tblBorders>
          <w:top w:val="single" w:color="4F81BD" w:themeColor="accent1" w:sz="8" w:space="0"/>
          <w:left w:val="none" w:color="auto" w:sz="0" w:space="0"/>
          <w:bottom w:val="single" w:color="4F81BD" w:themeColor="accent1" w:sz="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11"/>
        <w:gridCol w:w="1241"/>
        <w:gridCol w:w="1241"/>
        <w:gridCol w:w="1241"/>
        <w:gridCol w:w="1243"/>
      </w:tblGrid>
      <w:tr w14:paraId="6CEFD765">
        <w:tblPrEx>
          <w:tblBorders>
            <w:top w:val="single" w:color="4F81BD" w:themeColor="accent1" w:sz="8" w:space="0"/>
            <w:left w:val="none" w:color="auto" w:sz="0" w:space="0"/>
            <w:bottom w:val="single" w:color="4F81BD" w:themeColor="accen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611" w:type="dxa"/>
            <w:tcBorders>
              <w:top w:val="single" w:color="4F81BD" w:themeColor="accent1" w:sz="8" w:space="0"/>
              <w:left w:val="nil"/>
              <w:bottom w:val="single" w:color="4F81BD" w:themeColor="accent1" w:sz="8" w:space="0"/>
              <w:right w:val="nil"/>
              <w:insideH w:val="single" w:sz="8" w:space="0"/>
              <w:insideV w:val="nil"/>
            </w:tcBorders>
            <w:noWrap/>
          </w:tcPr>
          <w:p w14:paraId="69E3A214">
            <w:pPr>
              <w:widowControl/>
              <w:spacing w:before="0" w:after="0" w:line="240" w:lineRule="auto"/>
              <w:jc w:val="center"/>
              <w:rPr>
                <w:rFonts w:ascii="仿宋_GB2312" w:hAnsi="仿宋" w:eastAsia="仿宋_GB2312" w:cs="宋体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b/>
                <w:bCs/>
                <w:color w:val="auto"/>
                <w:kern w:val="0"/>
                <w:sz w:val="24"/>
              </w:rPr>
              <w:t>指  标</w:t>
            </w:r>
          </w:p>
        </w:tc>
        <w:tc>
          <w:tcPr>
            <w:tcW w:w="1241" w:type="dxa"/>
            <w:tcBorders>
              <w:top w:val="single" w:color="4F81BD" w:themeColor="accent1" w:sz="8" w:space="0"/>
              <w:bottom w:val="single" w:color="4F81BD" w:themeColor="accent1" w:sz="8" w:space="0"/>
              <w:right w:val="nil"/>
              <w:insideH w:val="single" w:sz="8" w:space="0"/>
              <w:insideV w:val="nil"/>
            </w:tcBorders>
            <w:noWrap/>
          </w:tcPr>
          <w:p w14:paraId="5CCDC3E3">
            <w:pPr>
              <w:widowControl/>
              <w:spacing w:before="0" w:after="0" w:line="240" w:lineRule="auto"/>
              <w:jc w:val="center"/>
              <w:rPr>
                <w:rFonts w:ascii="仿宋_GB2312" w:hAnsi="仿宋" w:eastAsia="仿宋_GB2312" w:cs="宋体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b/>
                <w:bCs/>
                <w:color w:val="auto"/>
                <w:kern w:val="0"/>
                <w:sz w:val="24"/>
              </w:rPr>
              <w:t>非常满意</w:t>
            </w:r>
          </w:p>
        </w:tc>
        <w:tc>
          <w:tcPr>
            <w:tcW w:w="1241" w:type="dxa"/>
            <w:tcBorders>
              <w:top w:val="single" w:color="4F81BD" w:themeColor="accent1" w:sz="8" w:space="0"/>
              <w:bottom w:val="single" w:color="4F81BD" w:themeColor="accent1" w:sz="8" w:space="0"/>
              <w:right w:val="nil"/>
              <w:insideH w:val="single" w:sz="8" w:space="0"/>
              <w:insideV w:val="nil"/>
            </w:tcBorders>
            <w:noWrap/>
          </w:tcPr>
          <w:p w14:paraId="5CE0C783">
            <w:pPr>
              <w:widowControl/>
              <w:spacing w:before="0" w:after="0" w:line="240" w:lineRule="auto"/>
              <w:jc w:val="center"/>
              <w:rPr>
                <w:rFonts w:ascii="仿宋_GB2312" w:hAnsi="仿宋" w:eastAsia="仿宋_GB2312" w:cs="宋体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b/>
                <w:bCs/>
                <w:color w:val="auto"/>
                <w:kern w:val="0"/>
                <w:sz w:val="24"/>
              </w:rPr>
              <w:t>满意</w:t>
            </w:r>
          </w:p>
        </w:tc>
        <w:tc>
          <w:tcPr>
            <w:tcW w:w="1241" w:type="dxa"/>
            <w:tcBorders>
              <w:top w:val="single" w:color="4F81BD" w:themeColor="accent1" w:sz="8" w:space="0"/>
              <w:bottom w:val="single" w:color="4F81BD" w:themeColor="accent1" w:sz="8" w:space="0"/>
              <w:right w:val="nil"/>
              <w:insideH w:val="single" w:sz="8" w:space="0"/>
              <w:insideV w:val="nil"/>
            </w:tcBorders>
            <w:noWrap/>
          </w:tcPr>
          <w:p w14:paraId="3652C395">
            <w:pPr>
              <w:widowControl/>
              <w:spacing w:before="0" w:after="0" w:line="240" w:lineRule="auto"/>
              <w:jc w:val="center"/>
              <w:rPr>
                <w:rFonts w:ascii="仿宋_GB2312" w:hAnsi="仿宋" w:eastAsia="仿宋_GB2312" w:cs="宋体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b/>
                <w:bCs/>
                <w:color w:val="auto"/>
                <w:kern w:val="0"/>
                <w:sz w:val="24"/>
              </w:rPr>
              <w:t>基本满意</w:t>
            </w:r>
          </w:p>
        </w:tc>
        <w:tc>
          <w:tcPr>
            <w:tcW w:w="1243" w:type="dxa"/>
            <w:tcBorders>
              <w:top w:val="single" w:color="4F81BD" w:themeColor="accent1" w:sz="8" w:space="0"/>
              <w:bottom w:val="single" w:color="4F81BD" w:themeColor="accent1" w:sz="8" w:space="0"/>
              <w:right w:val="nil"/>
              <w:insideH w:val="single" w:sz="8" w:space="0"/>
              <w:insideV w:val="nil"/>
            </w:tcBorders>
            <w:noWrap/>
          </w:tcPr>
          <w:p w14:paraId="2026008D">
            <w:pPr>
              <w:widowControl/>
              <w:spacing w:before="0" w:after="0" w:line="240" w:lineRule="auto"/>
              <w:jc w:val="center"/>
              <w:rPr>
                <w:rFonts w:ascii="仿宋_GB2312" w:hAnsi="仿宋" w:eastAsia="仿宋_GB2312" w:cs="宋体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b/>
                <w:bCs/>
                <w:color w:val="auto"/>
                <w:kern w:val="0"/>
                <w:sz w:val="24"/>
              </w:rPr>
              <w:t>不满意</w:t>
            </w:r>
          </w:p>
        </w:tc>
      </w:tr>
      <w:tr w14:paraId="1FFD2329">
        <w:tblPrEx>
          <w:tblBorders>
            <w:top w:val="single" w:color="4F81BD" w:themeColor="accent1" w:sz="8" w:space="0"/>
            <w:left w:val="none" w:color="auto" w:sz="0" w:space="0"/>
            <w:bottom w:val="single" w:color="4F81BD" w:themeColor="accen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611" w:type="dxa"/>
            <w:tcBorders>
              <w:left w:val="nil"/>
              <w:right w:val="nil"/>
              <w:insideV w:val="nil"/>
            </w:tcBorders>
            <w:shd w:val="clear" w:color="auto" w:fill="D3DFEE" w:themeFill="accent1" w:themeFillTint="3F"/>
            <w:noWrap/>
          </w:tcPr>
          <w:p w14:paraId="4827240B">
            <w:pPr>
              <w:widowControl/>
              <w:jc w:val="left"/>
              <w:rPr>
                <w:rFonts w:ascii="仿宋_GB2312" w:hAnsi="仿宋" w:eastAsia="仿宋_GB2312" w:cs="宋体"/>
                <w:b w:val="0"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b w:val="0"/>
                <w:bCs/>
                <w:color w:val="auto"/>
                <w:kern w:val="0"/>
                <w:sz w:val="24"/>
              </w:rPr>
              <w:t>前期咨询和申请受理</w:t>
            </w:r>
          </w:p>
        </w:tc>
        <w:tc>
          <w:tcPr>
            <w:tcW w:w="1241" w:type="dxa"/>
            <w:tcBorders>
              <w:right w:val="nil"/>
              <w:insideV w:val="nil"/>
            </w:tcBorders>
            <w:shd w:val="clear" w:color="auto" w:fill="D3DFEE" w:themeFill="accent1" w:themeFillTint="3F"/>
            <w:noWrap/>
            <w:vAlign w:val="center"/>
          </w:tcPr>
          <w:p w14:paraId="209E987C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kern w:val="0"/>
                <w:sz w:val="24"/>
              </w:rPr>
              <w:t>64.00%</w:t>
            </w:r>
          </w:p>
        </w:tc>
        <w:tc>
          <w:tcPr>
            <w:tcW w:w="1241" w:type="dxa"/>
            <w:tcBorders>
              <w:right w:val="nil"/>
              <w:insideV w:val="nil"/>
            </w:tcBorders>
            <w:shd w:val="clear" w:color="auto" w:fill="D3DFEE" w:themeFill="accent1" w:themeFillTint="3F"/>
            <w:noWrap/>
            <w:vAlign w:val="center"/>
          </w:tcPr>
          <w:p w14:paraId="7F4C8264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kern w:val="0"/>
                <w:sz w:val="24"/>
              </w:rPr>
              <w:t>36.00%</w:t>
            </w:r>
          </w:p>
        </w:tc>
        <w:tc>
          <w:tcPr>
            <w:tcW w:w="1241" w:type="dxa"/>
            <w:tcBorders>
              <w:right w:val="nil"/>
              <w:insideV w:val="nil"/>
            </w:tcBorders>
            <w:shd w:val="clear" w:color="auto" w:fill="D3DFEE" w:themeFill="accent1" w:themeFillTint="3F"/>
            <w:noWrap/>
            <w:vAlign w:val="center"/>
          </w:tcPr>
          <w:p w14:paraId="3533431F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kern w:val="0"/>
                <w:sz w:val="24"/>
              </w:rPr>
              <w:t>0.00%</w:t>
            </w:r>
          </w:p>
        </w:tc>
        <w:tc>
          <w:tcPr>
            <w:tcW w:w="1243" w:type="dxa"/>
            <w:tcBorders>
              <w:right w:val="nil"/>
              <w:insideV w:val="nil"/>
            </w:tcBorders>
            <w:shd w:val="clear" w:color="auto" w:fill="D3DFEE" w:themeFill="accent1" w:themeFillTint="3F"/>
            <w:noWrap/>
            <w:vAlign w:val="center"/>
          </w:tcPr>
          <w:p w14:paraId="0AA2BB6E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sz w:val="24"/>
              </w:rPr>
              <w:t>0.00%</w:t>
            </w:r>
          </w:p>
        </w:tc>
      </w:tr>
      <w:tr w14:paraId="4E914AEA">
        <w:tblPrEx>
          <w:tblBorders>
            <w:top w:val="single" w:color="4F81BD" w:themeColor="accent1" w:sz="8" w:space="0"/>
            <w:left w:val="none" w:color="auto" w:sz="0" w:space="0"/>
            <w:bottom w:val="single" w:color="4F81BD" w:themeColor="accen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611" w:type="dxa"/>
            <w:noWrap/>
          </w:tcPr>
          <w:p w14:paraId="4D3A9836">
            <w:pPr>
              <w:widowControl/>
              <w:jc w:val="left"/>
              <w:rPr>
                <w:rFonts w:ascii="仿宋_GB2312" w:hAnsi="仿宋" w:eastAsia="仿宋_GB2312" w:cs="宋体"/>
                <w:b w:val="0"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b w:val="0"/>
                <w:bCs/>
                <w:color w:val="auto"/>
                <w:kern w:val="0"/>
                <w:sz w:val="24"/>
              </w:rPr>
              <w:t>现场查勘和编制/复核供水方案</w:t>
            </w:r>
          </w:p>
        </w:tc>
        <w:tc>
          <w:tcPr>
            <w:tcW w:w="1241" w:type="dxa"/>
            <w:noWrap/>
            <w:vAlign w:val="center"/>
          </w:tcPr>
          <w:p w14:paraId="5BEE31EC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kern w:val="0"/>
                <w:sz w:val="24"/>
              </w:rPr>
              <w:t>64.00%</w:t>
            </w:r>
          </w:p>
        </w:tc>
        <w:tc>
          <w:tcPr>
            <w:tcW w:w="1241" w:type="dxa"/>
            <w:noWrap/>
            <w:vAlign w:val="center"/>
          </w:tcPr>
          <w:p w14:paraId="5BFE108F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kern w:val="0"/>
                <w:sz w:val="24"/>
              </w:rPr>
              <w:t>36.00%</w:t>
            </w:r>
          </w:p>
        </w:tc>
        <w:tc>
          <w:tcPr>
            <w:tcW w:w="1241" w:type="dxa"/>
            <w:noWrap/>
            <w:vAlign w:val="center"/>
          </w:tcPr>
          <w:p w14:paraId="3CCE3862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kern w:val="0"/>
                <w:sz w:val="24"/>
              </w:rPr>
              <w:t>0.00%</w:t>
            </w:r>
          </w:p>
        </w:tc>
        <w:tc>
          <w:tcPr>
            <w:tcW w:w="1243" w:type="dxa"/>
            <w:noWrap/>
            <w:vAlign w:val="center"/>
          </w:tcPr>
          <w:p w14:paraId="4E55D9CC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sz w:val="24"/>
              </w:rPr>
              <w:t>0.00%</w:t>
            </w:r>
          </w:p>
        </w:tc>
      </w:tr>
      <w:tr w14:paraId="30CEA485">
        <w:tblPrEx>
          <w:tblBorders>
            <w:top w:val="single" w:color="4F81BD" w:themeColor="accent1" w:sz="8" w:space="0"/>
            <w:left w:val="none" w:color="auto" w:sz="0" w:space="0"/>
            <w:bottom w:val="single" w:color="4F81BD" w:themeColor="accen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611" w:type="dxa"/>
            <w:tcBorders>
              <w:left w:val="nil"/>
              <w:right w:val="nil"/>
              <w:insideV w:val="nil"/>
            </w:tcBorders>
            <w:shd w:val="clear" w:color="auto" w:fill="D3DFEE" w:themeFill="accent1" w:themeFillTint="3F"/>
            <w:noWrap/>
          </w:tcPr>
          <w:p w14:paraId="36F3CAC0">
            <w:pPr>
              <w:widowControl/>
              <w:jc w:val="left"/>
              <w:rPr>
                <w:rFonts w:ascii="仿宋_GB2312" w:hAnsi="仿宋" w:eastAsia="仿宋_GB2312" w:cs="宋体"/>
                <w:b w:val="0"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b w:val="0"/>
                <w:bCs/>
                <w:color w:val="auto"/>
                <w:kern w:val="0"/>
                <w:sz w:val="24"/>
              </w:rPr>
              <w:t>工程质量验收</w:t>
            </w:r>
          </w:p>
        </w:tc>
        <w:tc>
          <w:tcPr>
            <w:tcW w:w="1241" w:type="dxa"/>
            <w:tcBorders>
              <w:right w:val="nil"/>
              <w:insideV w:val="nil"/>
            </w:tcBorders>
            <w:shd w:val="clear" w:color="auto" w:fill="D3DFEE" w:themeFill="accent1" w:themeFillTint="3F"/>
            <w:noWrap/>
            <w:vAlign w:val="center"/>
          </w:tcPr>
          <w:p w14:paraId="41B5F620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kern w:val="0"/>
                <w:sz w:val="24"/>
              </w:rPr>
              <w:t>64.00%</w:t>
            </w:r>
          </w:p>
        </w:tc>
        <w:tc>
          <w:tcPr>
            <w:tcW w:w="1241" w:type="dxa"/>
            <w:tcBorders>
              <w:right w:val="nil"/>
              <w:insideV w:val="nil"/>
            </w:tcBorders>
            <w:shd w:val="clear" w:color="auto" w:fill="D3DFEE" w:themeFill="accent1" w:themeFillTint="3F"/>
            <w:noWrap/>
            <w:vAlign w:val="center"/>
          </w:tcPr>
          <w:p w14:paraId="7CB00350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kern w:val="0"/>
                <w:sz w:val="24"/>
              </w:rPr>
              <w:t>36.00%</w:t>
            </w:r>
          </w:p>
        </w:tc>
        <w:tc>
          <w:tcPr>
            <w:tcW w:w="1241" w:type="dxa"/>
            <w:tcBorders>
              <w:right w:val="nil"/>
              <w:insideV w:val="nil"/>
            </w:tcBorders>
            <w:shd w:val="clear" w:color="auto" w:fill="D3DFEE" w:themeFill="accent1" w:themeFillTint="3F"/>
            <w:noWrap/>
            <w:vAlign w:val="center"/>
          </w:tcPr>
          <w:p w14:paraId="077BFE2A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kern w:val="0"/>
                <w:sz w:val="24"/>
              </w:rPr>
              <w:t>0.00%</w:t>
            </w:r>
          </w:p>
        </w:tc>
        <w:tc>
          <w:tcPr>
            <w:tcW w:w="1243" w:type="dxa"/>
            <w:tcBorders>
              <w:right w:val="nil"/>
              <w:insideV w:val="nil"/>
            </w:tcBorders>
            <w:shd w:val="clear" w:color="auto" w:fill="D3DFEE" w:themeFill="accent1" w:themeFillTint="3F"/>
            <w:noWrap/>
            <w:vAlign w:val="center"/>
          </w:tcPr>
          <w:p w14:paraId="3AD24C87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sz w:val="24"/>
              </w:rPr>
              <w:t>0.00%</w:t>
            </w:r>
          </w:p>
        </w:tc>
      </w:tr>
      <w:tr w14:paraId="47351144">
        <w:tblPrEx>
          <w:tblBorders>
            <w:top w:val="single" w:color="4F81BD" w:themeColor="accent1" w:sz="8" w:space="0"/>
            <w:left w:val="none" w:color="auto" w:sz="0" w:space="0"/>
            <w:bottom w:val="single" w:color="4F81BD" w:themeColor="accen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611" w:type="dxa"/>
            <w:noWrap/>
          </w:tcPr>
          <w:p w14:paraId="028A551E">
            <w:pPr>
              <w:widowControl/>
              <w:jc w:val="left"/>
              <w:rPr>
                <w:rFonts w:ascii="仿宋_GB2312" w:hAnsi="仿宋" w:eastAsia="仿宋_GB2312" w:cs="宋体"/>
                <w:b w:val="0"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b w:val="0"/>
                <w:bCs/>
                <w:color w:val="auto"/>
                <w:kern w:val="0"/>
                <w:sz w:val="24"/>
              </w:rPr>
              <w:t>签订供用水合同</w:t>
            </w:r>
          </w:p>
        </w:tc>
        <w:tc>
          <w:tcPr>
            <w:tcW w:w="1241" w:type="dxa"/>
            <w:noWrap/>
            <w:vAlign w:val="center"/>
          </w:tcPr>
          <w:p w14:paraId="0FF0085D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kern w:val="0"/>
                <w:sz w:val="24"/>
              </w:rPr>
              <w:t>64.00%</w:t>
            </w:r>
          </w:p>
        </w:tc>
        <w:tc>
          <w:tcPr>
            <w:tcW w:w="1241" w:type="dxa"/>
            <w:noWrap/>
            <w:vAlign w:val="center"/>
          </w:tcPr>
          <w:p w14:paraId="067D8E90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kern w:val="0"/>
                <w:sz w:val="24"/>
              </w:rPr>
              <w:t>36.00%</w:t>
            </w:r>
          </w:p>
        </w:tc>
        <w:tc>
          <w:tcPr>
            <w:tcW w:w="1241" w:type="dxa"/>
            <w:noWrap/>
            <w:vAlign w:val="center"/>
          </w:tcPr>
          <w:p w14:paraId="19D2EC54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kern w:val="0"/>
                <w:sz w:val="24"/>
              </w:rPr>
              <w:t>0.00%</w:t>
            </w:r>
          </w:p>
        </w:tc>
        <w:tc>
          <w:tcPr>
            <w:tcW w:w="1243" w:type="dxa"/>
            <w:noWrap/>
            <w:vAlign w:val="center"/>
          </w:tcPr>
          <w:p w14:paraId="4BC106F7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sz w:val="24"/>
              </w:rPr>
              <w:t>0.00%</w:t>
            </w:r>
          </w:p>
        </w:tc>
      </w:tr>
      <w:tr w14:paraId="1E6AD53F">
        <w:tblPrEx>
          <w:tblBorders>
            <w:top w:val="single" w:color="4F81BD" w:themeColor="accent1" w:sz="8" w:space="0"/>
            <w:left w:val="none" w:color="auto" w:sz="0" w:space="0"/>
            <w:bottom w:val="single" w:color="4F81BD" w:themeColor="accen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611" w:type="dxa"/>
            <w:tcBorders>
              <w:left w:val="nil"/>
              <w:right w:val="nil"/>
              <w:insideV w:val="nil"/>
            </w:tcBorders>
            <w:shd w:val="clear" w:color="auto" w:fill="D3DFEE" w:themeFill="accent1" w:themeFillTint="3F"/>
            <w:noWrap/>
          </w:tcPr>
          <w:p w14:paraId="59E427E2">
            <w:pPr>
              <w:widowControl/>
              <w:jc w:val="left"/>
              <w:rPr>
                <w:rFonts w:ascii="仿宋_GB2312" w:hAnsi="仿宋" w:eastAsia="仿宋_GB2312" w:cs="宋体"/>
                <w:b w:val="0"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b w:val="0"/>
                <w:bCs/>
                <w:color w:val="auto"/>
                <w:kern w:val="0"/>
                <w:sz w:val="24"/>
              </w:rPr>
              <w:t>总体服务</w:t>
            </w:r>
          </w:p>
        </w:tc>
        <w:tc>
          <w:tcPr>
            <w:tcW w:w="1241" w:type="dxa"/>
            <w:tcBorders>
              <w:right w:val="nil"/>
              <w:insideV w:val="nil"/>
            </w:tcBorders>
            <w:shd w:val="clear" w:color="auto" w:fill="D3DFEE" w:themeFill="accent1" w:themeFillTint="3F"/>
            <w:noWrap/>
            <w:vAlign w:val="center"/>
          </w:tcPr>
          <w:p w14:paraId="20DADC33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kern w:val="0"/>
                <w:sz w:val="24"/>
              </w:rPr>
              <w:t>64.00%</w:t>
            </w:r>
          </w:p>
        </w:tc>
        <w:tc>
          <w:tcPr>
            <w:tcW w:w="1241" w:type="dxa"/>
            <w:tcBorders>
              <w:right w:val="nil"/>
              <w:insideV w:val="nil"/>
            </w:tcBorders>
            <w:shd w:val="clear" w:color="auto" w:fill="D3DFEE" w:themeFill="accent1" w:themeFillTint="3F"/>
            <w:noWrap/>
            <w:vAlign w:val="center"/>
          </w:tcPr>
          <w:p w14:paraId="073E54DE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kern w:val="0"/>
                <w:sz w:val="24"/>
              </w:rPr>
              <w:t>36.00%</w:t>
            </w:r>
          </w:p>
        </w:tc>
        <w:tc>
          <w:tcPr>
            <w:tcW w:w="1241" w:type="dxa"/>
            <w:tcBorders>
              <w:right w:val="nil"/>
              <w:insideV w:val="nil"/>
            </w:tcBorders>
            <w:shd w:val="clear" w:color="auto" w:fill="D3DFEE" w:themeFill="accent1" w:themeFillTint="3F"/>
            <w:noWrap/>
            <w:vAlign w:val="center"/>
          </w:tcPr>
          <w:p w14:paraId="7D4A6EEF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kern w:val="0"/>
                <w:sz w:val="24"/>
              </w:rPr>
              <w:t>0.00%</w:t>
            </w:r>
          </w:p>
        </w:tc>
        <w:tc>
          <w:tcPr>
            <w:tcW w:w="1243" w:type="dxa"/>
            <w:tcBorders>
              <w:right w:val="nil"/>
              <w:insideV w:val="nil"/>
            </w:tcBorders>
            <w:shd w:val="clear" w:color="auto" w:fill="D3DFEE" w:themeFill="accent1" w:themeFillTint="3F"/>
            <w:noWrap/>
            <w:vAlign w:val="center"/>
          </w:tcPr>
          <w:p w14:paraId="2B8EC00F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sz w:val="24"/>
              </w:rPr>
              <w:t>0.00%</w:t>
            </w:r>
          </w:p>
        </w:tc>
      </w:tr>
      <w:tr w14:paraId="45EA5F19">
        <w:tblPrEx>
          <w:tblBorders>
            <w:top w:val="single" w:color="4F81BD" w:themeColor="accent1" w:sz="8" w:space="0"/>
            <w:left w:val="none" w:color="auto" w:sz="0" w:space="0"/>
            <w:bottom w:val="single" w:color="4F81BD" w:themeColor="accen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611" w:type="dxa"/>
            <w:noWrap/>
          </w:tcPr>
          <w:p w14:paraId="0383848B">
            <w:pPr>
              <w:widowControl/>
              <w:jc w:val="center"/>
              <w:rPr>
                <w:rFonts w:ascii="仿宋_GB2312" w:hAnsi="仿宋" w:eastAsia="仿宋_GB2312" w:cs="宋体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b/>
                <w:bCs/>
                <w:color w:val="auto"/>
                <w:kern w:val="0"/>
                <w:sz w:val="24"/>
              </w:rPr>
              <w:t>总体满意率</w:t>
            </w:r>
          </w:p>
        </w:tc>
        <w:tc>
          <w:tcPr>
            <w:tcW w:w="4966" w:type="dxa"/>
            <w:gridSpan w:val="4"/>
            <w:noWrap/>
          </w:tcPr>
          <w:p w14:paraId="678073E1">
            <w:pPr>
              <w:widowControl/>
              <w:jc w:val="center"/>
              <w:rPr>
                <w:rFonts w:ascii="仿宋_GB2312" w:hAnsi="仿宋" w:eastAsia="仿宋_GB2312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b/>
                <w:bCs/>
                <w:color w:val="auto"/>
                <w:kern w:val="0"/>
                <w:sz w:val="24"/>
              </w:rPr>
              <w:t>100.00%</w:t>
            </w:r>
          </w:p>
        </w:tc>
      </w:tr>
    </w:tbl>
    <w:p w14:paraId="32935991">
      <w:pPr>
        <w:spacing w:before="156" w:beforeLines="50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（5）临港供排水</w:t>
      </w:r>
    </w:p>
    <w:tbl>
      <w:tblPr>
        <w:tblStyle w:val="18"/>
        <w:tblW w:w="8542" w:type="dxa"/>
        <w:jc w:val="center"/>
        <w:tblBorders>
          <w:top w:val="single" w:color="4F81BD" w:themeColor="accent1" w:sz="8" w:space="0"/>
          <w:left w:val="none" w:color="auto" w:sz="0" w:space="0"/>
          <w:bottom w:val="single" w:color="4F81BD" w:themeColor="accent1" w:sz="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96"/>
        <w:gridCol w:w="1236"/>
        <w:gridCol w:w="1236"/>
        <w:gridCol w:w="1236"/>
        <w:gridCol w:w="1238"/>
      </w:tblGrid>
      <w:tr w14:paraId="0E75DBCF">
        <w:tblPrEx>
          <w:tblBorders>
            <w:top w:val="single" w:color="4F81BD" w:themeColor="accent1" w:sz="8" w:space="0"/>
            <w:left w:val="none" w:color="auto" w:sz="0" w:space="0"/>
            <w:bottom w:val="single" w:color="4F81BD" w:themeColor="accen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3596" w:type="dxa"/>
            <w:tcBorders>
              <w:top w:val="single" w:color="4F81BD" w:themeColor="accent1" w:sz="8" w:space="0"/>
              <w:left w:val="nil"/>
              <w:bottom w:val="single" w:color="4F81BD" w:themeColor="accent1" w:sz="8" w:space="0"/>
              <w:right w:val="nil"/>
              <w:insideH w:val="single" w:sz="8" w:space="0"/>
              <w:insideV w:val="nil"/>
            </w:tcBorders>
            <w:noWrap/>
          </w:tcPr>
          <w:p w14:paraId="59DFD821">
            <w:pPr>
              <w:widowControl/>
              <w:spacing w:before="0" w:after="0" w:line="240" w:lineRule="auto"/>
              <w:jc w:val="center"/>
              <w:rPr>
                <w:rFonts w:ascii="仿宋_GB2312" w:hAnsi="仿宋" w:eastAsia="仿宋_GB2312" w:cs="宋体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b/>
                <w:bCs/>
                <w:color w:val="auto"/>
                <w:kern w:val="0"/>
                <w:sz w:val="24"/>
              </w:rPr>
              <w:t>指  标</w:t>
            </w:r>
          </w:p>
        </w:tc>
        <w:tc>
          <w:tcPr>
            <w:tcW w:w="1236" w:type="dxa"/>
            <w:tcBorders>
              <w:top w:val="single" w:color="4F81BD" w:themeColor="accent1" w:sz="8" w:space="0"/>
              <w:bottom w:val="single" w:color="4F81BD" w:themeColor="accent1" w:sz="8" w:space="0"/>
              <w:right w:val="nil"/>
              <w:insideH w:val="single" w:sz="8" w:space="0"/>
              <w:insideV w:val="nil"/>
            </w:tcBorders>
            <w:noWrap/>
          </w:tcPr>
          <w:p w14:paraId="7B735CA0">
            <w:pPr>
              <w:widowControl/>
              <w:spacing w:before="0" w:after="0" w:line="240" w:lineRule="auto"/>
              <w:jc w:val="center"/>
              <w:rPr>
                <w:rFonts w:ascii="仿宋_GB2312" w:hAnsi="仿宋" w:eastAsia="仿宋_GB2312" w:cs="宋体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b/>
                <w:bCs/>
                <w:color w:val="auto"/>
                <w:kern w:val="0"/>
                <w:sz w:val="24"/>
              </w:rPr>
              <w:t>非常满意</w:t>
            </w:r>
          </w:p>
        </w:tc>
        <w:tc>
          <w:tcPr>
            <w:tcW w:w="1236" w:type="dxa"/>
            <w:tcBorders>
              <w:top w:val="single" w:color="4F81BD" w:themeColor="accent1" w:sz="8" w:space="0"/>
              <w:bottom w:val="single" w:color="4F81BD" w:themeColor="accent1" w:sz="8" w:space="0"/>
              <w:right w:val="nil"/>
              <w:insideH w:val="single" w:sz="8" w:space="0"/>
              <w:insideV w:val="nil"/>
            </w:tcBorders>
            <w:noWrap/>
          </w:tcPr>
          <w:p w14:paraId="13B562E2">
            <w:pPr>
              <w:widowControl/>
              <w:spacing w:before="0" w:after="0" w:line="240" w:lineRule="auto"/>
              <w:jc w:val="center"/>
              <w:rPr>
                <w:rFonts w:ascii="仿宋_GB2312" w:hAnsi="仿宋" w:eastAsia="仿宋_GB2312" w:cs="宋体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b/>
                <w:bCs/>
                <w:color w:val="auto"/>
                <w:kern w:val="0"/>
                <w:sz w:val="24"/>
              </w:rPr>
              <w:t>满意</w:t>
            </w:r>
          </w:p>
        </w:tc>
        <w:tc>
          <w:tcPr>
            <w:tcW w:w="1236" w:type="dxa"/>
            <w:tcBorders>
              <w:top w:val="single" w:color="4F81BD" w:themeColor="accent1" w:sz="8" w:space="0"/>
              <w:bottom w:val="single" w:color="4F81BD" w:themeColor="accent1" w:sz="8" w:space="0"/>
              <w:right w:val="nil"/>
              <w:insideH w:val="single" w:sz="8" w:space="0"/>
              <w:insideV w:val="nil"/>
            </w:tcBorders>
            <w:noWrap/>
          </w:tcPr>
          <w:p w14:paraId="309F3C36">
            <w:pPr>
              <w:widowControl/>
              <w:spacing w:before="0" w:after="0" w:line="240" w:lineRule="auto"/>
              <w:jc w:val="center"/>
              <w:rPr>
                <w:rFonts w:ascii="仿宋_GB2312" w:hAnsi="仿宋" w:eastAsia="仿宋_GB2312" w:cs="宋体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b/>
                <w:bCs/>
                <w:color w:val="auto"/>
                <w:kern w:val="0"/>
                <w:sz w:val="24"/>
              </w:rPr>
              <w:t>基本满意</w:t>
            </w:r>
          </w:p>
        </w:tc>
        <w:tc>
          <w:tcPr>
            <w:tcW w:w="1238" w:type="dxa"/>
            <w:tcBorders>
              <w:top w:val="single" w:color="4F81BD" w:themeColor="accent1" w:sz="8" w:space="0"/>
              <w:bottom w:val="single" w:color="4F81BD" w:themeColor="accent1" w:sz="8" w:space="0"/>
              <w:right w:val="nil"/>
              <w:insideH w:val="single" w:sz="8" w:space="0"/>
              <w:insideV w:val="nil"/>
            </w:tcBorders>
            <w:noWrap/>
          </w:tcPr>
          <w:p w14:paraId="67D5C1BA">
            <w:pPr>
              <w:widowControl/>
              <w:spacing w:before="0" w:after="0" w:line="240" w:lineRule="auto"/>
              <w:jc w:val="center"/>
              <w:rPr>
                <w:rFonts w:ascii="仿宋_GB2312" w:hAnsi="仿宋" w:eastAsia="仿宋_GB2312" w:cs="宋体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b/>
                <w:bCs/>
                <w:color w:val="auto"/>
                <w:kern w:val="0"/>
                <w:sz w:val="24"/>
              </w:rPr>
              <w:t>不满意</w:t>
            </w:r>
          </w:p>
        </w:tc>
      </w:tr>
      <w:tr w14:paraId="01ED53A0">
        <w:tblPrEx>
          <w:tblBorders>
            <w:top w:val="single" w:color="4F81BD" w:themeColor="accent1" w:sz="8" w:space="0"/>
            <w:left w:val="none" w:color="auto" w:sz="0" w:space="0"/>
            <w:bottom w:val="single" w:color="4F81BD" w:themeColor="accen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3596" w:type="dxa"/>
            <w:tcBorders>
              <w:left w:val="nil"/>
              <w:right w:val="nil"/>
              <w:insideV w:val="nil"/>
            </w:tcBorders>
            <w:shd w:val="clear" w:color="auto" w:fill="D3DFEE" w:themeFill="accent1" w:themeFillTint="3F"/>
            <w:noWrap/>
          </w:tcPr>
          <w:p w14:paraId="5A7E4281">
            <w:pPr>
              <w:widowControl/>
              <w:jc w:val="left"/>
              <w:rPr>
                <w:rFonts w:ascii="仿宋_GB2312" w:hAnsi="仿宋" w:eastAsia="仿宋_GB2312" w:cs="宋体"/>
                <w:b w:val="0"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b w:val="0"/>
                <w:bCs/>
                <w:color w:val="auto"/>
                <w:kern w:val="0"/>
                <w:sz w:val="24"/>
              </w:rPr>
              <w:t>前期咨询和申请受理</w:t>
            </w:r>
          </w:p>
        </w:tc>
        <w:tc>
          <w:tcPr>
            <w:tcW w:w="1236" w:type="dxa"/>
            <w:tcBorders>
              <w:right w:val="nil"/>
              <w:insideV w:val="nil"/>
            </w:tcBorders>
            <w:shd w:val="clear" w:color="auto" w:fill="D3DFEE" w:themeFill="accent1" w:themeFillTint="3F"/>
            <w:noWrap/>
            <w:vAlign w:val="center"/>
          </w:tcPr>
          <w:p w14:paraId="38CA3272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kern w:val="0"/>
                <w:sz w:val="24"/>
              </w:rPr>
              <w:t>66.67%</w:t>
            </w:r>
          </w:p>
        </w:tc>
        <w:tc>
          <w:tcPr>
            <w:tcW w:w="1236" w:type="dxa"/>
            <w:tcBorders>
              <w:right w:val="nil"/>
              <w:insideV w:val="nil"/>
            </w:tcBorders>
            <w:shd w:val="clear" w:color="auto" w:fill="D3DFEE" w:themeFill="accent1" w:themeFillTint="3F"/>
            <w:noWrap/>
            <w:vAlign w:val="center"/>
          </w:tcPr>
          <w:p w14:paraId="3FFE0240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kern w:val="0"/>
                <w:sz w:val="24"/>
              </w:rPr>
              <w:t>33.33%</w:t>
            </w:r>
          </w:p>
        </w:tc>
        <w:tc>
          <w:tcPr>
            <w:tcW w:w="1236" w:type="dxa"/>
            <w:tcBorders>
              <w:right w:val="nil"/>
              <w:insideV w:val="nil"/>
            </w:tcBorders>
            <w:shd w:val="clear" w:color="auto" w:fill="D3DFEE" w:themeFill="accent1" w:themeFillTint="3F"/>
            <w:noWrap/>
            <w:vAlign w:val="center"/>
          </w:tcPr>
          <w:p w14:paraId="0EA92BFE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kern w:val="0"/>
                <w:sz w:val="24"/>
              </w:rPr>
              <w:t>0.00%</w:t>
            </w:r>
          </w:p>
        </w:tc>
        <w:tc>
          <w:tcPr>
            <w:tcW w:w="1238" w:type="dxa"/>
            <w:tcBorders>
              <w:right w:val="nil"/>
              <w:insideV w:val="nil"/>
            </w:tcBorders>
            <w:shd w:val="clear" w:color="auto" w:fill="D3DFEE" w:themeFill="accent1" w:themeFillTint="3F"/>
            <w:noWrap/>
            <w:vAlign w:val="center"/>
          </w:tcPr>
          <w:p w14:paraId="0B09617B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sz w:val="24"/>
              </w:rPr>
              <w:t>0.00%</w:t>
            </w:r>
          </w:p>
        </w:tc>
      </w:tr>
      <w:tr w14:paraId="7D077CEC">
        <w:tblPrEx>
          <w:tblBorders>
            <w:top w:val="single" w:color="4F81BD" w:themeColor="accent1" w:sz="8" w:space="0"/>
            <w:left w:val="none" w:color="auto" w:sz="0" w:space="0"/>
            <w:bottom w:val="single" w:color="4F81BD" w:themeColor="accen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3596" w:type="dxa"/>
            <w:noWrap/>
          </w:tcPr>
          <w:p w14:paraId="08ADCD7C">
            <w:pPr>
              <w:widowControl/>
              <w:jc w:val="left"/>
              <w:rPr>
                <w:rFonts w:ascii="仿宋_GB2312" w:hAnsi="仿宋" w:eastAsia="仿宋_GB2312" w:cs="宋体"/>
                <w:b w:val="0"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b w:val="0"/>
                <w:bCs/>
                <w:color w:val="auto"/>
                <w:kern w:val="0"/>
                <w:sz w:val="24"/>
              </w:rPr>
              <w:t>现场查勘和编制/复核供水方案</w:t>
            </w:r>
          </w:p>
        </w:tc>
        <w:tc>
          <w:tcPr>
            <w:tcW w:w="1236" w:type="dxa"/>
            <w:noWrap/>
            <w:vAlign w:val="center"/>
          </w:tcPr>
          <w:p w14:paraId="0EB0D5E9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kern w:val="0"/>
                <w:sz w:val="24"/>
              </w:rPr>
              <w:t>66.67%</w:t>
            </w:r>
          </w:p>
        </w:tc>
        <w:tc>
          <w:tcPr>
            <w:tcW w:w="1236" w:type="dxa"/>
            <w:noWrap/>
            <w:vAlign w:val="center"/>
          </w:tcPr>
          <w:p w14:paraId="310AF72B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kern w:val="0"/>
                <w:sz w:val="24"/>
              </w:rPr>
              <w:t>33.33%</w:t>
            </w:r>
          </w:p>
        </w:tc>
        <w:tc>
          <w:tcPr>
            <w:tcW w:w="1236" w:type="dxa"/>
            <w:noWrap/>
            <w:vAlign w:val="center"/>
          </w:tcPr>
          <w:p w14:paraId="0CB90BAC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kern w:val="0"/>
                <w:sz w:val="24"/>
              </w:rPr>
              <w:t>0.00%</w:t>
            </w:r>
          </w:p>
        </w:tc>
        <w:tc>
          <w:tcPr>
            <w:tcW w:w="1238" w:type="dxa"/>
            <w:noWrap/>
            <w:vAlign w:val="center"/>
          </w:tcPr>
          <w:p w14:paraId="3201758D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sz w:val="24"/>
              </w:rPr>
              <w:t>0.00%</w:t>
            </w:r>
          </w:p>
        </w:tc>
      </w:tr>
      <w:tr w14:paraId="356A3345">
        <w:tblPrEx>
          <w:tblBorders>
            <w:top w:val="single" w:color="4F81BD" w:themeColor="accent1" w:sz="8" w:space="0"/>
            <w:left w:val="none" w:color="auto" w:sz="0" w:space="0"/>
            <w:bottom w:val="single" w:color="4F81BD" w:themeColor="accen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3596" w:type="dxa"/>
            <w:tcBorders>
              <w:left w:val="nil"/>
              <w:right w:val="nil"/>
              <w:insideV w:val="nil"/>
            </w:tcBorders>
            <w:shd w:val="clear" w:color="auto" w:fill="D3DFEE" w:themeFill="accent1" w:themeFillTint="3F"/>
            <w:noWrap/>
          </w:tcPr>
          <w:p w14:paraId="23505200">
            <w:pPr>
              <w:widowControl/>
              <w:jc w:val="left"/>
              <w:rPr>
                <w:rFonts w:ascii="仿宋_GB2312" w:hAnsi="仿宋" w:eastAsia="仿宋_GB2312" w:cs="宋体"/>
                <w:b w:val="0"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b w:val="0"/>
                <w:bCs/>
                <w:color w:val="auto"/>
                <w:kern w:val="0"/>
                <w:sz w:val="24"/>
              </w:rPr>
              <w:t>工程质量验收</w:t>
            </w:r>
          </w:p>
        </w:tc>
        <w:tc>
          <w:tcPr>
            <w:tcW w:w="1236" w:type="dxa"/>
            <w:tcBorders>
              <w:right w:val="nil"/>
              <w:insideV w:val="nil"/>
            </w:tcBorders>
            <w:shd w:val="clear" w:color="auto" w:fill="D3DFEE" w:themeFill="accent1" w:themeFillTint="3F"/>
            <w:noWrap/>
            <w:vAlign w:val="center"/>
          </w:tcPr>
          <w:p w14:paraId="5B668737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kern w:val="0"/>
                <w:sz w:val="24"/>
              </w:rPr>
              <w:t>66.67%</w:t>
            </w:r>
          </w:p>
        </w:tc>
        <w:tc>
          <w:tcPr>
            <w:tcW w:w="1236" w:type="dxa"/>
            <w:tcBorders>
              <w:right w:val="nil"/>
              <w:insideV w:val="nil"/>
            </w:tcBorders>
            <w:shd w:val="clear" w:color="auto" w:fill="D3DFEE" w:themeFill="accent1" w:themeFillTint="3F"/>
            <w:noWrap/>
            <w:vAlign w:val="center"/>
          </w:tcPr>
          <w:p w14:paraId="075E322F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kern w:val="0"/>
                <w:sz w:val="24"/>
              </w:rPr>
              <w:t>33.33%</w:t>
            </w:r>
          </w:p>
        </w:tc>
        <w:tc>
          <w:tcPr>
            <w:tcW w:w="1236" w:type="dxa"/>
            <w:tcBorders>
              <w:right w:val="nil"/>
              <w:insideV w:val="nil"/>
            </w:tcBorders>
            <w:shd w:val="clear" w:color="auto" w:fill="D3DFEE" w:themeFill="accent1" w:themeFillTint="3F"/>
            <w:noWrap/>
            <w:vAlign w:val="center"/>
          </w:tcPr>
          <w:p w14:paraId="43B7E973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kern w:val="0"/>
                <w:sz w:val="24"/>
              </w:rPr>
              <w:t>0.00%</w:t>
            </w:r>
          </w:p>
        </w:tc>
        <w:tc>
          <w:tcPr>
            <w:tcW w:w="1238" w:type="dxa"/>
            <w:tcBorders>
              <w:right w:val="nil"/>
              <w:insideV w:val="nil"/>
            </w:tcBorders>
            <w:shd w:val="clear" w:color="auto" w:fill="D3DFEE" w:themeFill="accent1" w:themeFillTint="3F"/>
            <w:noWrap/>
            <w:vAlign w:val="center"/>
          </w:tcPr>
          <w:p w14:paraId="0183B959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sz w:val="24"/>
              </w:rPr>
              <w:t>0.00%</w:t>
            </w:r>
          </w:p>
        </w:tc>
      </w:tr>
      <w:tr w14:paraId="376B7A22">
        <w:tblPrEx>
          <w:tblBorders>
            <w:top w:val="single" w:color="4F81BD" w:themeColor="accent1" w:sz="8" w:space="0"/>
            <w:left w:val="none" w:color="auto" w:sz="0" w:space="0"/>
            <w:bottom w:val="single" w:color="4F81BD" w:themeColor="accen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3596" w:type="dxa"/>
            <w:noWrap/>
          </w:tcPr>
          <w:p w14:paraId="463DB0CA">
            <w:pPr>
              <w:widowControl/>
              <w:jc w:val="left"/>
              <w:rPr>
                <w:rFonts w:ascii="仿宋_GB2312" w:hAnsi="仿宋" w:eastAsia="仿宋_GB2312" w:cs="宋体"/>
                <w:b w:val="0"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b w:val="0"/>
                <w:bCs/>
                <w:color w:val="auto"/>
                <w:kern w:val="0"/>
                <w:sz w:val="24"/>
              </w:rPr>
              <w:t>签订供用水合同</w:t>
            </w:r>
          </w:p>
        </w:tc>
        <w:tc>
          <w:tcPr>
            <w:tcW w:w="1236" w:type="dxa"/>
            <w:noWrap/>
            <w:vAlign w:val="center"/>
          </w:tcPr>
          <w:p w14:paraId="47B408B4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kern w:val="0"/>
                <w:sz w:val="24"/>
              </w:rPr>
              <w:t>66.67%</w:t>
            </w:r>
          </w:p>
        </w:tc>
        <w:tc>
          <w:tcPr>
            <w:tcW w:w="1236" w:type="dxa"/>
            <w:noWrap/>
            <w:vAlign w:val="center"/>
          </w:tcPr>
          <w:p w14:paraId="60BEBAA1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kern w:val="0"/>
                <w:sz w:val="24"/>
              </w:rPr>
              <w:t>33.33%</w:t>
            </w:r>
          </w:p>
        </w:tc>
        <w:tc>
          <w:tcPr>
            <w:tcW w:w="1236" w:type="dxa"/>
            <w:noWrap/>
            <w:vAlign w:val="center"/>
          </w:tcPr>
          <w:p w14:paraId="100A9925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kern w:val="0"/>
                <w:sz w:val="24"/>
              </w:rPr>
              <w:t>0.00%</w:t>
            </w:r>
          </w:p>
        </w:tc>
        <w:tc>
          <w:tcPr>
            <w:tcW w:w="1238" w:type="dxa"/>
            <w:noWrap/>
            <w:vAlign w:val="center"/>
          </w:tcPr>
          <w:p w14:paraId="01A1CE14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sz w:val="24"/>
              </w:rPr>
              <w:t>0.00%</w:t>
            </w:r>
          </w:p>
        </w:tc>
      </w:tr>
      <w:tr w14:paraId="1C761C24">
        <w:tblPrEx>
          <w:tblBorders>
            <w:top w:val="single" w:color="4F81BD" w:themeColor="accent1" w:sz="8" w:space="0"/>
            <w:left w:val="none" w:color="auto" w:sz="0" w:space="0"/>
            <w:bottom w:val="single" w:color="4F81BD" w:themeColor="accen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3596" w:type="dxa"/>
            <w:tcBorders>
              <w:left w:val="nil"/>
              <w:right w:val="nil"/>
              <w:insideV w:val="nil"/>
            </w:tcBorders>
            <w:shd w:val="clear" w:color="auto" w:fill="D3DFEE" w:themeFill="accent1" w:themeFillTint="3F"/>
            <w:noWrap/>
          </w:tcPr>
          <w:p w14:paraId="31392BEB">
            <w:pPr>
              <w:widowControl/>
              <w:jc w:val="left"/>
              <w:rPr>
                <w:rFonts w:ascii="仿宋_GB2312" w:hAnsi="仿宋" w:eastAsia="仿宋_GB2312" w:cs="宋体"/>
                <w:b w:val="0"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b w:val="0"/>
                <w:bCs/>
                <w:color w:val="auto"/>
                <w:kern w:val="0"/>
                <w:sz w:val="24"/>
              </w:rPr>
              <w:t>总体服务</w:t>
            </w:r>
          </w:p>
        </w:tc>
        <w:tc>
          <w:tcPr>
            <w:tcW w:w="1236" w:type="dxa"/>
            <w:tcBorders>
              <w:right w:val="nil"/>
              <w:insideV w:val="nil"/>
            </w:tcBorders>
            <w:shd w:val="clear" w:color="auto" w:fill="D3DFEE" w:themeFill="accent1" w:themeFillTint="3F"/>
            <w:noWrap/>
            <w:vAlign w:val="center"/>
          </w:tcPr>
          <w:p w14:paraId="795692D6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kern w:val="0"/>
                <w:sz w:val="24"/>
              </w:rPr>
              <w:t>66.67%</w:t>
            </w:r>
          </w:p>
        </w:tc>
        <w:tc>
          <w:tcPr>
            <w:tcW w:w="1236" w:type="dxa"/>
            <w:tcBorders>
              <w:right w:val="nil"/>
              <w:insideV w:val="nil"/>
            </w:tcBorders>
            <w:shd w:val="clear" w:color="auto" w:fill="D3DFEE" w:themeFill="accent1" w:themeFillTint="3F"/>
            <w:noWrap/>
            <w:vAlign w:val="center"/>
          </w:tcPr>
          <w:p w14:paraId="094C0BFD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kern w:val="0"/>
                <w:sz w:val="24"/>
              </w:rPr>
              <w:t>33.33%</w:t>
            </w:r>
          </w:p>
        </w:tc>
        <w:tc>
          <w:tcPr>
            <w:tcW w:w="1236" w:type="dxa"/>
            <w:tcBorders>
              <w:right w:val="nil"/>
              <w:insideV w:val="nil"/>
            </w:tcBorders>
            <w:shd w:val="clear" w:color="auto" w:fill="D3DFEE" w:themeFill="accent1" w:themeFillTint="3F"/>
            <w:noWrap/>
            <w:vAlign w:val="center"/>
          </w:tcPr>
          <w:p w14:paraId="4574A022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kern w:val="0"/>
                <w:sz w:val="24"/>
              </w:rPr>
              <w:t>0.00%</w:t>
            </w:r>
          </w:p>
        </w:tc>
        <w:tc>
          <w:tcPr>
            <w:tcW w:w="1238" w:type="dxa"/>
            <w:tcBorders>
              <w:right w:val="nil"/>
              <w:insideV w:val="nil"/>
            </w:tcBorders>
            <w:shd w:val="clear" w:color="auto" w:fill="D3DFEE" w:themeFill="accent1" w:themeFillTint="3F"/>
            <w:noWrap/>
            <w:vAlign w:val="center"/>
          </w:tcPr>
          <w:p w14:paraId="26300D2C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sz w:val="24"/>
              </w:rPr>
              <w:t>0.00%</w:t>
            </w:r>
          </w:p>
        </w:tc>
      </w:tr>
      <w:tr w14:paraId="5F6C820D">
        <w:tblPrEx>
          <w:tblBorders>
            <w:top w:val="single" w:color="4F81BD" w:themeColor="accent1" w:sz="8" w:space="0"/>
            <w:left w:val="none" w:color="auto" w:sz="0" w:space="0"/>
            <w:bottom w:val="single" w:color="4F81BD" w:themeColor="accen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3596" w:type="dxa"/>
            <w:noWrap/>
          </w:tcPr>
          <w:p w14:paraId="7A224BAB">
            <w:pPr>
              <w:widowControl/>
              <w:jc w:val="center"/>
              <w:rPr>
                <w:rFonts w:ascii="仿宋_GB2312" w:hAnsi="仿宋" w:eastAsia="仿宋_GB2312" w:cs="宋体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b/>
                <w:bCs/>
                <w:color w:val="auto"/>
                <w:kern w:val="0"/>
                <w:sz w:val="24"/>
              </w:rPr>
              <w:t>总体满意率</w:t>
            </w:r>
          </w:p>
        </w:tc>
        <w:tc>
          <w:tcPr>
            <w:tcW w:w="4946" w:type="dxa"/>
            <w:gridSpan w:val="4"/>
            <w:noWrap/>
          </w:tcPr>
          <w:p w14:paraId="10BDE0FA">
            <w:pPr>
              <w:widowControl/>
              <w:jc w:val="center"/>
              <w:rPr>
                <w:rFonts w:ascii="仿宋_GB2312" w:hAnsi="仿宋" w:eastAsia="仿宋_GB2312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b/>
                <w:bCs/>
                <w:color w:val="auto"/>
                <w:kern w:val="0"/>
                <w:sz w:val="24"/>
              </w:rPr>
              <w:t>100.00%</w:t>
            </w:r>
          </w:p>
        </w:tc>
      </w:tr>
    </w:tbl>
    <w:p w14:paraId="503EE4D8">
      <w:pPr>
        <w:spacing w:before="156" w:beforeLines="50"/>
        <w:rPr>
          <w:rFonts w:ascii="仿宋_GB2312" w:eastAsia="仿宋_GB2312"/>
          <w:b/>
          <w:sz w:val="32"/>
          <w:szCs w:val="32"/>
        </w:rPr>
      </w:pPr>
    </w:p>
    <w:p w14:paraId="3FDDDE17">
      <w:pPr>
        <w:spacing w:before="156" w:beforeLines="50"/>
        <w:rPr>
          <w:rFonts w:ascii="仿宋_GB2312" w:eastAsia="仿宋_GB2312"/>
          <w:b/>
          <w:sz w:val="32"/>
          <w:szCs w:val="32"/>
        </w:rPr>
      </w:pPr>
    </w:p>
    <w:p w14:paraId="2C99BE93">
      <w:pPr>
        <w:spacing w:before="156" w:beforeLines="50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（6）南汇自来水</w:t>
      </w:r>
    </w:p>
    <w:tbl>
      <w:tblPr>
        <w:tblStyle w:val="18"/>
        <w:tblW w:w="8490" w:type="dxa"/>
        <w:jc w:val="center"/>
        <w:tblBorders>
          <w:top w:val="single" w:color="4F81BD" w:themeColor="accent1" w:sz="8" w:space="0"/>
          <w:left w:val="none" w:color="auto" w:sz="0" w:space="0"/>
          <w:bottom w:val="single" w:color="4F81BD" w:themeColor="accent1" w:sz="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74"/>
        <w:gridCol w:w="1228"/>
        <w:gridCol w:w="1228"/>
        <w:gridCol w:w="1228"/>
        <w:gridCol w:w="1232"/>
      </w:tblGrid>
      <w:tr w14:paraId="567F2075">
        <w:tblPrEx>
          <w:tblBorders>
            <w:top w:val="single" w:color="4F81BD" w:themeColor="accent1" w:sz="8" w:space="0"/>
            <w:left w:val="none" w:color="auto" w:sz="0" w:space="0"/>
            <w:bottom w:val="single" w:color="4F81BD" w:themeColor="accen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3574" w:type="dxa"/>
            <w:tcBorders>
              <w:top w:val="single" w:color="4F81BD" w:themeColor="accent1" w:sz="8" w:space="0"/>
              <w:left w:val="nil"/>
              <w:bottom w:val="single" w:color="4F81BD" w:themeColor="accent1" w:sz="8" w:space="0"/>
              <w:right w:val="nil"/>
              <w:insideH w:val="single" w:sz="8" w:space="0"/>
              <w:insideV w:val="nil"/>
            </w:tcBorders>
            <w:noWrap/>
          </w:tcPr>
          <w:p w14:paraId="2130D8C8">
            <w:pPr>
              <w:widowControl/>
              <w:spacing w:before="0" w:after="0" w:line="240" w:lineRule="auto"/>
              <w:jc w:val="center"/>
              <w:rPr>
                <w:rFonts w:ascii="仿宋_GB2312" w:hAnsi="仿宋" w:eastAsia="仿宋_GB2312" w:cs="宋体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b/>
                <w:bCs/>
                <w:color w:val="auto"/>
                <w:kern w:val="0"/>
                <w:sz w:val="24"/>
              </w:rPr>
              <w:t>指  标</w:t>
            </w:r>
          </w:p>
        </w:tc>
        <w:tc>
          <w:tcPr>
            <w:tcW w:w="1228" w:type="dxa"/>
            <w:tcBorders>
              <w:top w:val="single" w:color="4F81BD" w:themeColor="accent1" w:sz="8" w:space="0"/>
              <w:bottom w:val="single" w:color="4F81BD" w:themeColor="accent1" w:sz="8" w:space="0"/>
              <w:right w:val="nil"/>
              <w:insideH w:val="single" w:sz="8" w:space="0"/>
              <w:insideV w:val="nil"/>
            </w:tcBorders>
            <w:noWrap/>
          </w:tcPr>
          <w:p w14:paraId="69F94027">
            <w:pPr>
              <w:widowControl/>
              <w:spacing w:before="0" w:after="0" w:line="240" w:lineRule="auto"/>
              <w:jc w:val="center"/>
              <w:rPr>
                <w:rFonts w:ascii="仿宋_GB2312" w:hAnsi="仿宋" w:eastAsia="仿宋_GB2312" w:cs="宋体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b/>
                <w:bCs/>
                <w:color w:val="auto"/>
                <w:kern w:val="0"/>
                <w:sz w:val="24"/>
              </w:rPr>
              <w:t>非常满意</w:t>
            </w:r>
          </w:p>
        </w:tc>
        <w:tc>
          <w:tcPr>
            <w:tcW w:w="1228" w:type="dxa"/>
            <w:tcBorders>
              <w:top w:val="single" w:color="4F81BD" w:themeColor="accent1" w:sz="8" w:space="0"/>
              <w:bottom w:val="single" w:color="4F81BD" w:themeColor="accent1" w:sz="8" w:space="0"/>
              <w:right w:val="nil"/>
              <w:insideH w:val="single" w:sz="8" w:space="0"/>
              <w:insideV w:val="nil"/>
            </w:tcBorders>
            <w:noWrap/>
          </w:tcPr>
          <w:p w14:paraId="1A1F0DA8">
            <w:pPr>
              <w:widowControl/>
              <w:spacing w:before="0" w:after="0" w:line="240" w:lineRule="auto"/>
              <w:jc w:val="center"/>
              <w:rPr>
                <w:rFonts w:ascii="仿宋_GB2312" w:hAnsi="仿宋" w:eastAsia="仿宋_GB2312" w:cs="宋体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b/>
                <w:bCs/>
                <w:color w:val="auto"/>
                <w:kern w:val="0"/>
                <w:sz w:val="24"/>
              </w:rPr>
              <w:t>满意</w:t>
            </w:r>
          </w:p>
        </w:tc>
        <w:tc>
          <w:tcPr>
            <w:tcW w:w="1228" w:type="dxa"/>
            <w:tcBorders>
              <w:top w:val="single" w:color="4F81BD" w:themeColor="accent1" w:sz="8" w:space="0"/>
              <w:bottom w:val="single" w:color="4F81BD" w:themeColor="accent1" w:sz="8" w:space="0"/>
              <w:right w:val="nil"/>
              <w:insideH w:val="single" w:sz="8" w:space="0"/>
              <w:insideV w:val="nil"/>
            </w:tcBorders>
            <w:noWrap/>
          </w:tcPr>
          <w:p w14:paraId="345BB8AE">
            <w:pPr>
              <w:widowControl/>
              <w:spacing w:before="0" w:after="0" w:line="240" w:lineRule="auto"/>
              <w:jc w:val="center"/>
              <w:rPr>
                <w:rFonts w:ascii="仿宋_GB2312" w:hAnsi="仿宋" w:eastAsia="仿宋_GB2312" w:cs="宋体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b/>
                <w:bCs/>
                <w:color w:val="auto"/>
                <w:kern w:val="0"/>
                <w:sz w:val="24"/>
              </w:rPr>
              <w:t>基本满意</w:t>
            </w:r>
          </w:p>
        </w:tc>
        <w:tc>
          <w:tcPr>
            <w:tcW w:w="1232" w:type="dxa"/>
            <w:tcBorders>
              <w:top w:val="single" w:color="4F81BD" w:themeColor="accent1" w:sz="8" w:space="0"/>
              <w:bottom w:val="single" w:color="4F81BD" w:themeColor="accent1" w:sz="8" w:space="0"/>
              <w:right w:val="nil"/>
              <w:insideH w:val="single" w:sz="8" w:space="0"/>
              <w:insideV w:val="nil"/>
            </w:tcBorders>
            <w:noWrap/>
          </w:tcPr>
          <w:p w14:paraId="3DC8AC19">
            <w:pPr>
              <w:widowControl/>
              <w:spacing w:before="0" w:after="0" w:line="240" w:lineRule="auto"/>
              <w:jc w:val="center"/>
              <w:rPr>
                <w:rFonts w:ascii="仿宋_GB2312" w:hAnsi="仿宋" w:eastAsia="仿宋_GB2312" w:cs="宋体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b/>
                <w:bCs/>
                <w:color w:val="auto"/>
                <w:kern w:val="0"/>
                <w:sz w:val="24"/>
              </w:rPr>
              <w:t>不满意</w:t>
            </w:r>
          </w:p>
        </w:tc>
      </w:tr>
      <w:tr w14:paraId="58536B14">
        <w:tblPrEx>
          <w:tblBorders>
            <w:top w:val="single" w:color="4F81BD" w:themeColor="accent1" w:sz="8" w:space="0"/>
            <w:left w:val="none" w:color="auto" w:sz="0" w:space="0"/>
            <w:bottom w:val="single" w:color="4F81BD" w:themeColor="accen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3574" w:type="dxa"/>
            <w:tcBorders>
              <w:left w:val="nil"/>
              <w:right w:val="nil"/>
              <w:insideV w:val="nil"/>
            </w:tcBorders>
            <w:shd w:val="clear" w:color="auto" w:fill="D3DFEE" w:themeFill="accent1" w:themeFillTint="3F"/>
            <w:noWrap/>
          </w:tcPr>
          <w:p w14:paraId="660D1F7D">
            <w:pPr>
              <w:widowControl/>
              <w:jc w:val="left"/>
              <w:rPr>
                <w:rFonts w:ascii="仿宋_GB2312" w:hAnsi="仿宋" w:eastAsia="仿宋_GB2312" w:cs="宋体"/>
                <w:b w:val="0"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b w:val="0"/>
                <w:bCs/>
                <w:color w:val="auto"/>
                <w:kern w:val="0"/>
                <w:sz w:val="24"/>
              </w:rPr>
              <w:t>前期咨询和申请受理</w:t>
            </w:r>
          </w:p>
        </w:tc>
        <w:tc>
          <w:tcPr>
            <w:tcW w:w="1228" w:type="dxa"/>
            <w:tcBorders>
              <w:right w:val="nil"/>
              <w:insideV w:val="nil"/>
            </w:tcBorders>
            <w:shd w:val="clear" w:color="auto" w:fill="D3DFEE" w:themeFill="accent1" w:themeFillTint="3F"/>
            <w:noWrap/>
            <w:vAlign w:val="center"/>
          </w:tcPr>
          <w:p w14:paraId="207DE956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kern w:val="0"/>
                <w:sz w:val="24"/>
              </w:rPr>
              <w:t>60.00%</w:t>
            </w:r>
          </w:p>
        </w:tc>
        <w:tc>
          <w:tcPr>
            <w:tcW w:w="1228" w:type="dxa"/>
            <w:tcBorders>
              <w:right w:val="nil"/>
              <w:insideV w:val="nil"/>
            </w:tcBorders>
            <w:shd w:val="clear" w:color="auto" w:fill="D3DFEE" w:themeFill="accent1" w:themeFillTint="3F"/>
            <w:noWrap/>
            <w:vAlign w:val="center"/>
          </w:tcPr>
          <w:p w14:paraId="196D4370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kern w:val="0"/>
                <w:sz w:val="24"/>
              </w:rPr>
              <w:t>40.00%</w:t>
            </w:r>
          </w:p>
        </w:tc>
        <w:tc>
          <w:tcPr>
            <w:tcW w:w="1228" w:type="dxa"/>
            <w:tcBorders>
              <w:right w:val="nil"/>
              <w:insideV w:val="nil"/>
            </w:tcBorders>
            <w:shd w:val="clear" w:color="auto" w:fill="D3DFEE" w:themeFill="accent1" w:themeFillTint="3F"/>
            <w:noWrap/>
            <w:vAlign w:val="center"/>
          </w:tcPr>
          <w:p w14:paraId="0FC0E633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kern w:val="0"/>
                <w:sz w:val="24"/>
              </w:rPr>
              <w:t>0.00%</w:t>
            </w:r>
          </w:p>
        </w:tc>
        <w:tc>
          <w:tcPr>
            <w:tcW w:w="1232" w:type="dxa"/>
            <w:tcBorders>
              <w:right w:val="nil"/>
              <w:insideV w:val="nil"/>
            </w:tcBorders>
            <w:shd w:val="clear" w:color="auto" w:fill="D3DFEE" w:themeFill="accent1" w:themeFillTint="3F"/>
            <w:noWrap/>
            <w:vAlign w:val="center"/>
          </w:tcPr>
          <w:p w14:paraId="764BE314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sz w:val="24"/>
              </w:rPr>
              <w:t>0.00%</w:t>
            </w:r>
          </w:p>
        </w:tc>
      </w:tr>
      <w:tr w14:paraId="7CA75C65">
        <w:tblPrEx>
          <w:tblBorders>
            <w:top w:val="single" w:color="4F81BD" w:themeColor="accent1" w:sz="8" w:space="0"/>
            <w:left w:val="none" w:color="auto" w:sz="0" w:space="0"/>
            <w:bottom w:val="single" w:color="4F81BD" w:themeColor="accen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3574" w:type="dxa"/>
            <w:noWrap/>
          </w:tcPr>
          <w:p w14:paraId="133FBF00">
            <w:pPr>
              <w:widowControl/>
              <w:jc w:val="left"/>
              <w:rPr>
                <w:rFonts w:ascii="仿宋_GB2312" w:hAnsi="仿宋" w:eastAsia="仿宋_GB2312" w:cs="宋体"/>
                <w:b w:val="0"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b w:val="0"/>
                <w:bCs/>
                <w:color w:val="auto"/>
                <w:kern w:val="0"/>
                <w:sz w:val="24"/>
              </w:rPr>
              <w:t>现场查勘和编制/复核供水方案</w:t>
            </w:r>
          </w:p>
        </w:tc>
        <w:tc>
          <w:tcPr>
            <w:tcW w:w="1228" w:type="dxa"/>
            <w:noWrap/>
            <w:vAlign w:val="center"/>
          </w:tcPr>
          <w:p w14:paraId="0F8F2996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kern w:val="0"/>
                <w:sz w:val="24"/>
              </w:rPr>
              <w:t>60.00%</w:t>
            </w:r>
          </w:p>
        </w:tc>
        <w:tc>
          <w:tcPr>
            <w:tcW w:w="1228" w:type="dxa"/>
            <w:noWrap/>
            <w:vAlign w:val="center"/>
          </w:tcPr>
          <w:p w14:paraId="023B1705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kern w:val="0"/>
                <w:sz w:val="24"/>
              </w:rPr>
              <w:t>40.00%</w:t>
            </w:r>
          </w:p>
        </w:tc>
        <w:tc>
          <w:tcPr>
            <w:tcW w:w="1228" w:type="dxa"/>
            <w:noWrap/>
            <w:vAlign w:val="center"/>
          </w:tcPr>
          <w:p w14:paraId="2FEEBEC9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kern w:val="0"/>
                <w:sz w:val="24"/>
              </w:rPr>
              <w:t>0.00%</w:t>
            </w:r>
          </w:p>
        </w:tc>
        <w:tc>
          <w:tcPr>
            <w:tcW w:w="1232" w:type="dxa"/>
            <w:noWrap/>
            <w:vAlign w:val="center"/>
          </w:tcPr>
          <w:p w14:paraId="7519DFB0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sz w:val="24"/>
              </w:rPr>
              <w:t>0.00%</w:t>
            </w:r>
          </w:p>
        </w:tc>
      </w:tr>
      <w:tr w14:paraId="14288323">
        <w:tblPrEx>
          <w:tblBorders>
            <w:top w:val="single" w:color="4F81BD" w:themeColor="accent1" w:sz="8" w:space="0"/>
            <w:left w:val="none" w:color="auto" w:sz="0" w:space="0"/>
            <w:bottom w:val="single" w:color="4F81BD" w:themeColor="accen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3574" w:type="dxa"/>
            <w:tcBorders>
              <w:left w:val="nil"/>
              <w:right w:val="nil"/>
              <w:insideV w:val="nil"/>
            </w:tcBorders>
            <w:shd w:val="clear" w:color="auto" w:fill="D3DFEE" w:themeFill="accent1" w:themeFillTint="3F"/>
            <w:noWrap/>
          </w:tcPr>
          <w:p w14:paraId="3B907977">
            <w:pPr>
              <w:widowControl/>
              <w:jc w:val="left"/>
              <w:rPr>
                <w:rFonts w:ascii="仿宋_GB2312" w:hAnsi="仿宋" w:eastAsia="仿宋_GB2312" w:cs="宋体"/>
                <w:b w:val="0"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b w:val="0"/>
                <w:bCs/>
                <w:color w:val="auto"/>
                <w:kern w:val="0"/>
                <w:sz w:val="24"/>
              </w:rPr>
              <w:t>工程质量验收</w:t>
            </w:r>
          </w:p>
        </w:tc>
        <w:tc>
          <w:tcPr>
            <w:tcW w:w="1228" w:type="dxa"/>
            <w:tcBorders>
              <w:right w:val="nil"/>
              <w:insideV w:val="nil"/>
            </w:tcBorders>
            <w:shd w:val="clear" w:color="auto" w:fill="D3DFEE" w:themeFill="accent1" w:themeFillTint="3F"/>
            <w:noWrap/>
            <w:vAlign w:val="center"/>
          </w:tcPr>
          <w:p w14:paraId="30909DED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kern w:val="0"/>
                <w:sz w:val="24"/>
              </w:rPr>
              <w:t>60.00%</w:t>
            </w:r>
          </w:p>
        </w:tc>
        <w:tc>
          <w:tcPr>
            <w:tcW w:w="1228" w:type="dxa"/>
            <w:tcBorders>
              <w:right w:val="nil"/>
              <w:insideV w:val="nil"/>
            </w:tcBorders>
            <w:shd w:val="clear" w:color="auto" w:fill="D3DFEE" w:themeFill="accent1" w:themeFillTint="3F"/>
            <w:noWrap/>
            <w:vAlign w:val="center"/>
          </w:tcPr>
          <w:p w14:paraId="370762D1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kern w:val="0"/>
                <w:sz w:val="24"/>
              </w:rPr>
              <w:t>40.00%</w:t>
            </w:r>
          </w:p>
        </w:tc>
        <w:tc>
          <w:tcPr>
            <w:tcW w:w="1228" w:type="dxa"/>
            <w:tcBorders>
              <w:right w:val="nil"/>
              <w:insideV w:val="nil"/>
            </w:tcBorders>
            <w:shd w:val="clear" w:color="auto" w:fill="D3DFEE" w:themeFill="accent1" w:themeFillTint="3F"/>
            <w:noWrap/>
            <w:vAlign w:val="center"/>
          </w:tcPr>
          <w:p w14:paraId="3166BDF9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kern w:val="0"/>
                <w:sz w:val="24"/>
              </w:rPr>
              <w:t>0.00%</w:t>
            </w:r>
          </w:p>
        </w:tc>
        <w:tc>
          <w:tcPr>
            <w:tcW w:w="1232" w:type="dxa"/>
            <w:tcBorders>
              <w:right w:val="nil"/>
              <w:insideV w:val="nil"/>
            </w:tcBorders>
            <w:shd w:val="clear" w:color="auto" w:fill="D3DFEE" w:themeFill="accent1" w:themeFillTint="3F"/>
            <w:noWrap/>
            <w:vAlign w:val="center"/>
          </w:tcPr>
          <w:p w14:paraId="4D92CF53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sz w:val="24"/>
              </w:rPr>
              <w:t>0.00%</w:t>
            </w:r>
          </w:p>
        </w:tc>
      </w:tr>
      <w:tr w14:paraId="513D79FE">
        <w:tblPrEx>
          <w:tblBorders>
            <w:top w:val="single" w:color="4F81BD" w:themeColor="accent1" w:sz="8" w:space="0"/>
            <w:left w:val="none" w:color="auto" w:sz="0" w:space="0"/>
            <w:bottom w:val="single" w:color="4F81BD" w:themeColor="accen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3574" w:type="dxa"/>
            <w:noWrap/>
          </w:tcPr>
          <w:p w14:paraId="713BA356">
            <w:pPr>
              <w:widowControl/>
              <w:jc w:val="left"/>
              <w:rPr>
                <w:rFonts w:ascii="仿宋_GB2312" w:hAnsi="仿宋" w:eastAsia="仿宋_GB2312" w:cs="宋体"/>
                <w:b w:val="0"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b w:val="0"/>
                <w:bCs/>
                <w:color w:val="auto"/>
                <w:kern w:val="0"/>
                <w:sz w:val="24"/>
              </w:rPr>
              <w:t>签订供用水合同</w:t>
            </w:r>
          </w:p>
        </w:tc>
        <w:tc>
          <w:tcPr>
            <w:tcW w:w="1228" w:type="dxa"/>
            <w:noWrap/>
            <w:vAlign w:val="center"/>
          </w:tcPr>
          <w:p w14:paraId="17F62157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kern w:val="0"/>
                <w:sz w:val="24"/>
              </w:rPr>
              <w:t>60.00%</w:t>
            </w:r>
          </w:p>
        </w:tc>
        <w:tc>
          <w:tcPr>
            <w:tcW w:w="1228" w:type="dxa"/>
            <w:noWrap/>
            <w:vAlign w:val="center"/>
          </w:tcPr>
          <w:p w14:paraId="5869CD43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kern w:val="0"/>
                <w:sz w:val="24"/>
              </w:rPr>
              <w:t>40.00%</w:t>
            </w:r>
          </w:p>
        </w:tc>
        <w:tc>
          <w:tcPr>
            <w:tcW w:w="1228" w:type="dxa"/>
            <w:noWrap/>
            <w:vAlign w:val="center"/>
          </w:tcPr>
          <w:p w14:paraId="6DF46831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kern w:val="0"/>
                <w:sz w:val="24"/>
              </w:rPr>
              <w:t>0.00%</w:t>
            </w:r>
          </w:p>
        </w:tc>
        <w:tc>
          <w:tcPr>
            <w:tcW w:w="1232" w:type="dxa"/>
            <w:noWrap/>
            <w:vAlign w:val="center"/>
          </w:tcPr>
          <w:p w14:paraId="544E0C5F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sz w:val="24"/>
              </w:rPr>
              <w:t>0.00%</w:t>
            </w:r>
          </w:p>
        </w:tc>
      </w:tr>
      <w:tr w14:paraId="32C2E2CA">
        <w:tblPrEx>
          <w:tblBorders>
            <w:top w:val="single" w:color="4F81BD" w:themeColor="accent1" w:sz="8" w:space="0"/>
            <w:left w:val="none" w:color="auto" w:sz="0" w:space="0"/>
            <w:bottom w:val="single" w:color="4F81BD" w:themeColor="accen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3574" w:type="dxa"/>
            <w:tcBorders>
              <w:left w:val="nil"/>
              <w:right w:val="nil"/>
              <w:insideV w:val="nil"/>
            </w:tcBorders>
            <w:shd w:val="clear" w:color="auto" w:fill="D3DFEE" w:themeFill="accent1" w:themeFillTint="3F"/>
            <w:noWrap/>
          </w:tcPr>
          <w:p w14:paraId="3E7DEB2D">
            <w:pPr>
              <w:widowControl/>
              <w:jc w:val="left"/>
              <w:rPr>
                <w:rFonts w:ascii="仿宋_GB2312" w:hAnsi="仿宋" w:eastAsia="仿宋_GB2312" w:cs="宋体"/>
                <w:b w:val="0"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b w:val="0"/>
                <w:bCs/>
                <w:color w:val="auto"/>
                <w:kern w:val="0"/>
                <w:sz w:val="24"/>
              </w:rPr>
              <w:t>总体服务</w:t>
            </w:r>
          </w:p>
        </w:tc>
        <w:tc>
          <w:tcPr>
            <w:tcW w:w="1228" w:type="dxa"/>
            <w:tcBorders>
              <w:right w:val="nil"/>
              <w:insideV w:val="nil"/>
            </w:tcBorders>
            <w:shd w:val="clear" w:color="auto" w:fill="D3DFEE" w:themeFill="accent1" w:themeFillTint="3F"/>
            <w:noWrap/>
            <w:vAlign w:val="center"/>
          </w:tcPr>
          <w:p w14:paraId="7FB3F862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kern w:val="0"/>
                <w:sz w:val="24"/>
              </w:rPr>
              <w:t>60.00%</w:t>
            </w:r>
          </w:p>
        </w:tc>
        <w:tc>
          <w:tcPr>
            <w:tcW w:w="1228" w:type="dxa"/>
            <w:tcBorders>
              <w:right w:val="nil"/>
              <w:insideV w:val="nil"/>
            </w:tcBorders>
            <w:shd w:val="clear" w:color="auto" w:fill="D3DFEE" w:themeFill="accent1" w:themeFillTint="3F"/>
            <w:noWrap/>
            <w:vAlign w:val="center"/>
          </w:tcPr>
          <w:p w14:paraId="364CBC0B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kern w:val="0"/>
                <w:sz w:val="24"/>
              </w:rPr>
              <w:t>40.00%</w:t>
            </w:r>
          </w:p>
        </w:tc>
        <w:tc>
          <w:tcPr>
            <w:tcW w:w="1228" w:type="dxa"/>
            <w:tcBorders>
              <w:right w:val="nil"/>
              <w:insideV w:val="nil"/>
            </w:tcBorders>
            <w:shd w:val="clear" w:color="auto" w:fill="D3DFEE" w:themeFill="accent1" w:themeFillTint="3F"/>
            <w:noWrap/>
            <w:vAlign w:val="center"/>
          </w:tcPr>
          <w:p w14:paraId="38D6AFD0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kern w:val="0"/>
                <w:sz w:val="24"/>
              </w:rPr>
              <w:t>0.00%</w:t>
            </w:r>
          </w:p>
        </w:tc>
        <w:tc>
          <w:tcPr>
            <w:tcW w:w="1232" w:type="dxa"/>
            <w:tcBorders>
              <w:right w:val="nil"/>
              <w:insideV w:val="nil"/>
            </w:tcBorders>
            <w:shd w:val="clear" w:color="auto" w:fill="D3DFEE" w:themeFill="accent1" w:themeFillTint="3F"/>
            <w:noWrap/>
            <w:vAlign w:val="center"/>
          </w:tcPr>
          <w:p w14:paraId="1F2392C9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sz w:val="24"/>
              </w:rPr>
              <w:t>0.00%</w:t>
            </w:r>
          </w:p>
        </w:tc>
      </w:tr>
      <w:tr w14:paraId="55F61330">
        <w:tblPrEx>
          <w:tblBorders>
            <w:top w:val="single" w:color="4F81BD" w:themeColor="accent1" w:sz="8" w:space="0"/>
            <w:left w:val="none" w:color="auto" w:sz="0" w:space="0"/>
            <w:bottom w:val="single" w:color="4F81BD" w:themeColor="accen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3574" w:type="dxa"/>
            <w:noWrap/>
          </w:tcPr>
          <w:p w14:paraId="79833AF1">
            <w:pPr>
              <w:widowControl/>
              <w:jc w:val="center"/>
              <w:rPr>
                <w:rFonts w:ascii="仿宋_GB2312" w:hAnsi="仿宋" w:eastAsia="仿宋_GB2312" w:cs="宋体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b/>
                <w:bCs/>
                <w:color w:val="auto"/>
                <w:kern w:val="0"/>
                <w:sz w:val="24"/>
              </w:rPr>
              <w:t>总体满意率</w:t>
            </w:r>
          </w:p>
        </w:tc>
        <w:tc>
          <w:tcPr>
            <w:tcW w:w="4916" w:type="dxa"/>
            <w:gridSpan w:val="4"/>
            <w:noWrap/>
          </w:tcPr>
          <w:p w14:paraId="3A792E68">
            <w:pPr>
              <w:widowControl/>
              <w:jc w:val="center"/>
              <w:rPr>
                <w:rFonts w:ascii="仿宋_GB2312" w:hAnsi="仿宋" w:eastAsia="仿宋_GB2312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b/>
                <w:bCs/>
                <w:color w:val="auto"/>
                <w:kern w:val="0"/>
                <w:sz w:val="24"/>
              </w:rPr>
              <w:t>100.00%</w:t>
            </w:r>
          </w:p>
        </w:tc>
      </w:tr>
    </w:tbl>
    <w:p w14:paraId="4FB368D6">
      <w:pPr>
        <w:spacing w:before="156" w:beforeLines="50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（7）浦东新区自来水</w:t>
      </w:r>
    </w:p>
    <w:tbl>
      <w:tblPr>
        <w:tblStyle w:val="18"/>
        <w:tblW w:w="8423" w:type="dxa"/>
        <w:jc w:val="center"/>
        <w:tblBorders>
          <w:top w:val="single" w:color="4F81BD" w:themeColor="accent1" w:sz="8" w:space="0"/>
          <w:left w:val="none" w:color="auto" w:sz="0" w:space="0"/>
          <w:bottom w:val="single" w:color="4F81BD" w:themeColor="accent1" w:sz="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46"/>
        <w:gridCol w:w="1219"/>
        <w:gridCol w:w="1219"/>
        <w:gridCol w:w="1219"/>
        <w:gridCol w:w="1220"/>
      </w:tblGrid>
      <w:tr w14:paraId="490C9629">
        <w:tblPrEx>
          <w:tblBorders>
            <w:top w:val="single" w:color="4F81BD" w:themeColor="accent1" w:sz="8" w:space="0"/>
            <w:left w:val="none" w:color="auto" w:sz="0" w:space="0"/>
            <w:bottom w:val="single" w:color="4F81BD" w:themeColor="accen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546" w:type="dxa"/>
            <w:tcBorders>
              <w:top w:val="single" w:color="4F81BD" w:themeColor="accent1" w:sz="8" w:space="0"/>
              <w:left w:val="nil"/>
              <w:bottom w:val="single" w:color="4F81BD" w:themeColor="accent1" w:sz="8" w:space="0"/>
              <w:right w:val="nil"/>
              <w:insideH w:val="single" w:sz="8" w:space="0"/>
              <w:insideV w:val="nil"/>
            </w:tcBorders>
            <w:noWrap/>
          </w:tcPr>
          <w:p w14:paraId="30C9B2FC">
            <w:pPr>
              <w:widowControl/>
              <w:spacing w:before="0" w:after="0" w:line="240" w:lineRule="auto"/>
              <w:jc w:val="center"/>
              <w:rPr>
                <w:rFonts w:ascii="仿宋_GB2312" w:hAnsi="仿宋" w:eastAsia="仿宋_GB2312" w:cs="宋体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b/>
                <w:bCs/>
                <w:color w:val="auto"/>
                <w:kern w:val="0"/>
                <w:sz w:val="24"/>
              </w:rPr>
              <w:t>指  标</w:t>
            </w:r>
          </w:p>
        </w:tc>
        <w:tc>
          <w:tcPr>
            <w:tcW w:w="1219" w:type="dxa"/>
            <w:tcBorders>
              <w:top w:val="single" w:color="4F81BD" w:themeColor="accent1" w:sz="8" w:space="0"/>
              <w:bottom w:val="single" w:color="4F81BD" w:themeColor="accent1" w:sz="8" w:space="0"/>
              <w:right w:val="nil"/>
              <w:insideH w:val="single" w:sz="8" w:space="0"/>
              <w:insideV w:val="nil"/>
            </w:tcBorders>
            <w:noWrap/>
          </w:tcPr>
          <w:p w14:paraId="44E42DD6">
            <w:pPr>
              <w:widowControl/>
              <w:spacing w:before="0" w:after="0" w:line="240" w:lineRule="auto"/>
              <w:jc w:val="center"/>
              <w:rPr>
                <w:rFonts w:ascii="仿宋_GB2312" w:hAnsi="仿宋" w:eastAsia="仿宋_GB2312" w:cs="宋体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b/>
                <w:bCs/>
                <w:color w:val="auto"/>
                <w:kern w:val="0"/>
                <w:sz w:val="24"/>
              </w:rPr>
              <w:t>非常满意</w:t>
            </w:r>
          </w:p>
        </w:tc>
        <w:tc>
          <w:tcPr>
            <w:tcW w:w="1219" w:type="dxa"/>
            <w:tcBorders>
              <w:top w:val="single" w:color="4F81BD" w:themeColor="accent1" w:sz="8" w:space="0"/>
              <w:bottom w:val="single" w:color="4F81BD" w:themeColor="accent1" w:sz="8" w:space="0"/>
              <w:right w:val="nil"/>
              <w:insideH w:val="single" w:sz="8" w:space="0"/>
              <w:insideV w:val="nil"/>
            </w:tcBorders>
            <w:noWrap/>
          </w:tcPr>
          <w:p w14:paraId="00BF3EBE">
            <w:pPr>
              <w:widowControl/>
              <w:spacing w:before="0" w:after="0" w:line="240" w:lineRule="auto"/>
              <w:jc w:val="center"/>
              <w:rPr>
                <w:rFonts w:ascii="仿宋_GB2312" w:hAnsi="仿宋" w:eastAsia="仿宋_GB2312" w:cs="宋体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b/>
                <w:bCs/>
                <w:color w:val="auto"/>
                <w:kern w:val="0"/>
                <w:sz w:val="24"/>
              </w:rPr>
              <w:t>满意</w:t>
            </w:r>
          </w:p>
        </w:tc>
        <w:tc>
          <w:tcPr>
            <w:tcW w:w="1219" w:type="dxa"/>
            <w:tcBorders>
              <w:top w:val="single" w:color="4F81BD" w:themeColor="accent1" w:sz="8" w:space="0"/>
              <w:bottom w:val="single" w:color="4F81BD" w:themeColor="accent1" w:sz="8" w:space="0"/>
              <w:right w:val="nil"/>
              <w:insideH w:val="single" w:sz="8" w:space="0"/>
              <w:insideV w:val="nil"/>
            </w:tcBorders>
            <w:noWrap/>
          </w:tcPr>
          <w:p w14:paraId="43D6A3E3">
            <w:pPr>
              <w:widowControl/>
              <w:spacing w:before="0" w:after="0" w:line="240" w:lineRule="auto"/>
              <w:jc w:val="center"/>
              <w:rPr>
                <w:rFonts w:ascii="仿宋_GB2312" w:hAnsi="仿宋" w:eastAsia="仿宋_GB2312" w:cs="宋体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b/>
                <w:bCs/>
                <w:color w:val="auto"/>
                <w:kern w:val="0"/>
                <w:sz w:val="24"/>
              </w:rPr>
              <w:t>基本满意</w:t>
            </w:r>
          </w:p>
        </w:tc>
        <w:tc>
          <w:tcPr>
            <w:tcW w:w="1220" w:type="dxa"/>
            <w:tcBorders>
              <w:top w:val="single" w:color="4F81BD" w:themeColor="accent1" w:sz="8" w:space="0"/>
              <w:bottom w:val="single" w:color="4F81BD" w:themeColor="accent1" w:sz="8" w:space="0"/>
              <w:right w:val="nil"/>
              <w:insideH w:val="single" w:sz="8" w:space="0"/>
              <w:insideV w:val="nil"/>
            </w:tcBorders>
            <w:noWrap/>
          </w:tcPr>
          <w:p w14:paraId="1C5A2365">
            <w:pPr>
              <w:widowControl/>
              <w:spacing w:before="0" w:after="0" w:line="240" w:lineRule="auto"/>
              <w:jc w:val="center"/>
              <w:rPr>
                <w:rFonts w:ascii="仿宋_GB2312" w:hAnsi="仿宋" w:eastAsia="仿宋_GB2312" w:cs="宋体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b/>
                <w:bCs/>
                <w:color w:val="auto"/>
                <w:kern w:val="0"/>
                <w:sz w:val="24"/>
              </w:rPr>
              <w:t>不满意</w:t>
            </w:r>
          </w:p>
        </w:tc>
      </w:tr>
      <w:tr w14:paraId="0C41D06B">
        <w:tblPrEx>
          <w:tblBorders>
            <w:top w:val="single" w:color="4F81BD" w:themeColor="accent1" w:sz="8" w:space="0"/>
            <w:left w:val="none" w:color="auto" w:sz="0" w:space="0"/>
            <w:bottom w:val="single" w:color="4F81BD" w:themeColor="accen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546" w:type="dxa"/>
            <w:tcBorders>
              <w:left w:val="nil"/>
              <w:right w:val="nil"/>
              <w:insideV w:val="nil"/>
            </w:tcBorders>
            <w:shd w:val="clear" w:color="auto" w:fill="D3DFEE" w:themeFill="accent1" w:themeFillTint="3F"/>
            <w:noWrap/>
          </w:tcPr>
          <w:p w14:paraId="02E96CC7">
            <w:pPr>
              <w:widowControl/>
              <w:jc w:val="left"/>
              <w:rPr>
                <w:rFonts w:ascii="仿宋_GB2312" w:hAnsi="仿宋" w:eastAsia="仿宋_GB2312" w:cs="宋体"/>
                <w:b w:val="0"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b w:val="0"/>
                <w:bCs/>
                <w:color w:val="auto"/>
                <w:kern w:val="0"/>
                <w:sz w:val="24"/>
              </w:rPr>
              <w:t>前期咨询和申请受理</w:t>
            </w:r>
          </w:p>
        </w:tc>
        <w:tc>
          <w:tcPr>
            <w:tcW w:w="1219" w:type="dxa"/>
            <w:tcBorders>
              <w:right w:val="nil"/>
              <w:insideV w:val="nil"/>
            </w:tcBorders>
            <w:shd w:val="clear" w:color="auto" w:fill="D3DFEE" w:themeFill="accent1" w:themeFillTint="3F"/>
            <w:noWrap/>
            <w:vAlign w:val="center"/>
          </w:tcPr>
          <w:p w14:paraId="4FFEC584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kern w:val="0"/>
                <w:sz w:val="24"/>
              </w:rPr>
              <w:t>56.00%</w:t>
            </w:r>
          </w:p>
        </w:tc>
        <w:tc>
          <w:tcPr>
            <w:tcW w:w="1219" w:type="dxa"/>
            <w:tcBorders>
              <w:right w:val="nil"/>
              <w:insideV w:val="nil"/>
            </w:tcBorders>
            <w:shd w:val="clear" w:color="auto" w:fill="D3DFEE" w:themeFill="accent1" w:themeFillTint="3F"/>
            <w:noWrap/>
            <w:vAlign w:val="center"/>
          </w:tcPr>
          <w:p w14:paraId="7BEC2DC5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kern w:val="0"/>
                <w:sz w:val="24"/>
              </w:rPr>
              <w:t>44.00%</w:t>
            </w:r>
          </w:p>
        </w:tc>
        <w:tc>
          <w:tcPr>
            <w:tcW w:w="1219" w:type="dxa"/>
            <w:tcBorders>
              <w:right w:val="nil"/>
              <w:insideV w:val="nil"/>
            </w:tcBorders>
            <w:shd w:val="clear" w:color="auto" w:fill="D3DFEE" w:themeFill="accent1" w:themeFillTint="3F"/>
            <w:noWrap/>
            <w:vAlign w:val="center"/>
          </w:tcPr>
          <w:p w14:paraId="2EA4E716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kern w:val="0"/>
                <w:sz w:val="24"/>
              </w:rPr>
              <w:t>0.00%</w:t>
            </w:r>
          </w:p>
        </w:tc>
        <w:tc>
          <w:tcPr>
            <w:tcW w:w="1220" w:type="dxa"/>
            <w:tcBorders>
              <w:right w:val="nil"/>
              <w:insideV w:val="nil"/>
            </w:tcBorders>
            <w:shd w:val="clear" w:color="auto" w:fill="D3DFEE" w:themeFill="accent1" w:themeFillTint="3F"/>
            <w:noWrap/>
            <w:vAlign w:val="center"/>
          </w:tcPr>
          <w:p w14:paraId="07420EE3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sz w:val="24"/>
              </w:rPr>
              <w:t>0.00%</w:t>
            </w:r>
          </w:p>
        </w:tc>
      </w:tr>
      <w:tr w14:paraId="3D75B9E1">
        <w:tblPrEx>
          <w:tblBorders>
            <w:top w:val="single" w:color="4F81BD" w:themeColor="accent1" w:sz="8" w:space="0"/>
            <w:left w:val="none" w:color="auto" w:sz="0" w:space="0"/>
            <w:bottom w:val="single" w:color="4F81BD" w:themeColor="accen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546" w:type="dxa"/>
            <w:noWrap/>
          </w:tcPr>
          <w:p w14:paraId="53E543F4">
            <w:pPr>
              <w:widowControl/>
              <w:jc w:val="left"/>
              <w:rPr>
                <w:rFonts w:ascii="仿宋_GB2312" w:hAnsi="仿宋" w:eastAsia="仿宋_GB2312" w:cs="宋体"/>
                <w:b w:val="0"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b w:val="0"/>
                <w:bCs/>
                <w:color w:val="auto"/>
                <w:kern w:val="0"/>
                <w:sz w:val="24"/>
              </w:rPr>
              <w:t>现场查勘和编制/复核供水方案</w:t>
            </w:r>
          </w:p>
        </w:tc>
        <w:tc>
          <w:tcPr>
            <w:tcW w:w="1219" w:type="dxa"/>
            <w:noWrap/>
            <w:vAlign w:val="center"/>
          </w:tcPr>
          <w:p w14:paraId="1D6CD27E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kern w:val="0"/>
                <w:sz w:val="24"/>
              </w:rPr>
              <w:t>56.00%</w:t>
            </w:r>
          </w:p>
        </w:tc>
        <w:tc>
          <w:tcPr>
            <w:tcW w:w="1219" w:type="dxa"/>
            <w:noWrap/>
            <w:vAlign w:val="center"/>
          </w:tcPr>
          <w:p w14:paraId="72D3DFFF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kern w:val="0"/>
                <w:sz w:val="24"/>
              </w:rPr>
              <w:t>44.00%</w:t>
            </w:r>
          </w:p>
        </w:tc>
        <w:tc>
          <w:tcPr>
            <w:tcW w:w="1219" w:type="dxa"/>
            <w:noWrap/>
            <w:vAlign w:val="center"/>
          </w:tcPr>
          <w:p w14:paraId="45452AA1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kern w:val="0"/>
                <w:sz w:val="24"/>
              </w:rPr>
              <w:t>0.00%</w:t>
            </w:r>
          </w:p>
        </w:tc>
        <w:tc>
          <w:tcPr>
            <w:tcW w:w="1220" w:type="dxa"/>
            <w:noWrap/>
            <w:vAlign w:val="center"/>
          </w:tcPr>
          <w:p w14:paraId="09813909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sz w:val="24"/>
              </w:rPr>
              <w:t>0.00%</w:t>
            </w:r>
          </w:p>
        </w:tc>
      </w:tr>
      <w:tr w14:paraId="3A7653C1">
        <w:tblPrEx>
          <w:tblBorders>
            <w:top w:val="single" w:color="4F81BD" w:themeColor="accent1" w:sz="8" w:space="0"/>
            <w:left w:val="none" w:color="auto" w:sz="0" w:space="0"/>
            <w:bottom w:val="single" w:color="4F81BD" w:themeColor="accen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546" w:type="dxa"/>
            <w:tcBorders>
              <w:left w:val="nil"/>
              <w:right w:val="nil"/>
              <w:insideV w:val="nil"/>
            </w:tcBorders>
            <w:shd w:val="clear" w:color="auto" w:fill="D3DFEE" w:themeFill="accent1" w:themeFillTint="3F"/>
            <w:noWrap/>
          </w:tcPr>
          <w:p w14:paraId="6868BBA3">
            <w:pPr>
              <w:widowControl/>
              <w:jc w:val="left"/>
              <w:rPr>
                <w:rFonts w:ascii="仿宋_GB2312" w:hAnsi="仿宋" w:eastAsia="仿宋_GB2312" w:cs="宋体"/>
                <w:b w:val="0"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b w:val="0"/>
                <w:bCs/>
                <w:color w:val="auto"/>
                <w:kern w:val="0"/>
                <w:sz w:val="24"/>
              </w:rPr>
              <w:t>工程质量验收</w:t>
            </w:r>
          </w:p>
        </w:tc>
        <w:tc>
          <w:tcPr>
            <w:tcW w:w="1219" w:type="dxa"/>
            <w:tcBorders>
              <w:right w:val="nil"/>
              <w:insideV w:val="nil"/>
            </w:tcBorders>
            <w:shd w:val="clear" w:color="auto" w:fill="D3DFEE" w:themeFill="accent1" w:themeFillTint="3F"/>
            <w:noWrap/>
            <w:vAlign w:val="center"/>
          </w:tcPr>
          <w:p w14:paraId="14F34052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kern w:val="0"/>
                <w:sz w:val="24"/>
              </w:rPr>
              <w:t>56.00%</w:t>
            </w:r>
          </w:p>
        </w:tc>
        <w:tc>
          <w:tcPr>
            <w:tcW w:w="1219" w:type="dxa"/>
            <w:tcBorders>
              <w:right w:val="nil"/>
              <w:insideV w:val="nil"/>
            </w:tcBorders>
            <w:shd w:val="clear" w:color="auto" w:fill="D3DFEE" w:themeFill="accent1" w:themeFillTint="3F"/>
            <w:noWrap/>
            <w:vAlign w:val="center"/>
          </w:tcPr>
          <w:p w14:paraId="52F7570A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kern w:val="0"/>
                <w:sz w:val="24"/>
              </w:rPr>
              <w:t>44.00%</w:t>
            </w:r>
          </w:p>
        </w:tc>
        <w:tc>
          <w:tcPr>
            <w:tcW w:w="1219" w:type="dxa"/>
            <w:tcBorders>
              <w:right w:val="nil"/>
              <w:insideV w:val="nil"/>
            </w:tcBorders>
            <w:shd w:val="clear" w:color="auto" w:fill="D3DFEE" w:themeFill="accent1" w:themeFillTint="3F"/>
            <w:noWrap/>
            <w:vAlign w:val="center"/>
          </w:tcPr>
          <w:p w14:paraId="75D2FEE2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kern w:val="0"/>
                <w:sz w:val="24"/>
              </w:rPr>
              <w:t>0.00%</w:t>
            </w:r>
          </w:p>
        </w:tc>
        <w:tc>
          <w:tcPr>
            <w:tcW w:w="1220" w:type="dxa"/>
            <w:tcBorders>
              <w:right w:val="nil"/>
              <w:insideV w:val="nil"/>
            </w:tcBorders>
            <w:shd w:val="clear" w:color="auto" w:fill="D3DFEE" w:themeFill="accent1" w:themeFillTint="3F"/>
            <w:noWrap/>
            <w:vAlign w:val="center"/>
          </w:tcPr>
          <w:p w14:paraId="3A8925A7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sz w:val="24"/>
              </w:rPr>
              <w:t>0.00%</w:t>
            </w:r>
          </w:p>
        </w:tc>
      </w:tr>
      <w:tr w14:paraId="60932293">
        <w:tblPrEx>
          <w:tblBorders>
            <w:top w:val="single" w:color="4F81BD" w:themeColor="accent1" w:sz="8" w:space="0"/>
            <w:left w:val="none" w:color="auto" w:sz="0" w:space="0"/>
            <w:bottom w:val="single" w:color="4F81BD" w:themeColor="accen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546" w:type="dxa"/>
            <w:noWrap/>
          </w:tcPr>
          <w:p w14:paraId="6877F604">
            <w:pPr>
              <w:widowControl/>
              <w:jc w:val="left"/>
              <w:rPr>
                <w:rFonts w:ascii="仿宋_GB2312" w:hAnsi="仿宋" w:eastAsia="仿宋_GB2312" w:cs="宋体"/>
                <w:b w:val="0"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b w:val="0"/>
                <w:bCs/>
                <w:color w:val="auto"/>
                <w:kern w:val="0"/>
                <w:sz w:val="24"/>
              </w:rPr>
              <w:t>签订供用水合同</w:t>
            </w:r>
          </w:p>
        </w:tc>
        <w:tc>
          <w:tcPr>
            <w:tcW w:w="1219" w:type="dxa"/>
            <w:noWrap/>
            <w:vAlign w:val="center"/>
          </w:tcPr>
          <w:p w14:paraId="5D25EEAA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kern w:val="0"/>
                <w:sz w:val="24"/>
              </w:rPr>
              <w:t>56.00%</w:t>
            </w:r>
          </w:p>
        </w:tc>
        <w:tc>
          <w:tcPr>
            <w:tcW w:w="1219" w:type="dxa"/>
            <w:noWrap/>
            <w:vAlign w:val="center"/>
          </w:tcPr>
          <w:p w14:paraId="1341C93A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kern w:val="0"/>
                <w:sz w:val="24"/>
              </w:rPr>
              <w:t>44.00%</w:t>
            </w:r>
          </w:p>
        </w:tc>
        <w:tc>
          <w:tcPr>
            <w:tcW w:w="1219" w:type="dxa"/>
            <w:noWrap/>
            <w:vAlign w:val="center"/>
          </w:tcPr>
          <w:p w14:paraId="5DD164E6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kern w:val="0"/>
                <w:sz w:val="24"/>
              </w:rPr>
              <w:t>0.00%</w:t>
            </w:r>
          </w:p>
        </w:tc>
        <w:tc>
          <w:tcPr>
            <w:tcW w:w="1220" w:type="dxa"/>
            <w:noWrap/>
            <w:vAlign w:val="center"/>
          </w:tcPr>
          <w:p w14:paraId="4518B98D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sz w:val="24"/>
              </w:rPr>
              <w:t>0.00%</w:t>
            </w:r>
          </w:p>
        </w:tc>
      </w:tr>
      <w:tr w14:paraId="5EF89E01">
        <w:tblPrEx>
          <w:tblBorders>
            <w:top w:val="single" w:color="4F81BD" w:themeColor="accent1" w:sz="8" w:space="0"/>
            <w:left w:val="none" w:color="auto" w:sz="0" w:space="0"/>
            <w:bottom w:val="single" w:color="4F81BD" w:themeColor="accen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546" w:type="dxa"/>
            <w:tcBorders>
              <w:left w:val="nil"/>
              <w:right w:val="nil"/>
              <w:insideV w:val="nil"/>
            </w:tcBorders>
            <w:shd w:val="clear" w:color="auto" w:fill="D3DFEE" w:themeFill="accent1" w:themeFillTint="3F"/>
            <w:noWrap/>
          </w:tcPr>
          <w:p w14:paraId="07A23EC4">
            <w:pPr>
              <w:widowControl/>
              <w:jc w:val="left"/>
              <w:rPr>
                <w:rFonts w:ascii="仿宋_GB2312" w:hAnsi="仿宋" w:eastAsia="仿宋_GB2312" w:cs="宋体"/>
                <w:b w:val="0"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b w:val="0"/>
                <w:bCs/>
                <w:color w:val="auto"/>
                <w:kern w:val="0"/>
                <w:sz w:val="24"/>
              </w:rPr>
              <w:t>总体服务</w:t>
            </w:r>
          </w:p>
        </w:tc>
        <w:tc>
          <w:tcPr>
            <w:tcW w:w="1219" w:type="dxa"/>
            <w:tcBorders>
              <w:right w:val="nil"/>
              <w:insideV w:val="nil"/>
            </w:tcBorders>
            <w:shd w:val="clear" w:color="auto" w:fill="D3DFEE" w:themeFill="accent1" w:themeFillTint="3F"/>
            <w:noWrap/>
            <w:vAlign w:val="center"/>
          </w:tcPr>
          <w:p w14:paraId="764EA51D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kern w:val="0"/>
                <w:sz w:val="24"/>
              </w:rPr>
              <w:t>56.00%</w:t>
            </w:r>
          </w:p>
        </w:tc>
        <w:tc>
          <w:tcPr>
            <w:tcW w:w="1219" w:type="dxa"/>
            <w:tcBorders>
              <w:right w:val="nil"/>
              <w:insideV w:val="nil"/>
            </w:tcBorders>
            <w:shd w:val="clear" w:color="auto" w:fill="D3DFEE" w:themeFill="accent1" w:themeFillTint="3F"/>
            <w:noWrap/>
            <w:vAlign w:val="center"/>
          </w:tcPr>
          <w:p w14:paraId="4221476A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kern w:val="0"/>
                <w:sz w:val="24"/>
              </w:rPr>
              <w:t>44.00%</w:t>
            </w:r>
          </w:p>
        </w:tc>
        <w:tc>
          <w:tcPr>
            <w:tcW w:w="1219" w:type="dxa"/>
            <w:tcBorders>
              <w:right w:val="nil"/>
              <w:insideV w:val="nil"/>
            </w:tcBorders>
            <w:shd w:val="clear" w:color="auto" w:fill="D3DFEE" w:themeFill="accent1" w:themeFillTint="3F"/>
            <w:noWrap/>
            <w:vAlign w:val="center"/>
          </w:tcPr>
          <w:p w14:paraId="11BD8D58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kern w:val="0"/>
                <w:sz w:val="24"/>
              </w:rPr>
              <w:t>0.00%</w:t>
            </w:r>
          </w:p>
        </w:tc>
        <w:tc>
          <w:tcPr>
            <w:tcW w:w="1220" w:type="dxa"/>
            <w:tcBorders>
              <w:right w:val="nil"/>
              <w:insideV w:val="nil"/>
            </w:tcBorders>
            <w:shd w:val="clear" w:color="auto" w:fill="D3DFEE" w:themeFill="accent1" w:themeFillTint="3F"/>
            <w:noWrap/>
            <w:vAlign w:val="center"/>
          </w:tcPr>
          <w:p w14:paraId="2FE428A9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sz w:val="24"/>
              </w:rPr>
              <w:t>0.00%</w:t>
            </w:r>
          </w:p>
        </w:tc>
      </w:tr>
      <w:tr w14:paraId="30AA86EB">
        <w:tblPrEx>
          <w:tblBorders>
            <w:top w:val="single" w:color="4F81BD" w:themeColor="accent1" w:sz="8" w:space="0"/>
            <w:left w:val="none" w:color="auto" w:sz="0" w:space="0"/>
            <w:bottom w:val="single" w:color="4F81BD" w:themeColor="accen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546" w:type="dxa"/>
            <w:noWrap/>
          </w:tcPr>
          <w:p w14:paraId="02D27890">
            <w:pPr>
              <w:widowControl/>
              <w:jc w:val="center"/>
              <w:rPr>
                <w:rFonts w:ascii="仿宋_GB2312" w:hAnsi="仿宋" w:eastAsia="仿宋_GB2312" w:cs="宋体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b/>
                <w:bCs/>
                <w:color w:val="auto"/>
                <w:kern w:val="0"/>
                <w:sz w:val="24"/>
              </w:rPr>
              <w:t>总体满意率</w:t>
            </w:r>
          </w:p>
        </w:tc>
        <w:tc>
          <w:tcPr>
            <w:tcW w:w="4877" w:type="dxa"/>
            <w:gridSpan w:val="4"/>
            <w:noWrap/>
          </w:tcPr>
          <w:p w14:paraId="5F67EAE0">
            <w:pPr>
              <w:widowControl/>
              <w:jc w:val="center"/>
              <w:rPr>
                <w:rFonts w:ascii="仿宋_GB2312" w:hAnsi="仿宋" w:eastAsia="仿宋_GB2312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b/>
                <w:bCs/>
                <w:color w:val="auto"/>
                <w:kern w:val="0"/>
                <w:sz w:val="24"/>
              </w:rPr>
              <w:t>100.00%</w:t>
            </w:r>
          </w:p>
        </w:tc>
      </w:tr>
    </w:tbl>
    <w:p w14:paraId="311940DA">
      <w:pPr>
        <w:spacing w:before="156" w:beforeLines="50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（8）青浦自来水</w:t>
      </w:r>
    </w:p>
    <w:tbl>
      <w:tblPr>
        <w:tblStyle w:val="18"/>
        <w:tblW w:w="8524" w:type="dxa"/>
        <w:jc w:val="center"/>
        <w:tblBorders>
          <w:top w:val="single" w:color="4F81BD" w:themeColor="accent1" w:sz="8" w:space="0"/>
          <w:left w:val="none" w:color="auto" w:sz="0" w:space="0"/>
          <w:bottom w:val="single" w:color="4F81BD" w:themeColor="accent1" w:sz="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88"/>
        <w:gridCol w:w="1232"/>
        <w:gridCol w:w="1232"/>
        <w:gridCol w:w="1232"/>
        <w:gridCol w:w="1240"/>
      </w:tblGrid>
      <w:tr w14:paraId="1EC32010">
        <w:tblPrEx>
          <w:tblBorders>
            <w:top w:val="single" w:color="4F81BD" w:themeColor="accent1" w:sz="8" w:space="0"/>
            <w:left w:val="none" w:color="auto" w:sz="0" w:space="0"/>
            <w:bottom w:val="single" w:color="4F81BD" w:themeColor="accen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  <w:jc w:val="center"/>
        </w:trPr>
        <w:tc>
          <w:tcPr>
            <w:tcW w:w="3588" w:type="dxa"/>
            <w:tcBorders>
              <w:top w:val="single" w:color="4F81BD" w:themeColor="accent1" w:sz="8" w:space="0"/>
              <w:left w:val="nil"/>
              <w:bottom w:val="single" w:color="4F81BD" w:themeColor="accent1" w:sz="8" w:space="0"/>
              <w:right w:val="nil"/>
              <w:insideH w:val="single" w:sz="8" w:space="0"/>
              <w:insideV w:val="nil"/>
            </w:tcBorders>
            <w:noWrap/>
          </w:tcPr>
          <w:p w14:paraId="30D9C7A8">
            <w:pPr>
              <w:widowControl/>
              <w:spacing w:before="0" w:after="0" w:line="240" w:lineRule="auto"/>
              <w:jc w:val="center"/>
              <w:rPr>
                <w:rFonts w:ascii="仿宋_GB2312" w:hAnsi="仿宋" w:eastAsia="仿宋_GB2312" w:cs="宋体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b/>
                <w:bCs/>
                <w:color w:val="auto"/>
                <w:kern w:val="0"/>
                <w:sz w:val="24"/>
              </w:rPr>
              <w:t>指  标</w:t>
            </w:r>
          </w:p>
        </w:tc>
        <w:tc>
          <w:tcPr>
            <w:tcW w:w="1232" w:type="dxa"/>
            <w:tcBorders>
              <w:top w:val="single" w:color="4F81BD" w:themeColor="accent1" w:sz="8" w:space="0"/>
              <w:bottom w:val="single" w:color="4F81BD" w:themeColor="accent1" w:sz="8" w:space="0"/>
              <w:right w:val="nil"/>
              <w:insideH w:val="single" w:sz="8" w:space="0"/>
              <w:insideV w:val="nil"/>
            </w:tcBorders>
            <w:noWrap/>
          </w:tcPr>
          <w:p w14:paraId="2DCD576B">
            <w:pPr>
              <w:widowControl/>
              <w:spacing w:before="0" w:after="0" w:line="240" w:lineRule="auto"/>
              <w:jc w:val="center"/>
              <w:rPr>
                <w:rFonts w:ascii="仿宋_GB2312" w:hAnsi="仿宋" w:eastAsia="仿宋_GB2312" w:cs="宋体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b/>
                <w:bCs/>
                <w:color w:val="auto"/>
                <w:kern w:val="0"/>
                <w:sz w:val="24"/>
              </w:rPr>
              <w:t>非常满意</w:t>
            </w:r>
          </w:p>
        </w:tc>
        <w:tc>
          <w:tcPr>
            <w:tcW w:w="1232" w:type="dxa"/>
            <w:tcBorders>
              <w:top w:val="single" w:color="4F81BD" w:themeColor="accent1" w:sz="8" w:space="0"/>
              <w:bottom w:val="single" w:color="4F81BD" w:themeColor="accent1" w:sz="8" w:space="0"/>
              <w:right w:val="nil"/>
              <w:insideH w:val="single" w:sz="8" w:space="0"/>
              <w:insideV w:val="nil"/>
            </w:tcBorders>
            <w:noWrap/>
          </w:tcPr>
          <w:p w14:paraId="399F601D">
            <w:pPr>
              <w:widowControl/>
              <w:spacing w:before="0" w:after="0" w:line="240" w:lineRule="auto"/>
              <w:jc w:val="center"/>
              <w:rPr>
                <w:rFonts w:ascii="仿宋_GB2312" w:hAnsi="仿宋" w:eastAsia="仿宋_GB2312" w:cs="宋体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b/>
                <w:bCs/>
                <w:color w:val="auto"/>
                <w:kern w:val="0"/>
                <w:sz w:val="24"/>
              </w:rPr>
              <w:t>满意</w:t>
            </w:r>
          </w:p>
        </w:tc>
        <w:tc>
          <w:tcPr>
            <w:tcW w:w="1232" w:type="dxa"/>
            <w:tcBorders>
              <w:top w:val="single" w:color="4F81BD" w:themeColor="accent1" w:sz="8" w:space="0"/>
              <w:bottom w:val="single" w:color="4F81BD" w:themeColor="accent1" w:sz="8" w:space="0"/>
              <w:right w:val="nil"/>
              <w:insideH w:val="single" w:sz="8" w:space="0"/>
              <w:insideV w:val="nil"/>
            </w:tcBorders>
            <w:noWrap/>
          </w:tcPr>
          <w:p w14:paraId="323713E0">
            <w:pPr>
              <w:widowControl/>
              <w:spacing w:before="0" w:after="0" w:line="240" w:lineRule="auto"/>
              <w:jc w:val="center"/>
              <w:rPr>
                <w:rFonts w:ascii="仿宋_GB2312" w:hAnsi="仿宋" w:eastAsia="仿宋_GB2312" w:cs="宋体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b/>
                <w:bCs/>
                <w:color w:val="auto"/>
                <w:kern w:val="0"/>
                <w:sz w:val="24"/>
              </w:rPr>
              <w:t>基本满意</w:t>
            </w:r>
          </w:p>
        </w:tc>
        <w:tc>
          <w:tcPr>
            <w:tcW w:w="1240" w:type="dxa"/>
            <w:tcBorders>
              <w:top w:val="single" w:color="4F81BD" w:themeColor="accent1" w:sz="8" w:space="0"/>
              <w:bottom w:val="single" w:color="4F81BD" w:themeColor="accent1" w:sz="8" w:space="0"/>
              <w:right w:val="nil"/>
              <w:insideH w:val="single" w:sz="8" w:space="0"/>
              <w:insideV w:val="nil"/>
            </w:tcBorders>
            <w:noWrap/>
          </w:tcPr>
          <w:p w14:paraId="06023BF7">
            <w:pPr>
              <w:widowControl/>
              <w:spacing w:before="0" w:after="0" w:line="240" w:lineRule="auto"/>
              <w:jc w:val="center"/>
              <w:rPr>
                <w:rFonts w:ascii="仿宋_GB2312" w:hAnsi="仿宋" w:eastAsia="仿宋_GB2312" w:cs="宋体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b/>
                <w:bCs/>
                <w:color w:val="auto"/>
                <w:kern w:val="0"/>
                <w:sz w:val="24"/>
              </w:rPr>
              <w:t>不满意</w:t>
            </w:r>
          </w:p>
        </w:tc>
      </w:tr>
      <w:tr w14:paraId="64D046C1">
        <w:tblPrEx>
          <w:tblBorders>
            <w:top w:val="single" w:color="4F81BD" w:themeColor="accent1" w:sz="8" w:space="0"/>
            <w:left w:val="none" w:color="auto" w:sz="0" w:space="0"/>
            <w:bottom w:val="single" w:color="4F81BD" w:themeColor="accen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  <w:jc w:val="center"/>
        </w:trPr>
        <w:tc>
          <w:tcPr>
            <w:tcW w:w="3588" w:type="dxa"/>
            <w:tcBorders>
              <w:left w:val="nil"/>
              <w:right w:val="nil"/>
              <w:insideV w:val="nil"/>
            </w:tcBorders>
            <w:shd w:val="clear" w:color="auto" w:fill="D3DFEE" w:themeFill="accent1" w:themeFillTint="3F"/>
            <w:noWrap/>
          </w:tcPr>
          <w:p w14:paraId="3EB1DB88">
            <w:pPr>
              <w:widowControl/>
              <w:jc w:val="left"/>
              <w:rPr>
                <w:rFonts w:ascii="仿宋_GB2312" w:hAnsi="仿宋" w:eastAsia="仿宋_GB2312" w:cs="宋体"/>
                <w:b w:val="0"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b w:val="0"/>
                <w:bCs/>
                <w:color w:val="auto"/>
                <w:kern w:val="0"/>
                <w:sz w:val="24"/>
              </w:rPr>
              <w:t>前期咨询和申请受理</w:t>
            </w:r>
          </w:p>
        </w:tc>
        <w:tc>
          <w:tcPr>
            <w:tcW w:w="1232" w:type="dxa"/>
            <w:tcBorders>
              <w:right w:val="nil"/>
              <w:insideV w:val="nil"/>
            </w:tcBorders>
            <w:shd w:val="clear" w:color="auto" w:fill="D3DFEE" w:themeFill="accent1" w:themeFillTint="3F"/>
            <w:noWrap/>
            <w:vAlign w:val="center"/>
          </w:tcPr>
          <w:p w14:paraId="483FC274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kern w:val="0"/>
                <w:sz w:val="24"/>
              </w:rPr>
              <w:t>71.43%</w:t>
            </w:r>
          </w:p>
        </w:tc>
        <w:tc>
          <w:tcPr>
            <w:tcW w:w="1232" w:type="dxa"/>
            <w:tcBorders>
              <w:right w:val="nil"/>
              <w:insideV w:val="nil"/>
            </w:tcBorders>
            <w:shd w:val="clear" w:color="auto" w:fill="D3DFEE" w:themeFill="accent1" w:themeFillTint="3F"/>
            <w:noWrap/>
            <w:vAlign w:val="center"/>
          </w:tcPr>
          <w:p w14:paraId="5113B202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kern w:val="0"/>
                <w:sz w:val="24"/>
              </w:rPr>
              <w:t>28.57%</w:t>
            </w:r>
          </w:p>
        </w:tc>
        <w:tc>
          <w:tcPr>
            <w:tcW w:w="1232" w:type="dxa"/>
            <w:tcBorders>
              <w:right w:val="nil"/>
              <w:insideV w:val="nil"/>
            </w:tcBorders>
            <w:shd w:val="clear" w:color="auto" w:fill="D3DFEE" w:themeFill="accent1" w:themeFillTint="3F"/>
            <w:noWrap/>
            <w:vAlign w:val="center"/>
          </w:tcPr>
          <w:p w14:paraId="7BA0D6B5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kern w:val="0"/>
                <w:sz w:val="24"/>
              </w:rPr>
              <w:t>0.00%</w:t>
            </w:r>
          </w:p>
        </w:tc>
        <w:tc>
          <w:tcPr>
            <w:tcW w:w="1240" w:type="dxa"/>
            <w:tcBorders>
              <w:right w:val="nil"/>
              <w:insideV w:val="nil"/>
            </w:tcBorders>
            <w:shd w:val="clear" w:color="auto" w:fill="D3DFEE" w:themeFill="accent1" w:themeFillTint="3F"/>
            <w:noWrap/>
            <w:vAlign w:val="center"/>
          </w:tcPr>
          <w:p w14:paraId="6459D1BE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sz w:val="24"/>
              </w:rPr>
              <w:t>0.00%</w:t>
            </w:r>
          </w:p>
        </w:tc>
      </w:tr>
      <w:tr w14:paraId="3D52E30A">
        <w:tblPrEx>
          <w:tblBorders>
            <w:top w:val="single" w:color="4F81BD" w:themeColor="accent1" w:sz="8" w:space="0"/>
            <w:left w:val="none" w:color="auto" w:sz="0" w:space="0"/>
            <w:bottom w:val="single" w:color="4F81BD" w:themeColor="accen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  <w:jc w:val="center"/>
        </w:trPr>
        <w:tc>
          <w:tcPr>
            <w:tcW w:w="3588" w:type="dxa"/>
            <w:noWrap/>
          </w:tcPr>
          <w:p w14:paraId="25374710">
            <w:pPr>
              <w:widowControl/>
              <w:jc w:val="left"/>
              <w:rPr>
                <w:rFonts w:ascii="仿宋_GB2312" w:hAnsi="仿宋" w:eastAsia="仿宋_GB2312" w:cs="宋体"/>
                <w:b w:val="0"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b w:val="0"/>
                <w:bCs/>
                <w:color w:val="auto"/>
                <w:kern w:val="0"/>
                <w:sz w:val="24"/>
              </w:rPr>
              <w:t>现场查勘和编制/复核供水方案</w:t>
            </w:r>
          </w:p>
        </w:tc>
        <w:tc>
          <w:tcPr>
            <w:tcW w:w="1232" w:type="dxa"/>
            <w:noWrap/>
            <w:vAlign w:val="center"/>
          </w:tcPr>
          <w:p w14:paraId="54ADE855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kern w:val="0"/>
                <w:sz w:val="24"/>
              </w:rPr>
              <w:t>71.43%</w:t>
            </w:r>
          </w:p>
        </w:tc>
        <w:tc>
          <w:tcPr>
            <w:tcW w:w="1232" w:type="dxa"/>
            <w:noWrap/>
            <w:vAlign w:val="center"/>
          </w:tcPr>
          <w:p w14:paraId="2EB6F593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kern w:val="0"/>
                <w:sz w:val="24"/>
              </w:rPr>
              <w:t>28.57%</w:t>
            </w:r>
          </w:p>
        </w:tc>
        <w:tc>
          <w:tcPr>
            <w:tcW w:w="1232" w:type="dxa"/>
            <w:noWrap/>
            <w:vAlign w:val="center"/>
          </w:tcPr>
          <w:p w14:paraId="3BF7C312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kern w:val="0"/>
                <w:sz w:val="24"/>
              </w:rPr>
              <w:t>0.00%</w:t>
            </w:r>
          </w:p>
        </w:tc>
        <w:tc>
          <w:tcPr>
            <w:tcW w:w="1240" w:type="dxa"/>
            <w:noWrap/>
            <w:vAlign w:val="center"/>
          </w:tcPr>
          <w:p w14:paraId="2B036BFF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sz w:val="24"/>
              </w:rPr>
              <w:t>0.00%</w:t>
            </w:r>
          </w:p>
        </w:tc>
      </w:tr>
      <w:tr w14:paraId="5E6CF185">
        <w:tblPrEx>
          <w:tblBorders>
            <w:top w:val="single" w:color="4F81BD" w:themeColor="accent1" w:sz="8" w:space="0"/>
            <w:left w:val="none" w:color="auto" w:sz="0" w:space="0"/>
            <w:bottom w:val="single" w:color="4F81BD" w:themeColor="accen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  <w:jc w:val="center"/>
        </w:trPr>
        <w:tc>
          <w:tcPr>
            <w:tcW w:w="3588" w:type="dxa"/>
            <w:tcBorders>
              <w:left w:val="nil"/>
              <w:right w:val="nil"/>
              <w:insideV w:val="nil"/>
            </w:tcBorders>
            <w:shd w:val="clear" w:color="auto" w:fill="D3DFEE" w:themeFill="accent1" w:themeFillTint="3F"/>
            <w:noWrap/>
          </w:tcPr>
          <w:p w14:paraId="2FDCC276">
            <w:pPr>
              <w:widowControl/>
              <w:jc w:val="left"/>
              <w:rPr>
                <w:rFonts w:ascii="仿宋_GB2312" w:hAnsi="仿宋" w:eastAsia="仿宋_GB2312" w:cs="宋体"/>
                <w:b w:val="0"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b w:val="0"/>
                <w:bCs/>
                <w:color w:val="auto"/>
                <w:kern w:val="0"/>
                <w:sz w:val="24"/>
              </w:rPr>
              <w:t>工程质量验收</w:t>
            </w:r>
          </w:p>
        </w:tc>
        <w:tc>
          <w:tcPr>
            <w:tcW w:w="1232" w:type="dxa"/>
            <w:tcBorders>
              <w:right w:val="nil"/>
              <w:insideV w:val="nil"/>
            </w:tcBorders>
            <w:shd w:val="clear" w:color="auto" w:fill="D3DFEE" w:themeFill="accent1" w:themeFillTint="3F"/>
            <w:noWrap/>
            <w:vAlign w:val="center"/>
          </w:tcPr>
          <w:p w14:paraId="431CFBD0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kern w:val="0"/>
                <w:sz w:val="24"/>
              </w:rPr>
              <w:t>71.43%</w:t>
            </w:r>
          </w:p>
        </w:tc>
        <w:tc>
          <w:tcPr>
            <w:tcW w:w="1232" w:type="dxa"/>
            <w:tcBorders>
              <w:right w:val="nil"/>
              <w:insideV w:val="nil"/>
            </w:tcBorders>
            <w:shd w:val="clear" w:color="auto" w:fill="D3DFEE" w:themeFill="accent1" w:themeFillTint="3F"/>
            <w:noWrap/>
            <w:vAlign w:val="center"/>
          </w:tcPr>
          <w:p w14:paraId="49F53753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kern w:val="0"/>
                <w:sz w:val="24"/>
              </w:rPr>
              <w:t>28.57%</w:t>
            </w:r>
          </w:p>
        </w:tc>
        <w:tc>
          <w:tcPr>
            <w:tcW w:w="1232" w:type="dxa"/>
            <w:tcBorders>
              <w:right w:val="nil"/>
              <w:insideV w:val="nil"/>
            </w:tcBorders>
            <w:shd w:val="clear" w:color="auto" w:fill="D3DFEE" w:themeFill="accent1" w:themeFillTint="3F"/>
            <w:noWrap/>
            <w:vAlign w:val="center"/>
          </w:tcPr>
          <w:p w14:paraId="5F58400B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kern w:val="0"/>
                <w:sz w:val="24"/>
              </w:rPr>
              <w:t>0.00%</w:t>
            </w:r>
          </w:p>
        </w:tc>
        <w:tc>
          <w:tcPr>
            <w:tcW w:w="1240" w:type="dxa"/>
            <w:tcBorders>
              <w:right w:val="nil"/>
              <w:insideV w:val="nil"/>
            </w:tcBorders>
            <w:shd w:val="clear" w:color="auto" w:fill="D3DFEE" w:themeFill="accent1" w:themeFillTint="3F"/>
            <w:noWrap/>
            <w:vAlign w:val="center"/>
          </w:tcPr>
          <w:p w14:paraId="579DDE7B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sz w:val="24"/>
              </w:rPr>
              <w:t>0.00%</w:t>
            </w:r>
          </w:p>
        </w:tc>
      </w:tr>
      <w:tr w14:paraId="551F3982">
        <w:tblPrEx>
          <w:tblBorders>
            <w:top w:val="single" w:color="4F81BD" w:themeColor="accent1" w:sz="8" w:space="0"/>
            <w:left w:val="none" w:color="auto" w:sz="0" w:space="0"/>
            <w:bottom w:val="single" w:color="4F81BD" w:themeColor="accen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  <w:jc w:val="center"/>
        </w:trPr>
        <w:tc>
          <w:tcPr>
            <w:tcW w:w="3588" w:type="dxa"/>
            <w:noWrap/>
          </w:tcPr>
          <w:p w14:paraId="147A572E">
            <w:pPr>
              <w:widowControl/>
              <w:jc w:val="left"/>
              <w:rPr>
                <w:rFonts w:ascii="仿宋_GB2312" w:hAnsi="仿宋" w:eastAsia="仿宋_GB2312" w:cs="宋体"/>
                <w:b w:val="0"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b w:val="0"/>
                <w:bCs/>
                <w:color w:val="auto"/>
                <w:kern w:val="0"/>
                <w:sz w:val="24"/>
              </w:rPr>
              <w:t>签订供用水合同</w:t>
            </w:r>
          </w:p>
        </w:tc>
        <w:tc>
          <w:tcPr>
            <w:tcW w:w="1232" w:type="dxa"/>
            <w:noWrap/>
            <w:vAlign w:val="center"/>
          </w:tcPr>
          <w:p w14:paraId="346F4DB6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kern w:val="0"/>
                <w:sz w:val="24"/>
              </w:rPr>
              <w:t>71.43%</w:t>
            </w:r>
          </w:p>
        </w:tc>
        <w:tc>
          <w:tcPr>
            <w:tcW w:w="1232" w:type="dxa"/>
            <w:noWrap/>
            <w:vAlign w:val="center"/>
          </w:tcPr>
          <w:p w14:paraId="2D051C54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kern w:val="0"/>
                <w:sz w:val="24"/>
              </w:rPr>
              <w:t>28.57%</w:t>
            </w:r>
          </w:p>
        </w:tc>
        <w:tc>
          <w:tcPr>
            <w:tcW w:w="1232" w:type="dxa"/>
            <w:noWrap/>
            <w:vAlign w:val="center"/>
          </w:tcPr>
          <w:p w14:paraId="381C9ADB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kern w:val="0"/>
                <w:sz w:val="24"/>
              </w:rPr>
              <w:t>0.00%</w:t>
            </w:r>
          </w:p>
        </w:tc>
        <w:tc>
          <w:tcPr>
            <w:tcW w:w="1240" w:type="dxa"/>
            <w:noWrap/>
            <w:vAlign w:val="center"/>
          </w:tcPr>
          <w:p w14:paraId="3C6DA351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sz w:val="24"/>
              </w:rPr>
              <w:t>0.00%</w:t>
            </w:r>
          </w:p>
        </w:tc>
      </w:tr>
      <w:tr w14:paraId="5556EDB2">
        <w:tblPrEx>
          <w:tblBorders>
            <w:top w:val="single" w:color="4F81BD" w:themeColor="accent1" w:sz="8" w:space="0"/>
            <w:left w:val="none" w:color="auto" w:sz="0" w:space="0"/>
            <w:bottom w:val="single" w:color="4F81BD" w:themeColor="accen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  <w:jc w:val="center"/>
        </w:trPr>
        <w:tc>
          <w:tcPr>
            <w:tcW w:w="3588" w:type="dxa"/>
            <w:tcBorders>
              <w:left w:val="nil"/>
              <w:right w:val="nil"/>
              <w:insideV w:val="nil"/>
            </w:tcBorders>
            <w:shd w:val="clear" w:color="auto" w:fill="D3DFEE" w:themeFill="accent1" w:themeFillTint="3F"/>
            <w:noWrap/>
          </w:tcPr>
          <w:p w14:paraId="29EE1D53">
            <w:pPr>
              <w:widowControl/>
              <w:jc w:val="left"/>
              <w:rPr>
                <w:rFonts w:ascii="仿宋_GB2312" w:hAnsi="仿宋" w:eastAsia="仿宋_GB2312" w:cs="宋体"/>
                <w:b w:val="0"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b w:val="0"/>
                <w:bCs/>
                <w:color w:val="auto"/>
                <w:kern w:val="0"/>
                <w:sz w:val="24"/>
              </w:rPr>
              <w:t>总体服务</w:t>
            </w:r>
          </w:p>
        </w:tc>
        <w:tc>
          <w:tcPr>
            <w:tcW w:w="1232" w:type="dxa"/>
            <w:tcBorders>
              <w:right w:val="nil"/>
              <w:insideV w:val="nil"/>
            </w:tcBorders>
            <w:shd w:val="clear" w:color="auto" w:fill="D3DFEE" w:themeFill="accent1" w:themeFillTint="3F"/>
            <w:noWrap/>
            <w:vAlign w:val="center"/>
          </w:tcPr>
          <w:p w14:paraId="2EE7BE9D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kern w:val="0"/>
                <w:sz w:val="24"/>
              </w:rPr>
              <w:t>71.43%</w:t>
            </w:r>
          </w:p>
        </w:tc>
        <w:tc>
          <w:tcPr>
            <w:tcW w:w="1232" w:type="dxa"/>
            <w:tcBorders>
              <w:right w:val="nil"/>
              <w:insideV w:val="nil"/>
            </w:tcBorders>
            <w:shd w:val="clear" w:color="auto" w:fill="D3DFEE" w:themeFill="accent1" w:themeFillTint="3F"/>
            <w:noWrap/>
            <w:vAlign w:val="center"/>
          </w:tcPr>
          <w:p w14:paraId="0B884F20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kern w:val="0"/>
                <w:sz w:val="24"/>
              </w:rPr>
              <w:t>28.57%</w:t>
            </w:r>
          </w:p>
        </w:tc>
        <w:tc>
          <w:tcPr>
            <w:tcW w:w="1232" w:type="dxa"/>
            <w:tcBorders>
              <w:right w:val="nil"/>
              <w:insideV w:val="nil"/>
            </w:tcBorders>
            <w:shd w:val="clear" w:color="auto" w:fill="D3DFEE" w:themeFill="accent1" w:themeFillTint="3F"/>
            <w:noWrap/>
            <w:vAlign w:val="center"/>
          </w:tcPr>
          <w:p w14:paraId="07503A0C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kern w:val="0"/>
                <w:sz w:val="24"/>
              </w:rPr>
              <w:t>0.00%</w:t>
            </w:r>
          </w:p>
        </w:tc>
        <w:tc>
          <w:tcPr>
            <w:tcW w:w="1240" w:type="dxa"/>
            <w:tcBorders>
              <w:right w:val="nil"/>
              <w:insideV w:val="nil"/>
            </w:tcBorders>
            <w:shd w:val="clear" w:color="auto" w:fill="D3DFEE" w:themeFill="accent1" w:themeFillTint="3F"/>
            <w:noWrap/>
            <w:vAlign w:val="center"/>
          </w:tcPr>
          <w:p w14:paraId="2BCF9369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sz w:val="24"/>
              </w:rPr>
              <w:t>0.00%</w:t>
            </w:r>
          </w:p>
        </w:tc>
      </w:tr>
      <w:tr w14:paraId="29692329">
        <w:tblPrEx>
          <w:tblBorders>
            <w:top w:val="single" w:color="4F81BD" w:themeColor="accent1" w:sz="8" w:space="0"/>
            <w:left w:val="none" w:color="auto" w:sz="0" w:space="0"/>
            <w:bottom w:val="single" w:color="4F81BD" w:themeColor="accen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  <w:jc w:val="center"/>
        </w:trPr>
        <w:tc>
          <w:tcPr>
            <w:tcW w:w="3588" w:type="dxa"/>
            <w:noWrap/>
          </w:tcPr>
          <w:p w14:paraId="02E9BB9B">
            <w:pPr>
              <w:widowControl/>
              <w:jc w:val="center"/>
              <w:rPr>
                <w:rFonts w:ascii="仿宋_GB2312" w:hAnsi="仿宋" w:eastAsia="仿宋_GB2312" w:cs="宋体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b/>
                <w:bCs/>
                <w:color w:val="auto"/>
                <w:kern w:val="0"/>
                <w:sz w:val="24"/>
              </w:rPr>
              <w:t>总体满意率</w:t>
            </w:r>
          </w:p>
        </w:tc>
        <w:tc>
          <w:tcPr>
            <w:tcW w:w="4936" w:type="dxa"/>
            <w:gridSpan w:val="4"/>
            <w:noWrap/>
          </w:tcPr>
          <w:p w14:paraId="5BCED909">
            <w:pPr>
              <w:widowControl/>
              <w:jc w:val="center"/>
              <w:rPr>
                <w:rFonts w:ascii="仿宋_GB2312" w:hAnsi="仿宋" w:eastAsia="仿宋_GB2312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b/>
                <w:bCs/>
                <w:color w:val="auto"/>
                <w:kern w:val="0"/>
                <w:sz w:val="24"/>
              </w:rPr>
              <w:t>100.00%</w:t>
            </w:r>
          </w:p>
        </w:tc>
      </w:tr>
    </w:tbl>
    <w:p w14:paraId="01EA61B0">
      <w:pPr>
        <w:spacing w:before="156" w:beforeLines="50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（9）松江自来水</w:t>
      </w:r>
    </w:p>
    <w:tbl>
      <w:tblPr>
        <w:tblStyle w:val="18"/>
        <w:tblW w:w="8543" w:type="dxa"/>
        <w:jc w:val="center"/>
        <w:tblBorders>
          <w:top w:val="single" w:color="4F81BD" w:themeColor="accent1" w:sz="8" w:space="0"/>
          <w:left w:val="none" w:color="auto" w:sz="0" w:space="0"/>
          <w:bottom w:val="single" w:color="4F81BD" w:themeColor="accent1" w:sz="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96"/>
        <w:gridCol w:w="1236"/>
        <w:gridCol w:w="1236"/>
        <w:gridCol w:w="1236"/>
        <w:gridCol w:w="1239"/>
      </w:tblGrid>
      <w:tr w14:paraId="20FD18C5">
        <w:tblPrEx>
          <w:tblBorders>
            <w:top w:val="single" w:color="4F81BD" w:themeColor="accent1" w:sz="8" w:space="0"/>
            <w:left w:val="none" w:color="auto" w:sz="0" w:space="0"/>
            <w:bottom w:val="single" w:color="4F81BD" w:themeColor="accen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  <w:jc w:val="center"/>
        </w:trPr>
        <w:tc>
          <w:tcPr>
            <w:tcW w:w="3596" w:type="dxa"/>
            <w:tcBorders>
              <w:top w:val="single" w:color="4F81BD" w:themeColor="accent1" w:sz="8" w:space="0"/>
              <w:left w:val="nil"/>
              <w:bottom w:val="single" w:color="4F81BD" w:themeColor="accent1" w:sz="8" w:space="0"/>
              <w:right w:val="nil"/>
              <w:insideH w:val="single" w:sz="8" w:space="0"/>
              <w:insideV w:val="nil"/>
            </w:tcBorders>
            <w:noWrap/>
          </w:tcPr>
          <w:p w14:paraId="17B259C8">
            <w:pPr>
              <w:widowControl/>
              <w:spacing w:before="0" w:after="0" w:line="240" w:lineRule="auto"/>
              <w:jc w:val="center"/>
              <w:rPr>
                <w:rFonts w:ascii="仿宋_GB2312" w:hAnsi="仿宋" w:eastAsia="仿宋_GB2312" w:cs="宋体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b/>
                <w:bCs/>
                <w:color w:val="auto"/>
                <w:kern w:val="0"/>
                <w:sz w:val="24"/>
              </w:rPr>
              <w:t>指  标</w:t>
            </w:r>
          </w:p>
        </w:tc>
        <w:tc>
          <w:tcPr>
            <w:tcW w:w="1236" w:type="dxa"/>
            <w:tcBorders>
              <w:top w:val="single" w:color="4F81BD" w:themeColor="accent1" w:sz="8" w:space="0"/>
              <w:bottom w:val="single" w:color="4F81BD" w:themeColor="accent1" w:sz="8" w:space="0"/>
              <w:right w:val="nil"/>
              <w:insideH w:val="single" w:sz="8" w:space="0"/>
              <w:insideV w:val="nil"/>
            </w:tcBorders>
            <w:noWrap/>
          </w:tcPr>
          <w:p w14:paraId="302B1404">
            <w:pPr>
              <w:widowControl/>
              <w:spacing w:before="0" w:after="0" w:line="240" w:lineRule="auto"/>
              <w:jc w:val="center"/>
              <w:rPr>
                <w:rFonts w:ascii="仿宋_GB2312" w:hAnsi="仿宋" w:eastAsia="仿宋_GB2312" w:cs="宋体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b/>
                <w:bCs/>
                <w:color w:val="auto"/>
                <w:kern w:val="0"/>
                <w:sz w:val="24"/>
              </w:rPr>
              <w:t>非常满意</w:t>
            </w:r>
          </w:p>
        </w:tc>
        <w:tc>
          <w:tcPr>
            <w:tcW w:w="1236" w:type="dxa"/>
            <w:tcBorders>
              <w:top w:val="single" w:color="4F81BD" w:themeColor="accent1" w:sz="8" w:space="0"/>
              <w:bottom w:val="single" w:color="4F81BD" w:themeColor="accent1" w:sz="8" w:space="0"/>
              <w:right w:val="nil"/>
              <w:insideH w:val="single" w:sz="8" w:space="0"/>
              <w:insideV w:val="nil"/>
            </w:tcBorders>
            <w:noWrap/>
          </w:tcPr>
          <w:p w14:paraId="7FABBD6F">
            <w:pPr>
              <w:widowControl/>
              <w:spacing w:before="0" w:after="0" w:line="240" w:lineRule="auto"/>
              <w:jc w:val="center"/>
              <w:rPr>
                <w:rFonts w:ascii="仿宋_GB2312" w:hAnsi="仿宋" w:eastAsia="仿宋_GB2312" w:cs="宋体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b/>
                <w:bCs/>
                <w:color w:val="auto"/>
                <w:kern w:val="0"/>
                <w:sz w:val="24"/>
              </w:rPr>
              <w:t>满意</w:t>
            </w:r>
          </w:p>
        </w:tc>
        <w:tc>
          <w:tcPr>
            <w:tcW w:w="1236" w:type="dxa"/>
            <w:tcBorders>
              <w:top w:val="single" w:color="4F81BD" w:themeColor="accent1" w:sz="8" w:space="0"/>
              <w:bottom w:val="single" w:color="4F81BD" w:themeColor="accent1" w:sz="8" w:space="0"/>
              <w:right w:val="nil"/>
              <w:insideH w:val="single" w:sz="8" w:space="0"/>
              <w:insideV w:val="nil"/>
            </w:tcBorders>
            <w:noWrap/>
          </w:tcPr>
          <w:p w14:paraId="7A8F3F4F">
            <w:pPr>
              <w:widowControl/>
              <w:spacing w:before="0" w:after="0" w:line="240" w:lineRule="auto"/>
              <w:jc w:val="center"/>
              <w:rPr>
                <w:rFonts w:ascii="仿宋_GB2312" w:hAnsi="仿宋" w:eastAsia="仿宋_GB2312" w:cs="宋体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b/>
                <w:bCs/>
                <w:color w:val="auto"/>
                <w:kern w:val="0"/>
                <w:sz w:val="24"/>
              </w:rPr>
              <w:t>基本满意</w:t>
            </w:r>
          </w:p>
        </w:tc>
        <w:tc>
          <w:tcPr>
            <w:tcW w:w="1239" w:type="dxa"/>
            <w:tcBorders>
              <w:top w:val="single" w:color="4F81BD" w:themeColor="accent1" w:sz="8" w:space="0"/>
              <w:bottom w:val="single" w:color="4F81BD" w:themeColor="accent1" w:sz="8" w:space="0"/>
              <w:right w:val="nil"/>
              <w:insideH w:val="single" w:sz="8" w:space="0"/>
              <w:insideV w:val="nil"/>
            </w:tcBorders>
            <w:noWrap/>
          </w:tcPr>
          <w:p w14:paraId="647CC0CB">
            <w:pPr>
              <w:widowControl/>
              <w:spacing w:before="0" w:after="0" w:line="240" w:lineRule="auto"/>
              <w:jc w:val="center"/>
              <w:rPr>
                <w:rFonts w:ascii="仿宋_GB2312" w:hAnsi="仿宋" w:eastAsia="仿宋_GB2312" w:cs="宋体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b/>
                <w:bCs/>
                <w:color w:val="auto"/>
                <w:kern w:val="0"/>
                <w:sz w:val="24"/>
              </w:rPr>
              <w:t>不满意</w:t>
            </w:r>
          </w:p>
        </w:tc>
      </w:tr>
      <w:tr w14:paraId="7CC09B6E">
        <w:tblPrEx>
          <w:tblBorders>
            <w:top w:val="single" w:color="4F81BD" w:themeColor="accent1" w:sz="8" w:space="0"/>
            <w:left w:val="none" w:color="auto" w:sz="0" w:space="0"/>
            <w:bottom w:val="single" w:color="4F81BD" w:themeColor="accen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  <w:jc w:val="center"/>
        </w:trPr>
        <w:tc>
          <w:tcPr>
            <w:tcW w:w="3596" w:type="dxa"/>
            <w:tcBorders>
              <w:left w:val="nil"/>
              <w:right w:val="nil"/>
              <w:insideV w:val="nil"/>
            </w:tcBorders>
            <w:shd w:val="clear" w:color="auto" w:fill="D3DFEE" w:themeFill="accent1" w:themeFillTint="3F"/>
            <w:noWrap/>
          </w:tcPr>
          <w:p w14:paraId="28ABFC0F">
            <w:pPr>
              <w:widowControl/>
              <w:jc w:val="left"/>
              <w:rPr>
                <w:rFonts w:ascii="仿宋_GB2312" w:hAnsi="仿宋" w:eastAsia="仿宋_GB2312" w:cs="宋体"/>
                <w:b w:val="0"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b w:val="0"/>
                <w:bCs/>
                <w:color w:val="auto"/>
                <w:kern w:val="0"/>
                <w:sz w:val="24"/>
              </w:rPr>
              <w:t>前期咨询和申请受理</w:t>
            </w:r>
          </w:p>
        </w:tc>
        <w:tc>
          <w:tcPr>
            <w:tcW w:w="1236" w:type="dxa"/>
            <w:tcBorders>
              <w:right w:val="nil"/>
              <w:insideV w:val="nil"/>
            </w:tcBorders>
            <w:shd w:val="clear" w:color="auto" w:fill="D3DFEE" w:themeFill="accent1" w:themeFillTint="3F"/>
            <w:noWrap/>
            <w:vAlign w:val="center"/>
          </w:tcPr>
          <w:p w14:paraId="68F191A8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kern w:val="0"/>
                <w:sz w:val="24"/>
              </w:rPr>
              <w:t>62.50%</w:t>
            </w:r>
          </w:p>
        </w:tc>
        <w:tc>
          <w:tcPr>
            <w:tcW w:w="1236" w:type="dxa"/>
            <w:tcBorders>
              <w:right w:val="nil"/>
              <w:insideV w:val="nil"/>
            </w:tcBorders>
            <w:shd w:val="clear" w:color="auto" w:fill="D3DFEE" w:themeFill="accent1" w:themeFillTint="3F"/>
            <w:noWrap/>
            <w:vAlign w:val="center"/>
          </w:tcPr>
          <w:p w14:paraId="166DBB71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kern w:val="0"/>
                <w:sz w:val="24"/>
              </w:rPr>
              <w:t>37.50%</w:t>
            </w:r>
          </w:p>
        </w:tc>
        <w:tc>
          <w:tcPr>
            <w:tcW w:w="1236" w:type="dxa"/>
            <w:tcBorders>
              <w:right w:val="nil"/>
              <w:insideV w:val="nil"/>
            </w:tcBorders>
            <w:shd w:val="clear" w:color="auto" w:fill="D3DFEE" w:themeFill="accent1" w:themeFillTint="3F"/>
            <w:noWrap/>
            <w:vAlign w:val="center"/>
          </w:tcPr>
          <w:p w14:paraId="0ABC96A0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kern w:val="0"/>
                <w:sz w:val="24"/>
              </w:rPr>
              <w:t>0.00%</w:t>
            </w:r>
          </w:p>
        </w:tc>
        <w:tc>
          <w:tcPr>
            <w:tcW w:w="1239" w:type="dxa"/>
            <w:tcBorders>
              <w:right w:val="nil"/>
              <w:insideV w:val="nil"/>
            </w:tcBorders>
            <w:shd w:val="clear" w:color="auto" w:fill="D3DFEE" w:themeFill="accent1" w:themeFillTint="3F"/>
            <w:noWrap/>
            <w:vAlign w:val="center"/>
          </w:tcPr>
          <w:p w14:paraId="7FEB30EB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sz w:val="24"/>
              </w:rPr>
              <w:t>0.00%</w:t>
            </w:r>
          </w:p>
        </w:tc>
      </w:tr>
      <w:tr w14:paraId="020F56DC">
        <w:tblPrEx>
          <w:tblBorders>
            <w:top w:val="single" w:color="4F81BD" w:themeColor="accent1" w:sz="8" w:space="0"/>
            <w:left w:val="none" w:color="auto" w:sz="0" w:space="0"/>
            <w:bottom w:val="single" w:color="4F81BD" w:themeColor="accen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  <w:jc w:val="center"/>
        </w:trPr>
        <w:tc>
          <w:tcPr>
            <w:tcW w:w="3596" w:type="dxa"/>
            <w:noWrap/>
          </w:tcPr>
          <w:p w14:paraId="0417D91B">
            <w:pPr>
              <w:widowControl/>
              <w:jc w:val="left"/>
              <w:rPr>
                <w:rFonts w:ascii="仿宋_GB2312" w:hAnsi="仿宋" w:eastAsia="仿宋_GB2312" w:cs="宋体"/>
                <w:b w:val="0"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b w:val="0"/>
                <w:bCs/>
                <w:color w:val="auto"/>
                <w:kern w:val="0"/>
                <w:sz w:val="24"/>
              </w:rPr>
              <w:t>现场查勘和编制/复核供水方案</w:t>
            </w:r>
          </w:p>
        </w:tc>
        <w:tc>
          <w:tcPr>
            <w:tcW w:w="1236" w:type="dxa"/>
            <w:noWrap/>
            <w:vAlign w:val="center"/>
          </w:tcPr>
          <w:p w14:paraId="21F083F4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kern w:val="0"/>
                <w:sz w:val="24"/>
              </w:rPr>
              <w:t>50.00%</w:t>
            </w:r>
          </w:p>
        </w:tc>
        <w:tc>
          <w:tcPr>
            <w:tcW w:w="1236" w:type="dxa"/>
            <w:noWrap/>
            <w:vAlign w:val="center"/>
          </w:tcPr>
          <w:p w14:paraId="2302E263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kern w:val="0"/>
                <w:sz w:val="24"/>
              </w:rPr>
              <w:t>50.00%</w:t>
            </w:r>
          </w:p>
        </w:tc>
        <w:tc>
          <w:tcPr>
            <w:tcW w:w="1236" w:type="dxa"/>
            <w:noWrap/>
            <w:vAlign w:val="center"/>
          </w:tcPr>
          <w:p w14:paraId="40B3B307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kern w:val="0"/>
                <w:sz w:val="24"/>
              </w:rPr>
              <w:t>0.00%</w:t>
            </w:r>
          </w:p>
        </w:tc>
        <w:tc>
          <w:tcPr>
            <w:tcW w:w="1239" w:type="dxa"/>
            <w:noWrap/>
            <w:vAlign w:val="center"/>
          </w:tcPr>
          <w:p w14:paraId="48E7DCD3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sz w:val="24"/>
              </w:rPr>
              <w:t>0.00%</w:t>
            </w:r>
          </w:p>
        </w:tc>
      </w:tr>
      <w:tr w14:paraId="7233CAC3">
        <w:tblPrEx>
          <w:tblBorders>
            <w:top w:val="single" w:color="4F81BD" w:themeColor="accent1" w:sz="8" w:space="0"/>
            <w:left w:val="none" w:color="auto" w:sz="0" w:space="0"/>
            <w:bottom w:val="single" w:color="4F81BD" w:themeColor="accen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  <w:jc w:val="center"/>
        </w:trPr>
        <w:tc>
          <w:tcPr>
            <w:tcW w:w="3596" w:type="dxa"/>
            <w:tcBorders>
              <w:left w:val="nil"/>
              <w:right w:val="nil"/>
              <w:insideV w:val="nil"/>
            </w:tcBorders>
            <w:shd w:val="clear" w:color="auto" w:fill="D3DFEE" w:themeFill="accent1" w:themeFillTint="3F"/>
            <w:noWrap/>
          </w:tcPr>
          <w:p w14:paraId="2183DEFC">
            <w:pPr>
              <w:widowControl/>
              <w:jc w:val="left"/>
              <w:rPr>
                <w:rFonts w:ascii="仿宋_GB2312" w:hAnsi="仿宋" w:eastAsia="仿宋_GB2312" w:cs="宋体"/>
                <w:b w:val="0"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b w:val="0"/>
                <w:bCs/>
                <w:color w:val="auto"/>
                <w:kern w:val="0"/>
                <w:sz w:val="24"/>
              </w:rPr>
              <w:t>工程质量验收</w:t>
            </w:r>
          </w:p>
        </w:tc>
        <w:tc>
          <w:tcPr>
            <w:tcW w:w="1236" w:type="dxa"/>
            <w:tcBorders>
              <w:right w:val="nil"/>
              <w:insideV w:val="nil"/>
            </w:tcBorders>
            <w:shd w:val="clear" w:color="auto" w:fill="D3DFEE" w:themeFill="accent1" w:themeFillTint="3F"/>
            <w:noWrap/>
            <w:vAlign w:val="center"/>
          </w:tcPr>
          <w:p w14:paraId="5B0E31B4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kern w:val="0"/>
                <w:sz w:val="24"/>
              </w:rPr>
              <w:t>54.17%</w:t>
            </w:r>
          </w:p>
        </w:tc>
        <w:tc>
          <w:tcPr>
            <w:tcW w:w="1236" w:type="dxa"/>
            <w:tcBorders>
              <w:right w:val="nil"/>
              <w:insideV w:val="nil"/>
            </w:tcBorders>
            <w:shd w:val="clear" w:color="auto" w:fill="D3DFEE" w:themeFill="accent1" w:themeFillTint="3F"/>
            <w:noWrap/>
            <w:vAlign w:val="center"/>
          </w:tcPr>
          <w:p w14:paraId="4A95B429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kern w:val="0"/>
                <w:sz w:val="24"/>
              </w:rPr>
              <w:t>45.83%</w:t>
            </w:r>
          </w:p>
        </w:tc>
        <w:tc>
          <w:tcPr>
            <w:tcW w:w="1236" w:type="dxa"/>
            <w:tcBorders>
              <w:right w:val="nil"/>
              <w:insideV w:val="nil"/>
            </w:tcBorders>
            <w:shd w:val="clear" w:color="auto" w:fill="D3DFEE" w:themeFill="accent1" w:themeFillTint="3F"/>
            <w:noWrap/>
            <w:vAlign w:val="center"/>
          </w:tcPr>
          <w:p w14:paraId="6C2D66B4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kern w:val="0"/>
                <w:sz w:val="24"/>
              </w:rPr>
              <w:t>0.00%</w:t>
            </w:r>
          </w:p>
        </w:tc>
        <w:tc>
          <w:tcPr>
            <w:tcW w:w="1239" w:type="dxa"/>
            <w:tcBorders>
              <w:right w:val="nil"/>
              <w:insideV w:val="nil"/>
            </w:tcBorders>
            <w:shd w:val="clear" w:color="auto" w:fill="D3DFEE" w:themeFill="accent1" w:themeFillTint="3F"/>
            <w:noWrap/>
            <w:vAlign w:val="center"/>
          </w:tcPr>
          <w:p w14:paraId="24C9F11E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sz w:val="24"/>
              </w:rPr>
              <w:t>0.00%</w:t>
            </w:r>
          </w:p>
        </w:tc>
      </w:tr>
      <w:tr w14:paraId="5F90D019">
        <w:tblPrEx>
          <w:tblBorders>
            <w:top w:val="single" w:color="4F81BD" w:themeColor="accent1" w:sz="8" w:space="0"/>
            <w:left w:val="none" w:color="auto" w:sz="0" w:space="0"/>
            <w:bottom w:val="single" w:color="4F81BD" w:themeColor="accen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  <w:jc w:val="center"/>
        </w:trPr>
        <w:tc>
          <w:tcPr>
            <w:tcW w:w="3596" w:type="dxa"/>
            <w:noWrap/>
          </w:tcPr>
          <w:p w14:paraId="47F683E4">
            <w:pPr>
              <w:widowControl/>
              <w:jc w:val="left"/>
              <w:rPr>
                <w:rFonts w:ascii="仿宋_GB2312" w:hAnsi="仿宋" w:eastAsia="仿宋_GB2312" w:cs="宋体"/>
                <w:b w:val="0"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b w:val="0"/>
                <w:bCs/>
                <w:color w:val="auto"/>
                <w:kern w:val="0"/>
                <w:sz w:val="24"/>
              </w:rPr>
              <w:t>签订供用水合同</w:t>
            </w:r>
          </w:p>
        </w:tc>
        <w:tc>
          <w:tcPr>
            <w:tcW w:w="1236" w:type="dxa"/>
            <w:noWrap/>
            <w:vAlign w:val="center"/>
          </w:tcPr>
          <w:p w14:paraId="572E8EA1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kern w:val="0"/>
                <w:sz w:val="24"/>
              </w:rPr>
              <w:t>62.50%</w:t>
            </w:r>
          </w:p>
        </w:tc>
        <w:tc>
          <w:tcPr>
            <w:tcW w:w="1236" w:type="dxa"/>
            <w:noWrap/>
            <w:vAlign w:val="center"/>
          </w:tcPr>
          <w:p w14:paraId="3022974C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kern w:val="0"/>
                <w:sz w:val="24"/>
              </w:rPr>
              <w:t>37.50%</w:t>
            </w:r>
          </w:p>
        </w:tc>
        <w:tc>
          <w:tcPr>
            <w:tcW w:w="1236" w:type="dxa"/>
            <w:noWrap/>
            <w:vAlign w:val="center"/>
          </w:tcPr>
          <w:p w14:paraId="3A130C29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kern w:val="0"/>
                <w:sz w:val="24"/>
              </w:rPr>
              <w:t>0.00%</w:t>
            </w:r>
          </w:p>
        </w:tc>
        <w:tc>
          <w:tcPr>
            <w:tcW w:w="1239" w:type="dxa"/>
            <w:noWrap/>
            <w:vAlign w:val="center"/>
          </w:tcPr>
          <w:p w14:paraId="07C65AAA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sz w:val="24"/>
              </w:rPr>
              <w:t>0.00%</w:t>
            </w:r>
          </w:p>
        </w:tc>
      </w:tr>
      <w:tr w14:paraId="6225F5E7">
        <w:tblPrEx>
          <w:tblBorders>
            <w:top w:val="single" w:color="4F81BD" w:themeColor="accent1" w:sz="8" w:space="0"/>
            <w:left w:val="none" w:color="auto" w:sz="0" w:space="0"/>
            <w:bottom w:val="single" w:color="4F81BD" w:themeColor="accen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  <w:jc w:val="center"/>
        </w:trPr>
        <w:tc>
          <w:tcPr>
            <w:tcW w:w="3596" w:type="dxa"/>
            <w:tcBorders>
              <w:left w:val="nil"/>
              <w:right w:val="nil"/>
              <w:insideV w:val="nil"/>
            </w:tcBorders>
            <w:shd w:val="clear" w:color="auto" w:fill="D3DFEE" w:themeFill="accent1" w:themeFillTint="3F"/>
            <w:noWrap/>
          </w:tcPr>
          <w:p w14:paraId="518C2C97">
            <w:pPr>
              <w:widowControl/>
              <w:jc w:val="left"/>
              <w:rPr>
                <w:rFonts w:ascii="仿宋_GB2312" w:hAnsi="仿宋" w:eastAsia="仿宋_GB2312" w:cs="宋体"/>
                <w:b w:val="0"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b w:val="0"/>
                <w:bCs/>
                <w:color w:val="auto"/>
                <w:kern w:val="0"/>
                <w:sz w:val="24"/>
              </w:rPr>
              <w:t>总体服务</w:t>
            </w:r>
          </w:p>
        </w:tc>
        <w:tc>
          <w:tcPr>
            <w:tcW w:w="1236" w:type="dxa"/>
            <w:tcBorders>
              <w:right w:val="nil"/>
              <w:insideV w:val="nil"/>
            </w:tcBorders>
            <w:shd w:val="clear" w:color="auto" w:fill="D3DFEE" w:themeFill="accent1" w:themeFillTint="3F"/>
            <w:noWrap/>
            <w:vAlign w:val="center"/>
          </w:tcPr>
          <w:p w14:paraId="09979113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kern w:val="0"/>
                <w:sz w:val="24"/>
              </w:rPr>
              <w:t>62.50%</w:t>
            </w:r>
          </w:p>
        </w:tc>
        <w:tc>
          <w:tcPr>
            <w:tcW w:w="1236" w:type="dxa"/>
            <w:tcBorders>
              <w:right w:val="nil"/>
              <w:insideV w:val="nil"/>
            </w:tcBorders>
            <w:shd w:val="clear" w:color="auto" w:fill="D3DFEE" w:themeFill="accent1" w:themeFillTint="3F"/>
            <w:noWrap/>
            <w:vAlign w:val="center"/>
          </w:tcPr>
          <w:p w14:paraId="16A52ED1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kern w:val="0"/>
                <w:sz w:val="24"/>
              </w:rPr>
              <w:t>37.50%</w:t>
            </w:r>
          </w:p>
        </w:tc>
        <w:tc>
          <w:tcPr>
            <w:tcW w:w="1236" w:type="dxa"/>
            <w:tcBorders>
              <w:right w:val="nil"/>
              <w:insideV w:val="nil"/>
            </w:tcBorders>
            <w:shd w:val="clear" w:color="auto" w:fill="D3DFEE" w:themeFill="accent1" w:themeFillTint="3F"/>
            <w:noWrap/>
            <w:vAlign w:val="center"/>
          </w:tcPr>
          <w:p w14:paraId="5A01C225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kern w:val="0"/>
                <w:sz w:val="24"/>
              </w:rPr>
              <w:t>0.00%</w:t>
            </w:r>
          </w:p>
        </w:tc>
        <w:tc>
          <w:tcPr>
            <w:tcW w:w="1239" w:type="dxa"/>
            <w:tcBorders>
              <w:right w:val="nil"/>
              <w:insideV w:val="nil"/>
            </w:tcBorders>
            <w:shd w:val="clear" w:color="auto" w:fill="D3DFEE" w:themeFill="accent1" w:themeFillTint="3F"/>
            <w:noWrap/>
            <w:vAlign w:val="center"/>
          </w:tcPr>
          <w:p w14:paraId="1081E474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sz w:val="24"/>
              </w:rPr>
              <w:t>0.00%</w:t>
            </w:r>
          </w:p>
        </w:tc>
      </w:tr>
      <w:tr w14:paraId="718B9CF0">
        <w:tblPrEx>
          <w:tblBorders>
            <w:top w:val="single" w:color="4F81BD" w:themeColor="accent1" w:sz="8" w:space="0"/>
            <w:left w:val="none" w:color="auto" w:sz="0" w:space="0"/>
            <w:bottom w:val="single" w:color="4F81BD" w:themeColor="accen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  <w:jc w:val="center"/>
        </w:trPr>
        <w:tc>
          <w:tcPr>
            <w:tcW w:w="3596" w:type="dxa"/>
            <w:noWrap/>
          </w:tcPr>
          <w:p w14:paraId="65578EDC">
            <w:pPr>
              <w:widowControl/>
              <w:jc w:val="center"/>
              <w:rPr>
                <w:rFonts w:ascii="仿宋_GB2312" w:hAnsi="仿宋" w:eastAsia="仿宋_GB2312" w:cs="宋体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b/>
                <w:bCs/>
                <w:color w:val="auto"/>
                <w:kern w:val="0"/>
                <w:sz w:val="24"/>
              </w:rPr>
              <w:t>总体满意率</w:t>
            </w:r>
          </w:p>
        </w:tc>
        <w:tc>
          <w:tcPr>
            <w:tcW w:w="4947" w:type="dxa"/>
            <w:gridSpan w:val="4"/>
            <w:noWrap/>
          </w:tcPr>
          <w:p w14:paraId="6B1075FF">
            <w:pPr>
              <w:widowControl/>
              <w:jc w:val="center"/>
              <w:rPr>
                <w:rFonts w:ascii="仿宋_GB2312" w:hAnsi="仿宋" w:eastAsia="仿宋_GB2312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b/>
                <w:bCs/>
                <w:color w:val="auto"/>
                <w:kern w:val="0"/>
                <w:sz w:val="24"/>
              </w:rPr>
              <w:t>100.00%</w:t>
            </w:r>
          </w:p>
        </w:tc>
      </w:tr>
    </w:tbl>
    <w:p w14:paraId="707AED29">
      <w:pPr>
        <w:spacing w:before="156" w:beforeLines="50"/>
        <w:rPr>
          <w:rFonts w:ascii="仿宋_GB2312" w:eastAsia="仿宋_GB2312"/>
          <w:b/>
          <w:sz w:val="32"/>
          <w:szCs w:val="32"/>
        </w:rPr>
      </w:pPr>
    </w:p>
    <w:p w14:paraId="29E6BA86">
      <w:pPr>
        <w:spacing w:before="156" w:beforeLines="50"/>
        <w:rPr>
          <w:rFonts w:ascii="仿宋_GB2312" w:eastAsia="仿宋_GB2312"/>
          <w:b/>
          <w:sz w:val="32"/>
          <w:szCs w:val="32"/>
        </w:rPr>
      </w:pPr>
    </w:p>
    <w:p w14:paraId="5AEC2102">
      <w:pPr>
        <w:spacing w:before="156" w:beforeLines="50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（10）崇明自来水</w:t>
      </w:r>
    </w:p>
    <w:tbl>
      <w:tblPr>
        <w:tblStyle w:val="18"/>
        <w:tblW w:w="8543" w:type="dxa"/>
        <w:jc w:val="center"/>
        <w:tblBorders>
          <w:top w:val="single" w:color="4F81BD" w:themeColor="accent1" w:sz="8" w:space="0"/>
          <w:left w:val="none" w:color="auto" w:sz="0" w:space="0"/>
          <w:bottom w:val="single" w:color="4F81BD" w:themeColor="accent1" w:sz="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96"/>
        <w:gridCol w:w="1236"/>
        <w:gridCol w:w="1236"/>
        <w:gridCol w:w="1236"/>
        <w:gridCol w:w="1239"/>
      </w:tblGrid>
      <w:tr w14:paraId="7D94495F">
        <w:tblPrEx>
          <w:tblBorders>
            <w:top w:val="single" w:color="4F81BD" w:themeColor="accent1" w:sz="8" w:space="0"/>
            <w:left w:val="none" w:color="auto" w:sz="0" w:space="0"/>
            <w:bottom w:val="single" w:color="4F81BD" w:themeColor="accen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596" w:type="dxa"/>
            <w:tcBorders>
              <w:top w:val="single" w:color="4F81BD" w:themeColor="accent1" w:sz="8" w:space="0"/>
              <w:left w:val="nil"/>
              <w:bottom w:val="single" w:color="4F81BD" w:themeColor="accent1" w:sz="8" w:space="0"/>
              <w:right w:val="nil"/>
              <w:insideH w:val="single" w:sz="8" w:space="0"/>
              <w:insideV w:val="nil"/>
            </w:tcBorders>
            <w:noWrap/>
          </w:tcPr>
          <w:p w14:paraId="2FBB31E1">
            <w:pPr>
              <w:widowControl/>
              <w:spacing w:before="0" w:after="0" w:line="240" w:lineRule="auto"/>
              <w:jc w:val="center"/>
              <w:rPr>
                <w:rFonts w:ascii="仿宋_GB2312" w:hAnsi="仿宋" w:eastAsia="仿宋_GB2312" w:cs="宋体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b/>
                <w:bCs/>
                <w:color w:val="auto"/>
                <w:kern w:val="0"/>
                <w:sz w:val="24"/>
              </w:rPr>
              <w:t>指  标</w:t>
            </w:r>
          </w:p>
        </w:tc>
        <w:tc>
          <w:tcPr>
            <w:tcW w:w="1236" w:type="dxa"/>
            <w:tcBorders>
              <w:top w:val="single" w:color="4F81BD" w:themeColor="accent1" w:sz="8" w:space="0"/>
              <w:bottom w:val="single" w:color="4F81BD" w:themeColor="accent1" w:sz="8" w:space="0"/>
              <w:right w:val="nil"/>
              <w:insideH w:val="single" w:sz="8" w:space="0"/>
              <w:insideV w:val="nil"/>
            </w:tcBorders>
            <w:noWrap/>
          </w:tcPr>
          <w:p w14:paraId="3B754AA6">
            <w:pPr>
              <w:widowControl/>
              <w:spacing w:before="0" w:after="0" w:line="240" w:lineRule="auto"/>
              <w:jc w:val="center"/>
              <w:rPr>
                <w:rFonts w:ascii="仿宋_GB2312" w:hAnsi="仿宋" w:eastAsia="仿宋_GB2312" w:cs="宋体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b/>
                <w:bCs/>
                <w:color w:val="auto"/>
                <w:kern w:val="0"/>
                <w:sz w:val="24"/>
              </w:rPr>
              <w:t>非常满意</w:t>
            </w:r>
          </w:p>
        </w:tc>
        <w:tc>
          <w:tcPr>
            <w:tcW w:w="1236" w:type="dxa"/>
            <w:tcBorders>
              <w:top w:val="single" w:color="4F81BD" w:themeColor="accent1" w:sz="8" w:space="0"/>
              <w:bottom w:val="single" w:color="4F81BD" w:themeColor="accent1" w:sz="8" w:space="0"/>
              <w:right w:val="nil"/>
              <w:insideH w:val="single" w:sz="8" w:space="0"/>
              <w:insideV w:val="nil"/>
            </w:tcBorders>
            <w:noWrap/>
          </w:tcPr>
          <w:p w14:paraId="1DBD87D7">
            <w:pPr>
              <w:widowControl/>
              <w:spacing w:before="0" w:after="0" w:line="240" w:lineRule="auto"/>
              <w:jc w:val="center"/>
              <w:rPr>
                <w:rFonts w:ascii="仿宋_GB2312" w:hAnsi="仿宋" w:eastAsia="仿宋_GB2312" w:cs="宋体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b/>
                <w:bCs/>
                <w:color w:val="auto"/>
                <w:kern w:val="0"/>
                <w:sz w:val="24"/>
              </w:rPr>
              <w:t>满意</w:t>
            </w:r>
          </w:p>
        </w:tc>
        <w:tc>
          <w:tcPr>
            <w:tcW w:w="1236" w:type="dxa"/>
            <w:tcBorders>
              <w:top w:val="single" w:color="4F81BD" w:themeColor="accent1" w:sz="8" w:space="0"/>
              <w:bottom w:val="single" w:color="4F81BD" w:themeColor="accent1" w:sz="8" w:space="0"/>
              <w:right w:val="nil"/>
              <w:insideH w:val="single" w:sz="8" w:space="0"/>
              <w:insideV w:val="nil"/>
            </w:tcBorders>
            <w:noWrap/>
          </w:tcPr>
          <w:p w14:paraId="0B110C2A">
            <w:pPr>
              <w:widowControl/>
              <w:spacing w:before="0" w:after="0" w:line="240" w:lineRule="auto"/>
              <w:jc w:val="center"/>
              <w:rPr>
                <w:rFonts w:ascii="仿宋_GB2312" w:hAnsi="仿宋" w:eastAsia="仿宋_GB2312" w:cs="宋体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b/>
                <w:bCs/>
                <w:color w:val="auto"/>
                <w:kern w:val="0"/>
                <w:sz w:val="24"/>
              </w:rPr>
              <w:t>基本满意</w:t>
            </w:r>
          </w:p>
        </w:tc>
        <w:tc>
          <w:tcPr>
            <w:tcW w:w="1239" w:type="dxa"/>
            <w:tcBorders>
              <w:top w:val="single" w:color="4F81BD" w:themeColor="accent1" w:sz="8" w:space="0"/>
              <w:bottom w:val="single" w:color="4F81BD" w:themeColor="accent1" w:sz="8" w:space="0"/>
              <w:right w:val="nil"/>
              <w:insideH w:val="single" w:sz="8" w:space="0"/>
              <w:insideV w:val="nil"/>
            </w:tcBorders>
            <w:noWrap/>
          </w:tcPr>
          <w:p w14:paraId="280C5E8F">
            <w:pPr>
              <w:widowControl/>
              <w:spacing w:before="0" w:after="0" w:line="240" w:lineRule="auto"/>
              <w:jc w:val="center"/>
              <w:rPr>
                <w:rFonts w:ascii="仿宋_GB2312" w:hAnsi="仿宋" w:eastAsia="仿宋_GB2312" w:cs="宋体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b/>
                <w:bCs/>
                <w:color w:val="auto"/>
                <w:kern w:val="0"/>
                <w:sz w:val="24"/>
              </w:rPr>
              <w:t>不满意</w:t>
            </w:r>
          </w:p>
        </w:tc>
      </w:tr>
      <w:tr w14:paraId="6115F5C6">
        <w:tblPrEx>
          <w:tblBorders>
            <w:top w:val="single" w:color="4F81BD" w:themeColor="accent1" w:sz="8" w:space="0"/>
            <w:left w:val="none" w:color="auto" w:sz="0" w:space="0"/>
            <w:bottom w:val="single" w:color="4F81BD" w:themeColor="accen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596" w:type="dxa"/>
            <w:tcBorders>
              <w:left w:val="nil"/>
              <w:right w:val="nil"/>
              <w:insideV w:val="nil"/>
            </w:tcBorders>
            <w:shd w:val="clear" w:color="auto" w:fill="D3DFEE" w:themeFill="accent1" w:themeFillTint="3F"/>
            <w:noWrap/>
          </w:tcPr>
          <w:p w14:paraId="3CCFAEE8">
            <w:pPr>
              <w:widowControl/>
              <w:jc w:val="left"/>
              <w:rPr>
                <w:rFonts w:ascii="仿宋_GB2312" w:hAnsi="仿宋" w:eastAsia="仿宋_GB2312" w:cs="宋体"/>
                <w:b w:val="0"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b w:val="0"/>
                <w:bCs/>
                <w:color w:val="auto"/>
                <w:kern w:val="0"/>
                <w:sz w:val="24"/>
              </w:rPr>
              <w:t>前期咨询和申请受理</w:t>
            </w:r>
          </w:p>
        </w:tc>
        <w:tc>
          <w:tcPr>
            <w:tcW w:w="1236" w:type="dxa"/>
            <w:tcBorders>
              <w:right w:val="nil"/>
              <w:insideV w:val="nil"/>
            </w:tcBorders>
            <w:shd w:val="clear" w:color="auto" w:fill="D3DFEE" w:themeFill="accent1" w:themeFillTint="3F"/>
            <w:noWrap/>
            <w:vAlign w:val="center"/>
          </w:tcPr>
          <w:p w14:paraId="0675DB9E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kern w:val="0"/>
                <w:sz w:val="24"/>
              </w:rPr>
              <w:t>0.00%</w:t>
            </w:r>
          </w:p>
        </w:tc>
        <w:tc>
          <w:tcPr>
            <w:tcW w:w="1236" w:type="dxa"/>
            <w:tcBorders>
              <w:right w:val="nil"/>
              <w:insideV w:val="nil"/>
            </w:tcBorders>
            <w:shd w:val="clear" w:color="auto" w:fill="D3DFEE" w:themeFill="accent1" w:themeFillTint="3F"/>
            <w:noWrap/>
            <w:vAlign w:val="center"/>
          </w:tcPr>
          <w:p w14:paraId="7276EE00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kern w:val="0"/>
                <w:sz w:val="24"/>
              </w:rPr>
              <w:t>100.00%</w:t>
            </w:r>
          </w:p>
        </w:tc>
        <w:tc>
          <w:tcPr>
            <w:tcW w:w="1236" w:type="dxa"/>
            <w:tcBorders>
              <w:right w:val="nil"/>
              <w:insideV w:val="nil"/>
            </w:tcBorders>
            <w:shd w:val="clear" w:color="auto" w:fill="D3DFEE" w:themeFill="accent1" w:themeFillTint="3F"/>
            <w:noWrap/>
            <w:vAlign w:val="center"/>
          </w:tcPr>
          <w:p w14:paraId="57955947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kern w:val="0"/>
                <w:sz w:val="24"/>
              </w:rPr>
              <w:t>0.00%</w:t>
            </w:r>
          </w:p>
        </w:tc>
        <w:tc>
          <w:tcPr>
            <w:tcW w:w="1239" w:type="dxa"/>
            <w:tcBorders>
              <w:right w:val="nil"/>
              <w:insideV w:val="nil"/>
            </w:tcBorders>
            <w:shd w:val="clear" w:color="auto" w:fill="D3DFEE" w:themeFill="accent1" w:themeFillTint="3F"/>
            <w:noWrap/>
            <w:vAlign w:val="center"/>
          </w:tcPr>
          <w:p w14:paraId="178EEC8F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sz w:val="24"/>
              </w:rPr>
              <w:t>0.00%</w:t>
            </w:r>
          </w:p>
        </w:tc>
      </w:tr>
      <w:tr w14:paraId="11D72A17">
        <w:tblPrEx>
          <w:tblBorders>
            <w:top w:val="single" w:color="4F81BD" w:themeColor="accent1" w:sz="8" w:space="0"/>
            <w:left w:val="none" w:color="auto" w:sz="0" w:space="0"/>
            <w:bottom w:val="single" w:color="4F81BD" w:themeColor="accen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596" w:type="dxa"/>
            <w:noWrap/>
          </w:tcPr>
          <w:p w14:paraId="2282A63E">
            <w:pPr>
              <w:widowControl/>
              <w:jc w:val="left"/>
              <w:rPr>
                <w:rFonts w:ascii="仿宋_GB2312" w:hAnsi="仿宋" w:eastAsia="仿宋_GB2312" w:cs="宋体"/>
                <w:b w:val="0"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b w:val="0"/>
                <w:bCs/>
                <w:color w:val="auto"/>
                <w:kern w:val="0"/>
                <w:sz w:val="24"/>
              </w:rPr>
              <w:t>现场查勘和编制/复核供水方案</w:t>
            </w:r>
          </w:p>
        </w:tc>
        <w:tc>
          <w:tcPr>
            <w:tcW w:w="1236" w:type="dxa"/>
            <w:noWrap/>
            <w:vAlign w:val="center"/>
          </w:tcPr>
          <w:p w14:paraId="09304EED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kern w:val="0"/>
                <w:sz w:val="24"/>
              </w:rPr>
              <w:t>0.00%</w:t>
            </w:r>
          </w:p>
        </w:tc>
        <w:tc>
          <w:tcPr>
            <w:tcW w:w="1236" w:type="dxa"/>
            <w:noWrap/>
            <w:vAlign w:val="center"/>
          </w:tcPr>
          <w:p w14:paraId="1D5088A1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kern w:val="0"/>
                <w:sz w:val="24"/>
              </w:rPr>
              <w:t>100.00%</w:t>
            </w:r>
          </w:p>
        </w:tc>
        <w:tc>
          <w:tcPr>
            <w:tcW w:w="1236" w:type="dxa"/>
            <w:noWrap/>
            <w:vAlign w:val="center"/>
          </w:tcPr>
          <w:p w14:paraId="35965A9C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kern w:val="0"/>
                <w:sz w:val="24"/>
              </w:rPr>
              <w:t>0.00%</w:t>
            </w:r>
          </w:p>
        </w:tc>
        <w:tc>
          <w:tcPr>
            <w:tcW w:w="1239" w:type="dxa"/>
            <w:noWrap/>
            <w:vAlign w:val="center"/>
          </w:tcPr>
          <w:p w14:paraId="641EEF82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sz w:val="24"/>
              </w:rPr>
              <w:t>0.00%</w:t>
            </w:r>
          </w:p>
        </w:tc>
      </w:tr>
      <w:tr w14:paraId="12690614">
        <w:tblPrEx>
          <w:tblBorders>
            <w:top w:val="single" w:color="4F81BD" w:themeColor="accent1" w:sz="8" w:space="0"/>
            <w:left w:val="none" w:color="auto" w:sz="0" w:space="0"/>
            <w:bottom w:val="single" w:color="4F81BD" w:themeColor="accen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596" w:type="dxa"/>
            <w:tcBorders>
              <w:left w:val="nil"/>
              <w:right w:val="nil"/>
              <w:insideV w:val="nil"/>
            </w:tcBorders>
            <w:shd w:val="clear" w:color="auto" w:fill="D3DFEE" w:themeFill="accent1" w:themeFillTint="3F"/>
            <w:noWrap/>
          </w:tcPr>
          <w:p w14:paraId="0676825C">
            <w:pPr>
              <w:widowControl/>
              <w:jc w:val="left"/>
              <w:rPr>
                <w:rFonts w:ascii="仿宋_GB2312" w:hAnsi="仿宋" w:eastAsia="仿宋_GB2312" w:cs="宋体"/>
                <w:b w:val="0"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b w:val="0"/>
                <w:bCs/>
                <w:color w:val="auto"/>
                <w:kern w:val="0"/>
                <w:sz w:val="24"/>
              </w:rPr>
              <w:t>工程质量验收</w:t>
            </w:r>
          </w:p>
        </w:tc>
        <w:tc>
          <w:tcPr>
            <w:tcW w:w="1236" w:type="dxa"/>
            <w:tcBorders>
              <w:right w:val="nil"/>
              <w:insideV w:val="nil"/>
            </w:tcBorders>
            <w:shd w:val="clear" w:color="auto" w:fill="D3DFEE" w:themeFill="accent1" w:themeFillTint="3F"/>
            <w:noWrap/>
            <w:vAlign w:val="center"/>
          </w:tcPr>
          <w:p w14:paraId="0B73BA46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kern w:val="0"/>
                <w:sz w:val="24"/>
              </w:rPr>
              <w:t>0.00%</w:t>
            </w:r>
          </w:p>
        </w:tc>
        <w:tc>
          <w:tcPr>
            <w:tcW w:w="1236" w:type="dxa"/>
            <w:tcBorders>
              <w:right w:val="nil"/>
              <w:insideV w:val="nil"/>
            </w:tcBorders>
            <w:shd w:val="clear" w:color="auto" w:fill="D3DFEE" w:themeFill="accent1" w:themeFillTint="3F"/>
            <w:noWrap/>
            <w:vAlign w:val="center"/>
          </w:tcPr>
          <w:p w14:paraId="71BDC167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kern w:val="0"/>
                <w:sz w:val="24"/>
              </w:rPr>
              <w:t>100.00%</w:t>
            </w:r>
          </w:p>
        </w:tc>
        <w:tc>
          <w:tcPr>
            <w:tcW w:w="1236" w:type="dxa"/>
            <w:tcBorders>
              <w:right w:val="nil"/>
              <w:insideV w:val="nil"/>
            </w:tcBorders>
            <w:shd w:val="clear" w:color="auto" w:fill="D3DFEE" w:themeFill="accent1" w:themeFillTint="3F"/>
            <w:noWrap/>
            <w:vAlign w:val="center"/>
          </w:tcPr>
          <w:p w14:paraId="17B1928B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kern w:val="0"/>
                <w:sz w:val="24"/>
              </w:rPr>
              <w:t>0.00%</w:t>
            </w:r>
          </w:p>
        </w:tc>
        <w:tc>
          <w:tcPr>
            <w:tcW w:w="1239" w:type="dxa"/>
            <w:tcBorders>
              <w:right w:val="nil"/>
              <w:insideV w:val="nil"/>
            </w:tcBorders>
            <w:shd w:val="clear" w:color="auto" w:fill="D3DFEE" w:themeFill="accent1" w:themeFillTint="3F"/>
            <w:noWrap/>
            <w:vAlign w:val="center"/>
          </w:tcPr>
          <w:p w14:paraId="124F9738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sz w:val="24"/>
              </w:rPr>
              <w:t>0.00%</w:t>
            </w:r>
          </w:p>
        </w:tc>
      </w:tr>
      <w:tr w14:paraId="4C4C4686">
        <w:tblPrEx>
          <w:tblBorders>
            <w:top w:val="single" w:color="4F81BD" w:themeColor="accent1" w:sz="8" w:space="0"/>
            <w:left w:val="none" w:color="auto" w:sz="0" w:space="0"/>
            <w:bottom w:val="single" w:color="4F81BD" w:themeColor="accen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596" w:type="dxa"/>
            <w:noWrap/>
          </w:tcPr>
          <w:p w14:paraId="621AF2B9">
            <w:pPr>
              <w:widowControl/>
              <w:jc w:val="left"/>
              <w:rPr>
                <w:rFonts w:ascii="仿宋_GB2312" w:hAnsi="仿宋" w:eastAsia="仿宋_GB2312" w:cs="宋体"/>
                <w:b w:val="0"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b w:val="0"/>
                <w:bCs/>
                <w:color w:val="auto"/>
                <w:kern w:val="0"/>
                <w:sz w:val="24"/>
              </w:rPr>
              <w:t>签订供用水合同</w:t>
            </w:r>
          </w:p>
        </w:tc>
        <w:tc>
          <w:tcPr>
            <w:tcW w:w="1236" w:type="dxa"/>
            <w:noWrap/>
            <w:vAlign w:val="center"/>
          </w:tcPr>
          <w:p w14:paraId="3EDE8BA8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kern w:val="0"/>
                <w:sz w:val="24"/>
              </w:rPr>
              <w:t>0.00%</w:t>
            </w:r>
          </w:p>
        </w:tc>
        <w:tc>
          <w:tcPr>
            <w:tcW w:w="1236" w:type="dxa"/>
            <w:noWrap/>
            <w:vAlign w:val="center"/>
          </w:tcPr>
          <w:p w14:paraId="7AA08DCF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kern w:val="0"/>
                <w:sz w:val="24"/>
              </w:rPr>
              <w:t>100.00%</w:t>
            </w:r>
          </w:p>
        </w:tc>
        <w:tc>
          <w:tcPr>
            <w:tcW w:w="1236" w:type="dxa"/>
            <w:noWrap/>
            <w:vAlign w:val="center"/>
          </w:tcPr>
          <w:p w14:paraId="7C6D3FF9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kern w:val="0"/>
                <w:sz w:val="24"/>
              </w:rPr>
              <w:t>0.00%</w:t>
            </w:r>
          </w:p>
        </w:tc>
        <w:tc>
          <w:tcPr>
            <w:tcW w:w="1239" w:type="dxa"/>
            <w:noWrap/>
            <w:vAlign w:val="center"/>
          </w:tcPr>
          <w:p w14:paraId="063C2461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sz w:val="24"/>
              </w:rPr>
              <w:t>0.00%</w:t>
            </w:r>
          </w:p>
        </w:tc>
      </w:tr>
      <w:tr w14:paraId="00E8851D">
        <w:tblPrEx>
          <w:tblBorders>
            <w:top w:val="single" w:color="4F81BD" w:themeColor="accent1" w:sz="8" w:space="0"/>
            <w:left w:val="none" w:color="auto" w:sz="0" w:space="0"/>
            <w:bottom w:val="single" w:color="4F81BD" w:themeColor="accen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596" w:type="dxa"/>
            <w:tcBorders>
              <w:left w:val="nil"/>
              <w:right w:val="nil"/>
              <w:insideV w:val="nil"/>
            </w:tcBorders>
            <w:shd w:val="clear" w:color="auto" w:fill="D3DFEE" w:themeFill="accent1" w:themeFillTint="3F"/>
            <w:noWrap/>
          </w:tcPr>
          <w:p w14:paraId="253A5FBE">
            <w:pPr>
              <w:widowControl/>
              <w:jc w:val="left"/>
              <w:rPr>
                <w:rFonts w:ascii="仿宋_GB2312" w:hAnsi="仿宋" w:eastAsia="仿宋_GB2312" w:cs="宋体"/>
                <w:b w:val="0"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b w:val="0"/>
                <w:bCs/>
                <w:color w:val="auto"/>
                <w:kern w:val="0"/>
                <w:sz w:val="24"/>
              </w:rPr>
              <w:t>总体服务</w:t>
            </w:r>
          </w:p>
        </w:tc>
        <w:tc>
          <w:tcPr>
            <w:tcW w:w="1236" w:type="dxa"/>
            <w:tcBorders>
              <w:right w:val="nil"/>
              <w:insideV w:val="nil"/>
            </w:tcBorders>
            <w:shd w:val="clear" w:color="auto" w:fill="D3DFEE" w:themeFill="accent1" w:themeFillTint="3F"/>
            <w:noWrap/>
            <w:vAlign w:val="center"/>
          </w:tcPr>
          <w:p w14:paraId="4B77C66D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kern w:val="0"/>
                <w:sz w:val="24"/>
              </w:rPr>
              <w:t>0.00%</w:t>
            </w:r>
          </w:p>
        </w:tc>
        <w:tc>
          <w:tcPr>
            <w:tcW w:w="1236" w:type="dxa"/>
            <w:tcBorders>
              <w:right w:val="nil"/>
              <w:insideV w:val="nil"/>
            </w:tcBorders>
            <w:shd w:val="clear" w:color="auto" w:fill="D3DFEE" w:themeFill="accent1" w:themeFillTint="3F"/>
            <w:noWrap/>
            <w:vAlign w:val="center"/>
          </w:tcPr>
          <w:p w14:paraId="4D042B99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kern w:val="0"/>
                <w:sz w:val="24"/>
              </w:rPr>
              <w:t>100.00%</w:t>
            </w:r>
          </w:p>
        </w:tc>
        <w:tc>
          <w:tcPr>
            <w:tcW w:w="1236" w:type="dxa"/>
            <w:tcBorders>
              <w:right w:val="nil"/>
              <w:insideV w:val="nil"/>
            </w:tcBorders>
            <w:shd w:val="clear" w:color="auto" w:fill="D3DFEE" w:themeFill="accent1" w:themeFillTint="3F"/>
            <w:noWrap/>
            <w:vAlign w:val="center"/>
          </w:tcPr>
          <w:p w14:paraId="34096AEB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kern w:val="0"/>
                <w:sz w:val="24"/>
              </w:rPr>
              <w:t>0.00%</w:t>
            </w:r>
          </w:p>
        </w:tc>
        <w:tc>
          <w:tcPr>
            <w:tcW w:w="1239" w:type="dxa"/>
            <w:tcBorders>
              <w:right w:val="nil"/>
              <w:insideV w:val="nil"/>
            </w:tcBorders>
            <w:shd w:val="clear" w:color="auto" w:fill="D3DFEE" w:themeFill="accent1" w:themeFillTint="3F"/>
            <w:noWrap/>
            <w:vAlign w:val="center"/>
          </w:tcPr>
          <w:p w14:paraId="68578725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sz w:val="24"/>
              </w:rPr>
              <w:t>0.00%</w:t>
            </w:r>
          </w:p>
        </w:tc>
      </w:tr>
      <w:tr w14:paraId="72A6D0D6">
        <w:tblPrEx>
          <w:tblBorders>
            <w:top w:val="single" w:color="4F81BD" w:themeColor="accent1" w:sz="8" w:space="0"/>
            <w:left w:val="none" w:color="auto" w:sz="0" w:space="0"/>
            <w:bottom w:val="single" w:color="4F81BD" w:themeColor="accen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596" w:type="dxa"/>
            <w:noWrap/>
          </w:tcPr>
          <w:p w14:paraId="734767DF">
            <w:pPr>
              <w:widowControl/>
              <w:jc w:val="center"/>
              <w:rPr>
                <w:rFonts w:ascii="仿宋_GB2312" w:hAnsi="仿宋" w:eastAsia="仿宋_GB2312" w:cs="宋体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b/>
                <w:bCs/>
                <w:color w:val="auto"/>
                <w:kern w:val="0"/>
                <w:sz w:val="24"/>
              </w:rPr>
              <w:t>总体满意率</w:t>
            </w:r>
          </w:p>
        </w:tc>
        <w:tc>
          <w:tcPr>
            <w:tcW w:w="4947" w:type="dxa"/>
            <w:gridSpan w:val="4"/>
            <w:noWrap/>
          </w:tcPr>
          <w:p w14:paraId="1568DB03">
            <w:pPr>
              <w:widowControl/>
              <w:jc w:val="center"/>
              <w:rPr>
                <w:rFonts w:ascii="仿宋_GB2312" w:hAnsi="仿宋" w:eastAsia="仿宋_GB2312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b/>
                <w:bCs/>
                <w:color w:val="auto"/>
                <w:kern w:val="0"/>
                <w:sz w:val="24"/>
              </w:rPr>
              <w:t>100.00%</w:t>
            </w:r>
          </w:p>
        </w:tc>
      </w:tr>
    </w:tbl>
    <w:p w14:paraId="0B742356">
      <w:pPr>
        <w:spacing w:before="156" w:beforeLines="50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（1</w:t>
      </w:r>
      <w:r>
        <w:rPr>
          <w:rFonts w:ascii="仿宋_GB2312" w:eastAsia="仿宋_GB2312"/>
          <w:b/>
          <w:sz w:val="32"/>
          <w:szCs w:val="32"/>
        </w:rPr>
        <w:t>1</w:t>
      </w:r>
      <w:r>
        <w:rPr>
          <w:rFonts w:hint="eastAsia" w:ascii="仿宋_GB2312" w:eastAsia="仿宋_GB2312"/>
          <w:b/>
          <w:sz w:val="32"/>
          <w:szCs w:val="32"/>
        </w:rPr>
        <w:t>）浦东威立雅</w:t>
      </w:r>
    </w:p>
    <w:tbl>
      <w:tblPr>
        <w:tblStyle w:val="18"/>
        <w:tblW w:w="8526" w:type="dxa"/>
        <w:jc w:val="center"/>
        <w:tblBorders>
          <w:top w:val="single" w:color="4F81BD" w:themeColor="accent1" w:sz="8" w:space="0"/>
          <w:left w:val="none" w:color="auto" w:sz="0" w:space="0"/>
          <w:bottom w:val="single" w:color="4F81BD" w:themeColor="accent1" w:sz="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89"/>
        <w:gridCol w:w="1234"/>
        <w:gridCol w:w="1234"/>
        <w:gridCol w:w="1234"/>
        <w:gridCol w:w="1235"/>
      </w:tblGrid>
      <w:tr w14:paraId="3B7BA03D">
        <w:tblPrEx>
          <w:tblBorders>
            <w:top w:val="single" w:color="4F81BD" w:themeColor="accent1" w:sz="8" w:space="0"/>
            <w:left w:val="none" w:color="auto" w:sz="0" w:space="0"/>
            <w:bottom w:val="single" w:color="4F81BD" w:themeColor="accen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  <w:jc w:val="center"/>
        </w:trPr>
        <w:tc>
          <w:tcPr>
            <w:tcW w:w="3589" w:type="dxa"/>
            <w:tcBorders>
              <w:top w:val="single" w:color="4F81BD" w:themeColor="accent1" w:sz="8" w:space="0"/>
              <w:left w:val="nil"/>
              <w:bottom w:val="single" w:color="4F81BD" w:themeColor="accent1" w:sz="8" w:space="0"/>
              <w:right w:val="nil"/>
              <w:insideH w:val="single" w:sz="8" w:space="0"/>
              <w:insideV w:val="nil"/>
            </w:tcBorders>
            <w:noWrap/>
          </w:tcPr>
          <w:p w14:paraId="017C5D3B">
            <w:pPr>
              <w:widowControl/>
              <w:spacing w:before="0" w:after="0" w:line="240" w:lineRule="auto"/>
              <w:jc w:val="center"/>
              <w:rPr>
                <w:rFonts w:ascii="仿宋_GB2312" w:hAnsi="仿宋" w:eastAsia="仿宋_GB2312" w:cs="宋体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b/>
                <w:bCs/>
                <w:color w:val="auto"/>
                <w:kern w:val="0"/>
                <w:sz w:val="24"/>
              </w:rPr>
              <w:t>指  标</w:t>
            </w:r>
          </w:p>
        </w:tc>
        <w:tc>
          <w:tcPr>
            <w:tcW w:w="1234" w:type="dxa"/>
            <w:tcBorders>
              <w:top w:val="single" w:color="4F81BD" w:themeColor="accent1" w:sz="8" w:space="0"/>
              <w:bottom w:val="single" w:color="4F81BD" w:themeColor="accent1" w:sz="8" w:space="0"/>
              <w:right w:val="nil"/>
              <w:insideH w:val="single" w:sz="8" w:space="0"/>
              <w:insideV w:val="nil"/>
            </w:tcBorders>
            <w:noWrap/>
          </w:tcPr>
          <w:p w14:paraId="1B1162BF">
            <w:pPr>
              <w:widowControl/>
              <w:spacing w:before="0" w:after="0" w:line="240" w:lineRule="auto"/>
              <w:jc w:val="center"/>
              <w:rPr>
                <w:rFonts w:ascii="仿宋_GB2312" w:hAnsi="仿宋" w:eastAsia="仿宋_GB2312" w:cs="宋体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b/>
                <w:bCs/>
                <w:color w:val="auto"/>
                <w:kern w:val="0"/>
                <w:sz w:val="24"/>
              </w:rPr>
              <w:t>非常满意</w:t>
            </w:r>
          </w:p>
        </w:tc>
        <w:tc>
          <w:tcPr>
            <w:tcW w:w="1234" w:type="dxa"/>
            <w:tcBorders>
              <w:top w:val="single" w:color="4F81BD" w:themeColor="accent1" w:sz="8" w:space="0"/>
              <w:bottom w:val="single" w:color="4F81BD" w:themeColor="accent1" w:sz="8" w:space="0"/>
              <w:right w:val="nil"/>
              <w:insideH w:val="single" w:sz="8" w:space="0"/>
              <w:insideV w:val="nil"/>
            </w:tcBorders>
            <w:noWrap/>
          </w:tcPr>
          <w:p w14:paraId="050609B7">
            <w:pPr>
              <w:widowControl/>
              <w:spacing w:before="0" w:after="0" w:line="240" w:lineRule="auto"/>
              <w:jc w:val="center"/>
              <w:rPr>
                <w:rFonts w:ascii="仿宋_GB2312" w:hAnsi="仿宋" w:eastAsia="仿宋_GB2312" w:cs="宋体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b/>
                <w:bCs/>
                <w:color w:val="auto"/>
                <w:kern w:val="0"/>
                <w:sz w:val="24"/>
              </w:rPr>
              <w:t>满意</w:t>
            </w:r>
          </w:p>
        </w:tc>
        <w:tc>
          <w:tcPr>
            <w:tcW w:w="1234" w:type="dxa"/>
            <w:tcBorders>
              <w:top w:val="single" w:color="4F81BD" w:themeColor="accent1" w:sz="8" w:space="0"/>
              <w:bottom w:val="single" w:color="4F81BD" w:themeColor="accent1" w:sz="8" w:space="0"/>
              <w:right w:val="nil"/>
              <w:insideH w:val="single" w:sz="8" w:space="0"/>
              <w:insideV w:val="nil"/>
            </w:tcBorders>
            <w:noWrap/>
          </w:tcPr>
          <w:p w14:paraId="53AF65AB">
            <w:pPr>
              <w:widowControl/>
              <w:spacing w:before="0" w:after="0" w:line="240" w:lineRule="auto"/>
              <w:jc w:val="center"/>
              <w:rPr>
                <w:rFonts w:ascii="仿宋_GB2312" w:hAnsi="仿宋" w:eastAsia="仿宋_GB2312" w:cs="宋体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b/>
                <w:bCs/>
                <w:color w:val="auto"/>
                <w:kern w:val="0"/>
                <w:sz w:val="24"/>
              </w:rPr>
              <w:t>基本满意</w:t>
            </w:r>
          </w:p>
        </w:tc>
        <w:tc>
          <w:tcPr>
            <w:tcW w:w="1235" w:type="dxa"/>
            <w:tcBorders>
              <w:top w:val="single" w:color="4F81BD" w:themeColor="accent1" w:sz="8" w:space="0"/>
              <w:bottom w:val="single" w:color="4F81BD" w:themeColor="accent1" w:sz="8" w:space="0"/>
              <w:right w:val="nil"/>
              <w:insideH w:val="single" w:sz="8" w:space="0"/>
              <w:insideV w:val="nil"/>
            </w:tcBorders>
            <w:noWrap/>
          </w:tcPr>
          <w:p w14:paraId="0ADC2B73">
            <w:pPr>
              <w:widowControl/>
              <w:spacing w:before="0" w:after="0" w:line="240" w:lineRule="auto"/>
              <w:jc w:val="center"/>
              <w:rPr>
                <w:rFonts w:ascii="仿宋_GB2312" w:hAnsi="仿宋" w:eastAsia="仿宋_GB2312" w:cs="宋体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b/>
                <w:bCs/>
                <w:color w:val="auto"/>
                <w:kern w:val="0"/>
                <w:sz w:val="24"/>
              </w:rPr>
              <w:t>不满意</w:t>
            </w:r>
          </w:p>
        </w:tc>
      </w:tr>
      <w:tr w14:paraId="75B1E1A9">
        <w:tblPrEx>
          <w:tblBorders>
            <w:top w:val="single" w:color="4F81BD" w:themeColor="accent1" w:sz="8" w:space="0"/>
            <w:left w:val="none" w:color="auto" w:sz="0" w:space="0"/>
            <w:bottom w:val="single" w:color="4F81BD" w:themeColor="accen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  <w:jc w:val="center"/>
        </w:trPr>
        <w:tc>
          <w:tcPr>
            <w:tcW w:w="3589" w:type="dxa"/>
            <w:tcBorders>
              <w:left w:val="nil"/>
              <w:right w:val="nil"/>
              <w:insideV w:val="nil"/>
            </w:tcBorders>
            <w:shd w:val="clear" w:color="auto" w:fill="D3DFEE" w:themeFill="accent1" w:themeFillTint="3F"/>
            <w:noWrap/>
          </w:tcPr>
          <w:p w14:paraId="10BF0640">
            <w:pPr>
              <w:widowControl/>
              <w:jc w:val="left"/>
              <w:rPr>
                <w:rFonts w:ascii="仿宋_GB2312" w:hAnsi="仿宋" w:eastAsia="仿宋_GB2312" w:cs="宋体"/>
                <w:b w:val="0"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b w:val="0"/>
                <w:bCs/>
                <w:color w:val="auto"/>
                <w:kern w:val="0"/>
                <w:sz w:val="24"/>
              </w:rPr>
              <w:t>前期咨询和申请受理</w:t>
            </w:r>
          </w:p>
        </w:tc>
        <w:tc>
          <w:tcPr>
            <w:tcW w:w="1234" w:type="dxa"/>
            <w:tcBorders>
              <w:right w:val="nil"/>
              <w:insideV w:val="nil"/>
            </w:tcBorders>
            <w:shd w:val="clear" w:color="auto" w:fill="D3DFEE" w:themeFill="accent1" w:themeFillTint="3F"/>
            <w:noWrap/>
            <w:vAlign w:val="center"/>
          </w:tcPr>
          <w:p w14:paraId="0B5F80AC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kern w:val="0"/>
                <w:sz w:val="24"/>
              </w:rPr>
              <w:t>51.11%</w:t>
            </w:r>
          </w:p>
        </w:tc>
        <w:tc>
          <w:tcPr>
            <w:tcW w:w="1234" w:type="dxa"/>
            <w:tcBorders>
              <w:right w:val="nil"/>
              <w:insideV w:val="nil"/>
            </w:tcBorders>
            <w:shd w:val="clear" w:color="auto" w:fill="D3DFEE" w:themeFill="accent1" w:themeFillTint="3F"/>
            <w:noWrap/>
            <w:vAlign w:val="center"/>
          </w:tcPr>
          <w:p w14:paraId="69D7FB88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kern w:val="0"/>
                <w:sz w:val="24"/>
              </w:rPr>
              <w:t>48.89%</w:t>
            </w:r>
          </w:p>
        </w:tc>
        <w:tc>
          <w:tcPr>
            <w:tcW w:w="1234" w:type="dxa"/>
            <w:tcBorders>
              <w:right w:val="nil"/>
              <w:insideV w:val="nil"/>
            </w:tcBorders>
            <w:shd w:val="clear" w:color="auto" w:fill="D3DFEE" w:themeFill="accent1" w:themeFillTint="3F"/>
            <w:noWrap/>
            <w:vAlign w:val="center"/>
          </w:tcPr>
          <w:p w14:paraId="1DD98153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kern w:val="0"/>
                <w:sz w:val="24"/>
              </w:rPr>
              <w:t>0.00%</w:t>
            </w:r>
          </w:p>
        </w:tc>
        <w:tc>
          <w:tcPr>
            <w:tcW w:w="1235" w:type="dxa"/>
            <w:tcBorders>
              <w:right w:val="nil"/>
              <w:insideV w:val="nil"/>
            </w:tcBorders>
            <w:shd w:val="clear" w:color="auto" w:fill="D3DFEE" w:themeFill="accent1" w:themeFillTint="3F"/>
            <w:noWrap/>
            <w:vAlign w:val="center"/>
          </w:tcPr>
          <w:p w14:paraId="3C431CBA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sz w:val="24"/>
              </w:rPr>
              <w:t>0.00%</w:t>
            </w:r>
          </w:p>
        </w:tc>
      </w:tr>
      <w:tr w14:paraId="061A17A7">
        <w:tblPrEx>
          <w:tblBorders>
            <w:top w:val="single" w:color="4F81BD" w:themeColor="accent1" w:sz="8" w:space="0"/>
            <w:left w:val="none" w:color="auto" w:sz="0" w:space="0"/>
            <w:bottom w:val="single" w:color="4F81BD" w:themeColor="accen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  <w:jc w:val="center"/>
        </w:trPr>
        <w:tc>
          <w:tcPr>
            <w:tcW w:w="3589" w:type="dxa"/>
            <w:noWrap/>
          </w:tcPr>
          <w:p w14:paraId="442B0548">
            <w:pPr>
              <w:widowControl/>
              <w:jc w:val="left"/>
              <w:rPr>
                <w:rFonts w:ascii="仿宋_GB2312" w:hAnsi="仿宋" w:eastAsia="仿宋_GB2312" w:cs="宋体"/>
                <w:b w:val="0"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b w:val="0"/>
                <w:bCs/>
                <w:color w:val="auto"/>
                <w:kern w:val="0"/>
                <w:sz w:val="24"/>
              </w:rPr>
              <w:t>现场查勘和编制/复核供水方案</w:t>
            </w:r>
          </w:p>
        </w:tc>
        <w:tc>
          <w:tcPr>
            <w:tcW w:w="1234" w:type="dxa"/>
            <w:noWrap/>
            <w:vAlign w:val="center"/>
          </w:tcPr>
          <w:p w14:paraId="417682C8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kern w:val="0"/>
                <w:sz w:val="24"/>
              </w:rPr>
              <w:t>50.83%</w:t>
            </w:r>
          </w:p>
        </w:tc>
        <w:tc>
          <w:tcPr>
            <w:tcW w:w="1234" w:type="dxa"/>
            <w:noWrap/>
            <w:vAlign w:val="center"/>
          </w:tcPr>
          <w:p w14:paraId="7A841482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kern w:val="0"/>
                <w:sz w:val="24"/>
              </w:rPr>
              <w:t>49.17%</w:t>
            </w:r>
          </w:p>
        </w:tc>
        <w:tc>
          <w:tcPr>
            <w:tcW w:w="1234" w:type="dxa"/>
            <w:noWrap/>
            <w:vAlign w:val="center"/>
          </w:tcPr>
          <w:p w14:paraId="3813C7F9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kern w:val="0"/>
                <w:sz w:val="24"/>
              </w:rPr>
              <w:t>0.00%</w:t>
            </w:r>
          </w:p>
        </w:tc>
        <w:tc>
          <w:tcPr>
            <w:tcW w:w="1235" w:type="dxa"/>
            <w:noWrap/>
            <w:vAlign w:val="center"/>
          </w:tcPr>
          <w:p w14:paraId="69EB61F6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sz w:val="24"/>
              </w:rPr>
              <w:t>0.00%</w:t>
            </w:r>
          </w:p>
        </w:tc>
      </w:tr>
      <w:tr w14:paraId="5FA6FA7A">
        <w:tblPrEx>
          <w:tblBorders>
            <w:top w:val="single" w:color="4F81BD" w:themeColor="accent1" w:sz="8" w:space="0"/>
            <w:left w:val="none" w:color="auto" w:sz="0" w:space="0"/>
            <w:bottom w:val="single" w:color="4F81BD" w:themeColor="accen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  <w:jc w:val="center"/>
        </w:trPr>
        <w:tc>
          <w:tcPr>
            <w:tcW w:w="3589" w:type="dxa"/>
            <w:tcBorders>
              <w:left w:val="nil"/>
              <w:right w:val="nil"/>
              <w:insideV w:val="nil"/>
            </w:tcBorders>
            <w:shd w:val="clear" w:color="auto" w:fill="D3DFEE" w:themeFill="accent1" w:themeFillTint="3F"/>
            <w:noWrap/>
          </w:tcPr>
          <w:p w14:paraId="320A09C1">
            <w:pPr>
              <w:widowControl/>
              <w:jc w:val="left"/>
              <w:rPr>
                <w:rFonts w:ascii="仿宋_GB2312" w:hAnsi="仿宋" w:eastAsia="仿宋_GB2312" w:cs="宋体"/>
                <w:b w:val="0"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b w:val="0"/>
                <w:bCs/>
                <w:color w:val="auto"/>
                <w:kern w:val="0"/>
                <w:sz w:val="24"/>
              </w:rPr>
              <w:t>工程质量验收</w:t>
            </w:r>
          </w:p>
        </w:tc>
        <w:tc>
          <w:tcPr>
            <w:tcW w:w="1234" w:type="dxa"/>
            <w:tcBorders>
              <w:right w:val="nil"/>
              <w:insideV w:val="nil"/>
            </w:tcBorders>
            <w:shd w:val="clear" w:color="auto" w:fill="D3DFEE" w:themeFill="accent1" w:themeFillTint="3F"/>
            <w:noWrap/>
            <w:vAlign w:val="center"/>
          </w:tcPr>
          <w:p w14:paraId="462511C5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kern w:val="0"/>
                <w:sz w:val="24"/>
              </w:rPr>
              <w:t>51.11%</w:t>
            </w:r>
          </w:p>
        </w:tc>
        <w:tc>
          <w:tcPr>
            <w:tcW w:w="1234" w:type="dxa"/>
            <w:tcBorders>
              <w:right w:val="nil"/>
              <w:insideV w:val="nil"/>
            </w:tcBorders>
            <w:shd w:val="clear" w:color="auto" w:fill="D3DFEE" w:themeFill="accent1" w:themeFillTint="3F"/>
            <w:noWrap/>
            <w:vAlign w:val="center"/>
          </w:tcPr>
          <w:p w14:paraId="1727988C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kern w:val="0"/>
                <w:sz w:val="24"/>
              </w:rPr>
              <w:t>48.89%</w:t>
            </w:r>
          </w:p>
        </w:tc>
        <w:tc>
          <w:tcPr>
            <w:tcW w:w="1234" w:type="dxa"/>
            <w:tcBorders>
              <w:right w:val="nil"/>
              <w:insideV w:val="nil"/>
            </w:tcBorders>
            <w:shd w:val="clear" w:color="auto" w:fill="D3DFEE" w:themeFill="accent1" w:themeFillTint="3F"/>
            <w:noWrap/>
            <w:vAlign w:val="center"/>
          </w:tcPr>
          <w:p w14:paraId="6513EE80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kern w:val="0"/>
                <w:sz w:val="24"/>
              </w:rPr>
              <w:t>0.00%</w:t>
            </w:r>
          </w:p>
        </w:tc>
        <w:tc>
          <w:tcPr>
            <w:tcW w:w="1235" w:type="dxa"/>
            <w:tcBorders>
              <w:right w:val="nil"/>
              <w:insideV w:val="nil"/>
            </w:tcBorders>
            <w:shd w:val="clear" w:color="auto" w:fill="D3DFEE" w:themeFill="accent1" w:themeFillTint="3F"/>
            <w:noWrap/>
            <w:vAlign w:val="center"/>
          </w:tcPr>
          <w:p w14:paraId="48B194D1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sz w:val="24"/>
              </w:rPr>
              <w:t>0.00%</w:t>
            </w:r>
          </w:p>
        </w:tc>
      </w:tr>
      <w:tr w14:paraId="15A1725E">
        <w:tblPrEx>
          <w:tblBorders>
            <w:top w:val="single" w:color="4F81BD" w:themeColor="accent1" w:sz="8" w:space="0"/>
            <w:left w:val="none" w:color="auto" w:sz="0" w:space="0"/>
            <w:bottom w:val="single" w:color="4F81BD" w:themeColor="accen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  <w:jc w:val="center"/>
        </w:trPr>
        <w:tc>
          <w:tcPr>
            <w:tcW w:w="3589" w:type="dxa"/>
            <w:noWrap/>
          </w:tcPr>
          <w:p w14:paraId="23E41162">
            <w:pPr>
              <w:widowControl/>
              <w:jc w:val="left"/>
              <w:rPr>
                <w:rFonts w:ascii="仿宋_GB2312" w:hAnsi="仿宋" w:eastAsia="仿宋_GB2312" w:cs="宋体"/>
                <w:b w:val="0"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b w:val="0"/>
                <w:bCs/>
                <w:color w:val="auto"/>
                <w:kern w:val="0"/>
                <w:sz w:val="24"/>
              </w:rPr>
              <w:t>签订供用水合同</w:t>
            </w:r>
          </w:p>
        </w:tc>
        <w:tc>
          <w:tcPr>
            <w:tcW w:w="1234" w:type="dxa"/>
            <w:noWrap/>
            <w:vAlign w:val="center"/>
          </w:tcPr>
          <w:p w14:paraId="7F7BA820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kern w:val="0"/>
                <w:sz w:val="24"/>
              </w:rPr>
              <w:t>50.83%</w:t>
            </w:r>
          </w:p>
        </w:tc>
        <w:tc>
          <w:tcPr>
            <w:tcW w:w="1234" w:type="dxa"/>
            <w:noWrap/>
            <w:vAlign w:val="center"/>
          </w:tcPr>
          <w:p w14:paraId="45EDD76D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kern w:val="0"/>
                <w:sz w:val="24"/>
              </w:rPr>
              <w:t>49.17%</w:t>
            </w:r>
          </w:p>
        </w:tc>
        <w:tc>
          <w:tcPr>
            <w:tcW w:w="1234" w:type="dxa"/>
            <w:noWrap/>
            <w:vAlign w:val="center"/>
          </w:tcPr>
          <w:p w14:paraId="506E378E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kern w:val="0"/>
                <w:sz w:val="24"/>
              </w:rPr>
              <w:t>0.00%</w:t>
            </w:r>
          </w:p>
        </w:tc>
        <w:tc>
          <w:tcPr>
            <w:tcW w:w="1235" w:type="dxa"/>
            <w:noWrap/>
            <w:vAlign w:val="center"/>
          </w:tcPr>
          <w:p w14:paraId="2F561CF3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sz w:val="24"/>
              </w:rPr>
              <w:t>0.00%</w:t>
            </w:r>
          </w:p>
        </w:tc>
      </w:tr>
      <w:tr w14:paraId="0B003004">
        <w:tblPrEx>
          <w:tblBorders>
            <w:top w:val="single" w:color="4F81BD" w:themeColor="accent1" w:sz="8" w:space="0"/>
            <w:left w:val="none" w:color="auto" w:sz="0" w:space="0"/>
            <w:bottom w:val="single" w:color="4F81BD" w:themeColor="accen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  <w:jc w:val="center"/>
        </w:trPr>
        <w:tc>
          <w:tcPr>
            <w:tcW w:w="3589" w:type="dxa"/>
            <w:tcBorders>
              <w:left w:val="nil"/>
              <w:right w:val="nil"/>
              <w:insideV w:val="nil"/>
            </w:tcBorders>
            <w:shd w:val="clear" w:color="auto" w:fill="D3DFEE" w:themeFill="accent1" w:themeFillTint="3F"/>
            <w:noWrap/>
          </w:tcPr>
          <w:p w14:paraId="6DAD3CB0">
            <w:pPr>
              <w:widowControl/>
              <w:jc w:val="left"/>
              <w:rPr>
                <w:rFonts w:ascii="仿宋_GB2312" w:hAnsi="仿宋" w:eastAsia="仿宋_GB2312" w:cs="宋体"/>
                <w:b w:val="0"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b w:val="0"/>
                <w:bCs/>
                <w:color w:val="auto"/>
                <w:kern w:val="0"/>
                <w:sz w:val="24"/>
              </w:rPr>
              <w:t>总体服务</w:t>
            </w:r>
          </w:p>
        </w:tc>
        <w:tc>
          <w:tcPr>
            <w:tcW w:w="1234" w:type="dxa"/>
            <w:tcBorders>
              <w:right w:val="nil"/>
              <w:insideV w:val="nil"/>
            </w:tcBorders>
            <w:shd w:val="clear" w:color="auto" w:fill="D3DFEE" w:themeFill="accent1" w:themeFillTint="3F"/>
            <w:noWrap/>
            <w:vAlign w:val="center"/>
          </w:tcPr>
          <w:p w14:paraId="29FE2326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kern w:val="0"/>
                <w:sz w:val="24"/>
              </w:rPr>
              <w:t>49.17%</w:t>
            </w:r>
          </w:p>
        </w:tc>
        <w:tc>
          <w:tcPr>
            <w:tcW w:w="1234" w:type="dxa"/>
            <w:tcBorders>
              <w:right w:val="nil"/>
              <w:insideV w:val="nil"/>
            </w:tcBorders>
            <w:shd w:val="clear" w:color="auto" w:fill="D3DFEE" w:themeFill="accent1" w:themeFillTint="3F"/>
            <w:noWrap/>
            <w:vAlign w:val="center"/>
          </w:tcPr>
          <w:p w14:paraId="15974259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kern w:val="0"/>
                <w:sz w:val="24"/>
              </w:rPr>
              <w:t>50.83%</w:t>
            </w:r>
          </w:p>
        </w:tc>
        <w:tc>
          <w:tcPr>
            <w:tcW w:w="1234" w:type="dxa"/>
            <w:tcBorders>
              <w:right w:val="nil"/>
              <w:insideV w:val="nil"/>
            </w:tcBorders>
            <w:shd w:val="clear" w:color="auto" w:fill="D3DFEE" w:themeFill="accent1" w:themeFillTint="3F"/>
            <w:noWrap/>
            <w:vAlign w:val="center"/>
          </w:tcPr>
          <w:p w14:paraId="66D90621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kern w:val="0"/>
                <w:sz w:val="24"/>
              </w:rPr>
              <w:t>0.00%</w:t>
            </w:r>
          </w:p>
        </w:tc>
        <w:tc>
          <w:tcPr>
            <w:tcW w:w="1235" w:type="dxa"/>
            <w:tcBorders>
              <w:right w:val="nil"/>
              <w:insideV w:val="nil"/>
            </w:tcBorders>
            <w:shd w:val="clear" w:color="auto" w:fill="D3DFEE" w:themeFill="accent1" w:themeFillTint="3F"/>
            <w:noWrap/>
            <w:vAlign w:val="center"/>
          </w:tcPr>
          <w:p w14:paraId="2ECD09DD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sz w:val="24"/>
              </w:rPr>
              <w:t>0.00%</w:t>
            </w:r>
          </w:p>
        </w:tc>
      </w:tr>
      <w:tr w14:paraId="5D2499BD">
        <w:tblPrEx>
          <w:tblBorders>
            <w:top w:val="single" w:color="4F81BD" w:themeColor="accent1" w:sz="8" w:space="0"/>
            <w:left w:val="none" w:color="auto" w:sz="0" w:space="0"/>
            <w:bottom w:val="single" w:color="4F81BD" w:themeColor="accen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  <w:jc w:val="center"/>
        </w:trPr>
        <w:tc>
          <w:tcPr>
            <w:tcW w:w="3589" w:type="dxa"/>
            <w:noWrap/>
          </w:tcPr>
          <w:p w14:paraId="213EBCEE">
            <w:pPr>
              <w:widowControl/>
              <w:jc w:val="center"/>
              <w:rPr>
                <w:rFonts w:ascii="仿宋_GB2312" w:hAnsi="仿宋" w:eastAsia="仿宋_GB2312" w:cs="宋体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b/>
                <w:bCs/>
                <w:color w:val="auto"/>
                <w:kern w:val="0"/>
                <w:sz w:val="24"/>
              </w:rPr>
              <w:t>总体满意率</w:t>
            </w:r>
          </w:p>
        </w:tc>
        <w:tc>
          <w:tcPr>
            <w:tcW w:w="4937" w:type="dxa"/>
            <w:gridSpan w:val="4"/>
            <w:noWrap/>
          </w:tcPr>
          <w:p w14:paraId="7EE2C821">
            <w:pPr>
              <w:widowControl/>
              <w:jc w:val="center"/>
              <w:rPr>
                <w:rFonts w:ascii="仿宋_GB2312" w:hAnsi="仿宋" w:eastAsia="仿宋_GB2312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b/>
                <w:bCs/>
                <w:color w:val="auto"/>
                <w:kern w:val="0"/>
                <w:sz w:val="24"/>
              </w:rPr>
              <w:t>100.00%</w:t>
            </w:r>
          </w:p>
        </w:tc>
      </w:tr>
    </w:tbl>
    <w:p w14:paraId="67532EDF">
      <w:pPr>
        <w:spacing w:before="156" w:beforeLines="50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（1</w:t>
      </w:r>
      <w:r>
        <w:rPr>
          <w:rFonts w:ascii="仿宋_GB2312" w:eastAsia="仿宋_GB2312"/>
          <w:b/>
          <w:sz w:val="32"/>
          <w:szCs w:val="32"/>
        </w:rPr>
        <w:t>2</w:t>
      </w:r>
      <w:r>
        <w:rPr>
          <w:rFonts w:hint="eastAsia" w:ascii="仿宋_GB2312" w:eastAsia="仿宋_GB2312"/>
          <w:b/>
          <w:sz w:val="32"/>
          <w:szCs w:val="32"/>
        </w:rPr>
        <w:t>）城投水务自来水业务受理分公司</w:t>
      </w:r>
    </w:p>
    <w:tbl>
      <w:tblPr>
        <w:tblStyle w:val="18"/>
        <w:tblW w:w="8423" w:type="dxa"/>
        <w:jc w:val="center"/>
        <w:tblBorders>
          <w:top w:val="single" w:color="4F81BD" w:themeColor="accent1" w:sz="8" w:space="0"/>
          <w:left w:val="none" w:color="auto" w:sz="0" w:space="0"/>
          <w:bottom w:val="single" w:color="4F81BD" w:themeColor="accent1" w:sz="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46"/>
        <w:gridCol w:w="1219"/>
        <w:gridCol w:w="1219"/>
        <w:gridCol w:w="1219"/>
        <w:gridCol w:w="1220"/>
      </w:tblGrid>
      <w:tr w14:paraId="27145F61">
        <w:tblPrEx>
          <w:tblBorders>
            <w:top w:val="single" w:color="4F81BD" w:themeColor="accent1" w:sz="8" w:space="0"/>
            <w:left w:val="none" w:color="auto" w:sz="0" w:space="0"/>
            <w:bottom w:val="single" w:color="4F81BD" w:themeColor="accen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  <w:jc w:val="center"/>
        </w:trPr>
        <w:tc>
          <w:tcPr>
            <w:tcW w:w="3546" w:type="dxa"/>
            <w:tcBorders>
              <w:top w:val="single" w:color="4F81BD" w:themeColor="accent1" w:sz="8" w:space="0"/>
              <w:left w:val="nil"/>
              <w:bottom w:val="single" w:color="4F81BD" w:themeColor="accent1" w:sz="8" w:space="0"/>
              <w:right w:val="nil"/>
              <w:insideH w:val="single" w:sz="8" w:space="0"/>
              <w:insideV w:val="nil"/>
            </w:tcBorders>
            <w:noWrap/>
          </w:tcPr>
          <w:p w14:paraId="7D3A0F3A">
            <w:pPr>
              <w:widowControl/>
              <w:spacing w:before="0" w:after="0" w:line="240" w:lineRule="auto"/>
              <w:jc w:val="center"/>
              <w:rPr>
                <w:rFonts w:ascii="仿宋_GB2312" w:hAnsi="仿宋" w:eastAsia="仿宋_GB2312" w:cs="宋体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b/>
                <w:bCs/>
                <w:color w:val="auto"/>
                <w:kern w:val="0"/>
                <w:sz w:val="24"/>
              </w:rPr>
              <w:t>指  标</w:t>
            </w:r>
          </w:p>
        </w:tc>
        <w:tc>
          <w:tcPr>
            <w:tcW w:w="1219" w:type="dxa"/>
            <w:tcBorders>
              <w:top w:val="single" w:color="4F81BD" w:themeColor="accent1" w:sz="8" w:space="0"/>
              <w:bottom w:val="single" w:color="4F81BD" w:themeColor="accent1" w:sz="8" w:space="0"/>
              <w:right w:val="nil"/>
              <w:insideH w:val="single" w:sz="8" w:space="0"/>
              <w:insideV w:val="nil"/>
            </w:tcBorders>
            <w:noWrap/>
          </w:tcPr>
          <w:p w14:paraId="37672BB1">
            <w:pPr>
              <w:widowControl/>
              <w:spacing w:before="0" w:after="0" w:line="240" w:lineRule="auto"/>
              <w:jc w:val="center"/>
              <w:rPr>
                <w:rFonts w:ascii="仿宋_GB2312" w:hAnsi="仿宋" w:eastAsia="仿宋_GB2312" w:cs="宋体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b/>
                <w:bCs/>
                <w:color w:val="auto"/>
                <w:kern w:val="0"/>
                <w:sz w:val="24"/>
              </w:rPr>
              <w:t>非常满意</w:t>
            </w:r>
          </w:p>
        </w:tc>
        <w:tc>
          <w:tcPr>
            <w:tcW w:w="1219" w:type="dxa"/>
            <w:tcBorders>
              <w:top w:val="single" w:color="4F81BD" w:themeColor="accent1" w:sz="8" w:space="0"/>
              <w:bottom w:val="single" w:color="4F81BD" w:themeColor="accent1" w:sz="8" w:space="0"/>
              <w:right w:val="nil"/>
              <w:insideH w:val="single" w:sz="8" w:space="0"/>
              <w:insideV w:val="nil"/>
            </w:tcBorders>
            <w:noWrap/>
          </w:tcPr>
          <w:p w14:paraId="0C03F64D">
            <w:pPr>
              <w:widowControl/>
              <w:spacing w:before="0" w:after="0" w:line="240" w:lineRule="auto"/>
              <w:jc w:val="center"/>
              <w:rPr>
                <w:rFonts w:ascii="仿宋_GB2312" w:hAnsi="仿宋" w:eastAsia="仿宋_GB2312" w:cs="宋体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b/>
                <w:bCs/>
                <w:color w:val="auto"/>
                <w:kern w:val="0"/>
                <w:sz w:val="24"/>
              </w:rPr>
              <w:t>满意</w:t>
            </w:r>
          </w:p>
        </w:tc>
        <w:tc>
          <w:tcPr>
            <w:tcW w:w="1219" w:type="dxa"/>
            <w:tcBorders>
              <w:top w:val="single" w:color="4F81BD" w:themeColor="accent1" w:sz="8" w:space="0"/>
              <w:bottom w:val="single" w:color="4F81BD" w:themeColor="accent1" w:sz="8" w:space="0"/>
              <w:right w:val="nil"/>
              <w:insideH w:val="single" w:sz="8" w:space="0"/>
              <w:insideV w:val="nil"/>
            </w:tcBorders>
            <w:noWrap/>
          </w:tcPr>
          <w:p w14:paraId="0F0CA904">
            <w:pPr>
              <w:widowControl/>
              <w:spacing w:before="0" w:after="0" w:line="240" w:lineRule="auto"/>
              <w:jc w:val="center"/>
              <w:rPr>
                <w:rFonts w:ascii="仿宋_GB2312" w:hAnsi="仿宋" w:eastAsia="仿宋_GB2312" w:cs="宋体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b/>
                <w:bCs/>
                <w:color w:val="auto"/>
                <w:kern w:val="0"/>
                <w:sz w:val="24"/>
              </w:rPr>
              <w:t>基本满意</w:t>
            </w:r>
          </w:p>
        </w:tc>
        <w:tc>
          <w:tcPr>
            <w:tcW w:w="1220" w:type="dxa"/>
            <w:tcBorders>
              <w:top w:val="single" w:color="4F81BD" w:themeColor="accent1" w:sz="8" w:space="0"/>
              <w:bottom w:val="single" w:color="4F81BD" w:themeColor="accent1" w:sz="8" w:space="0"/>
              <w:right w:val="nil"/>
              <w:insideH w:val="single" w:sz="8" w:space="0"/>
              <w:insideV w:val="nil"/>
            </w:tcBorders>
            <w:noWrap/>
          </w:tcPr>
          <w:p w14:paraId="73BCA50A">
            <w:pPr>
              <w:widowControl/>
              <w:spacing w:before="0" w:after="0" w:line="240" w:lineRule="auto"/>
              <w:jc w:val="center"/>
              <w:rPr>
                <w:rFonts w:ascii="仿宋_GB2312" w:hAnsi="仿宋" w:eastAsia="仿宋_GB2312" w:cs="宋体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b/>
                <w:bCs/>
                <w:color w:val="auto"/>
                <w:kern w:val="0"/>
                <w:sz w:val="24"/>
              </w:rPr>
              <w:t>不满意</w:t>
            </w:r>
          </w:p>
        </w:tc>
      </w:tr>
      <w:tr w14:paraId="39CB0928">
        <w:tblPrEx>
          <w:tblBorders>
            <w:top w:val="single" w:color="4F81BD" w:themeColor="accent1" w:sz="8" w:space="0"/>
            <w:left w:val="none" w:color="auto" w:sz="0" w:space="0"/>
            <w:bottom w:val="single" w:color="4F81BD" w:themeColor="accen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  <w:jc w:val="center"/>
        </w:trPr>
        <w:tc>
          <w:tcPr>
            <w:tcW w:w="3546" w:type="dxa"/>
            <w:tcBorders>
              <w:left w:val="nil"/>
              <w:right w:val="nil"/>
              <w:insideV w:val="nil"/>
            </w:tcBorders>
            <w:shd w:val="clear" w:color="auto" w:fill="D3DFEE" w:themeFill="accent1" w:themeFillTint="3F"/>
            <w:noWrap/>
          </w:tcPr>
          <w:p w14:paraId="539BD18C">
            <w:pPr>
              <w:widowControl/>
              <w:jc w:val="left"/>
              <w:rPr>
                <w:rFonts w:ascii="仿宋_GB2312" w:hAnsi="仿宋" w:eastAsia="仿宋_GB2312" w:cs="宋体"/>
                <w:b w:val="0"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b w:val="0"/>
                <w:bCs/>
                <w:color w:val="auto"/>
                <w:kern w:val="0"/>
                <w:sz w:val="24"/>
              </w:rPr>
              <w:t>前期咨询和申请受理</w:t>
            </w:r>
          </w:p>
        </w:tc>
        <w:tc>
          <w:tcPr>
            <w:tcW w:w="1219" w:type="dxa"/>
            <w:tcBorders>
              <w:right w:val="nil"/>
              <w:insideV w:val="nil"/>
            </w:tcBorders>
            <w:shd w:val="clear" w:color="auto" w:fill="D3DFEE" w:themeFill="accent1" w:themeFillTint="3F"/>
            <w:noWrap/>
            <w:vAlign w:val="center"/>
          </w:tcPr>
          <w:p w14:paraId="1BC2C260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kern w:val="0"/>
                <w:sz w:val="24"/>
              </w:rPr>
              <w:t>54.93%</w:t>
            </w:r>
          </w:p>
        </w:tc>
        <w:tc>
          <w:tcPr>
            <w:tcW w:w="1219" w:type="dxa"/>
            <w:tcBorders>
              <w:right w:val="nil"/>
              <w:insideV w:val="nil"/>
            </w:tcBorders>
            <w:shd w:val="clear" w:color="auto" w:fill="D3DFEE" w:themeFill="accent1" w:themeFillTint="3F"/>
            <w:noWrap/>
            <w:vAlign w:val="center"/>
          </w:tcPr>
          <w:p w14:paraId="19A7A08A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kern w:val="0"/>
                <w:sz w:val="24"/>
              </w:rPr>
              <w:t>45.07%</w:t>
            </w:r>
          </w:p>
        </w:tc>
        <w:tc>
          <w:tcPr>
            <w:tcW w:w="1219" w:type="dxa"/>
            <w:tcBorders>
              <w:right w:val="nil"/>
              <w:insideV w:val="nil"/>
            </w:tcBorders>
            <w:shd w:val="clear" w:color="auto" w:fill="D3DFEE" w:themeFill="accent1" w:themeFillTint="3F"/>
            <w:noWrap/>
            <w:vAlign w:val="center"/>
          </w:tcPr>
          <w:p w14:paraId="4EC6826F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kern w:val="0"/>
                <w:sz w:val="24"/>
              </w:rPr>
              <w:t>0.00%</w:t>
            </w:r>
          </w:p>
        </w:tc>
        <w:tc>
          <w:tcPr>
            <w:tcW w:w="1220" w:type="dxa"/>
            <w:tcBorders>
              <w:right w:val="nil"/>
              <w:insideV w:val="nil"/>
            </w:tcBorders>
            <w:shd w:val="clear" w:color="auto" w:fill="D3DFEE" w:themeFill="accent1" w:themeFillTint="3F"/>
            <w:noWrap/>
            <w:vAlign w:val="center"/>
          </w:tcPr>
          <w:p w14:paraId="3086ADEC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sz w:val="24"/>
              </w:rPr>
              <w:t>0.00%</w:t>
            </w:r>
          </w:p>
        </w:tc>
      </w:tr>
      <w:tr w14:paraId="7577C74F">
        <w:tblPrEx>
          <w:tblBorders>
            <w:top w:val="single" w:color="4F81BD" w:themeColor="accent1" w:sz="8" w:space="0"/>
            <w:left w:val="none" w:color="auto" w:sz="0" w:space="0"/>
            <w:bottom w:val="single" w:color="4F81BD" w:themeColor="accen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  <w:jc w:val="center"/>
        </w:trPr>
        <w:tc>
          <w:tcPr>
            <w:tcW w:w="3546" w:type="dxa"/>
            <w:noWrap/>
          </w:tcPr>
          <w:p w14:paraId="3D2B15E1">
            <w:pPr>
              <w:widowControl/>
              <w:jc w:val="left"/>
              <w:rPr>
                <w:rFonts w:ascii="仿宋_GB2312" w:hAnsi="仿宋" w:eastAsia="仿宋_GB2312" w:cs="宋体"/>
                <w:b w:val="0"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b w:val="0"/>
                <w:bCs/>
                <w:color w:val="auto"/>
                <w:kern w:val="0"/>
                <w:sz w:val="24"/>
              </w:rPr>
              <w:t>现场查勘和编制/复核供水方案</w:t>
            </w:r>
          </w:p>
        </w:tc>
        <w:tc>
          <w:tcPr>
            <w:tcW w:w="1219" w:type="dxa"/>
            <w:noWrap/>
            <w:vAlign w:val="center"/>
          </w:tcPr>
          <w:p w14:paraId="38F3241E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kern w:val="0"/>
                <w:sz w:val="24"/>
              </w:rPr>
              <w:t>54.20%</w:t>
            </w:r>
          </w:p>
        </w:tc>
        <w:tc>
          <w:tcPr>
            <w:tcW w:w="1219" w:type="dxa"/>
            <w:noWrap/>
            <w:vAlign w:val="center"/>
          </w:tcPr>
          <w:p w14:paraId="62BD6265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kern w:val="0"/>
                <w:sz w:val="24"/>
              </w:rPr>
              <w:t>45.80%</w:t>
            </w:r>
          </w:p>
        </w:tc>
        <w:tc>
          <w:tcPr>
            <w:tcW w:w="1219" w:type="dxa"/>
            <w:noWrap/>
            <w:vAlign w:val="center"/>
          </w:tcPr>
          <w:p w14:paraId="1674B22F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kern w:val="0"/>
                <w:sz w:val="24"/>
              </w:rPr>
              <w:t>0.00%</w:t>
            </w:r>
          </w:p>
        </w:tc>
        <w:tc>
          <w:tcPr>
            <w:tcW w:w="1220" w:type="dxa"/>
            <w:noWrap/>
            <w:vAlign w:val="center"/>
          </w:tcPr>
          <w:p w14:paraId="15E4615C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sz w:val="24"/>
              </w:rPr>
              <w:t>0.00%</w:t>
            </w:r>
          </w:p>
        </w:tc>
      </w:tr>
      <w:tr w14:paraId="5E332298">
        <w:tblPrEx>
          <w:tblBorders>
            <w:top w:val="single" w:color="4F81BD" w:themeColor="accent1" w:sz="8" w:space="0"/>
            <w:left w:val="none" w:color="auto" w:sz="0" w:space="0"/>
            <w:bottom w:val="single" w:color="4F81BD" w:themeColor="accen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  <w:jc w:val="center"/>
        </w:trPr>
        <w:tc>
          <w:tcPr>
            <w:tcW w:w="3546" w:type="dxa"/>
            <w:tcBorders>
              <w:left w:val="nil"/>
              <w:right w:val="nil"/>
              <w:insideV w:val="nil"/>
            </w:tcBorders>
            <w:shd w:val="clear" w:color="auto" w:fill="D3DFEE" w:themeFill="accent1" w:themeFillTint="3F"/>
            <w:noWrap/>
          </w:tcPr>
          <w:p w14:paraId="0F260715">
            <w:pPr>
              <w:widowControl/>
              <w:jc w:val="left"/>
              <w:rPr>
                <w:rFonts w:ascii="仿宋_GB2312" w:hAnsi="仿宋" w:eastAsia="仿宋_GB2312" w:cs="宋体"/>
                <w:b w:val="0"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b w:val="0"/>
                <w:bCs/>
                <w:color w:val="auto"/>
                <w:kern w:val="0"/>
                <w:sz w:val="24"/>
              </w:rPr>
              <w:t>工程质量验收</w:t>
            </w:r>
          </w:p>
        </w:tc>
        <w:tc>
          <w:tcPr>
            <w:tcW w:w="1219" w:type="dxa"/>
            <w:tcBorders>
              <w:right w:val="nil"/>
              <w:insideV w:val="nil"/>
            </w:tcBorders>
            <w:shd w:val="clear" w:color="auto" w:fill="D3DFEE" w:themeFill="accent1" w:themeFillTint="3F"/>
            <w:noWrap/>
            <w:vAlign w:val="center"/>
          </w:tcPr>
          <w:p w14:paraId="40EA5AF7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kern w:val="0"/>
                <w:sz w:val="24"/>
              </w:rPr>
              <w:t>54.13%</w:t>
            </w:r>
          </w:p>
        </w:tc>
        <w:tc>
          <w:tcPr>
            <w:tcW w:w="1219" w:type="dxa"/>
            <w:tcBorders>
              <w:right w:val="nil"/>
              <w:insideV w:val="nil"/>
            </w:tcBorders>
            <w:shd w:val="clear" w:color="auto" w:fill="D3DFEE" w:themeFill="accent1" w:themeFillTint="3F"/>
            <w:noWrap/>
            <w:vAlign w:val="center"/>
          </w:tcPr>
          <w:p w14:paraId="79B08141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kern w:val="0"/>
                <w:sz w:val="24"/>
              </w:rPr>
              <w:t>45.60%</w:t>
            </w:r>
          </w:p>
        </w:tc>
        <w:tc>
          <w:tcPr>
            <w:tcW w:w="1219" w:type="dxa"/>
            <w:tcBorders>
              <w:right w:val="nil"/>
              <w:insideV w:val="nil"/>
            </w:tcBorders>
            <w:shd w:val="clear" w:color="auto" w:fill="D3DFEE" w:themeFill="accent1" w:themeFillTint="3F"/>
            <w:noWrap/>
            <w:vAlign w:val="center"/>
          </w:tcPr>
          <w:p w14:paraId="035B9E6B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kern w:val="0"/>
                <w:sz w:val="24"/>
              </w:rPr>
              <w:t>0.27%</w:t>
            </w:r>
          </w:p>
        </w:tc>
        <w:tc>
          <w:tcPr>
            <w:tcW w:w="1220" w:type="dxa"/>
            <w:tcBorders>
              <w:right w:val="nil"/>
              <w:insideV w:val="nil"/>
            </w:tcBorders>
            <w:shd w:val="clear" w:color="auto" w:fill="D3DFEE" w:themeFill="accent1" w:themeFillTint="3F"/>
            <w:noWrap/>
            <w:vAlign w:val="center"/>
          </w:tcPr>
          <w:p w14:paraId="6CD90F76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sz w:val="24"/>
              </w:rPr>
              <w:t>0.00%</w:t>
            </w:r>
          </w:p>
        </w:tc>
      </w:tr>
      <w:tr w14:paraId="536B3D15">
        <w:tblPrEx>
          <w:tblBorders>
            <w:top w:val="single" w:color="4F81BD" w:themeColor="accent1" w:sz="8" w:space="0"/>
            <w:left w:val="none" w:color="auto" w:sz="0" w:space="0"/>
            <w:bottom w:val="single" w:color="4F81BD" w:themeColor="accen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  <w:jc w:val="center"/>
        </w:trPr>
        <w:tc>
          <w:tcPr>
            <w:tcW w:w="3546" w:type="dxa"/>
            <w:noWrap/>
          </w:tcPr>
          <w:p w14:paraId="6AC2FD4E">
            <w:pPr>
              <w:widowControl/>
              <w:jc w:val="left"/>
              <w:rPr>
                <w:rFonts w:ascii="仿宋_GB2312" w:hAnsi="仿宋" w:eastAsia="仿宋_GB2312" w:cs="宋体"/>
                <w:b w:val="0"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b w:val="0"/>
                <w:bCs/>
                <w:color w:val="auto"/>
                <w:kern w:val="0"/>
                <w:sz w:val="24"/>
              </w:rPr>
              <w:t>签订供用水合同</w:t>
            </w:r>
          </w:p>
        </w:tc>
        <w:tc>
          <w:tcPr>
            <w:tcW w:w="1219" w:type="dxa"/>
            <w:noWrap/>
            <w:vAlign w:val="center"/>
          </w:tcPr>
          <w:p w14:paraId="557C7C3E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kern w:val="0"/>
                <w:sz w:val="24"/>
              </w:rPr>
              <w:t>54.20%</w:t>
            </w:r>
          </w:p>
        </w:tc>
        <w:tc>
          <w:tcPr>
            <w:tcW w:w="1219" w:type="dxa"/>
            <w:noWrap/>
            <w:vAlign w:val="center"/>
          </w:tcPr>
          <w:p w14:paraId="23B72760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kern w:val="0"/>
                <w:sz w:val="24"/>
              </w:rPr>
              <w:t>45.60%</w:t>
            </w:r>
          </w:p>
        </w:tc>
        <w:tc>
          <w:tcPr>
            <w:tcW w:w="1219" w:type="dxa"/>
            <w:noWrap/>
            <w:vAlign w:val="center"/>
          </w:tcPr>
          <w:p w14:paraId="446E40FA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kern w:val="0"/>
                <w:sz w:val="24"/>
              </w:rPr>
              <w:t>0.20%</w:t>
            </w:r>
          </w:p>
        </w:tc>
        <w:tc>
          <w:tcPr>
            <w:tcW w:w="1220" w:type="dxa"/>
            <w:noWrap/>
            <w:vAlign w:val="center"/>
          </w:tcPr>
          <w:p w14:paraId="54BF8C03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sz w:val="24"/>
              </w:rPr>
              <w:t>0.00%</w:t>
            </w:r>
          </w:p>
        </w:tc>
      </w:tr>
      <w:tr w14:paraId="26716D5C">
        <w:tblPrEx>
          <w:tblBorders>
            <w:top w:val="single" w:color="4F81BD" w:themeColor="accent1" w:sz="8" w:space="0"/>
            <w:left w:val="none" w:color="auto" w:sz="0" w:space="0"/>
            <w:bottom w:val="single" w:color="4F81BD" w:themeColor="accen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  <w:jc w:val="center"/>
        </w:trPr>
        <w:tc>
          <w:tcPr>
            <w:tcW w:w="3546" w:type="dxa"/>
            <w:tcBorders>
              <w:left w:val="nil"/>
              <w:right w:val="nil"/>
              <w:insideV w:val="nil"/>
            </w:tcBorders>
            <w:shd w:val="clear" w:color="auto" w:fill="D3DFEE" w:themeFill="accent1" w:themeFillTint="3F"/>
            <w:noWrap/>
          </w:tcPr>
          <w:p w14:paraId="54134158">
            <w:pPr>
              <w:widowControl/>
              <w:jc w:val="left"/>
              <w:rPr>
                <w:rFonts w:ascii="仿宋_GB2312" w:hAnsi="仿宋" w:eastAsia="仿宋_GB2312" w:cs="宋体"/>
                <w:b w:val="0"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b w:val="0"/>
                <w:bCs/>
                <w:color w:val="auto"/>
                <w:kern w:val="0"/>
                <w:sz w:val="24"/>
              </w:rPr>
              <w:t>总体服务</w:t>
            </w:r>
          </w:p>
        </w:tc>
        <w:tc>
          <w:tcPr>
            <w:tcW w:w="1219" w:type="dxa"/>
            <w:tcBorders>
              <w:right w:val="nil"/>
              <w:insideV w:val="nil"/>
            </w:tcBorders>
            <w:shd w:val="clear" w:color="auto" w:fill="D3DFEE" w:themeFill="accent1" w:themeFillTint="3F"/>
            <w:noWrap/>
            <w:vAlign w:val="center"/>
          </w:tcPr>
          <w:p w14:paraId="01BEAA55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kern w:val="0"/>
                <w:sz w:val="24"/>
              </w:rPr>
              <w:t>54.60%</w:t>
            </w:r>
          </w:p>
        </w:tc>
        <w:tc>
          <w:tcPr>
            <w:tcW w:w="1219" w:type="dxa"/>
            <w:tcBorders>
              <w:right w:val="nil"/>
              <w:insideV w:val="nil"/>
            </w:tcBorders>
            <w:shd w:val="clear" w:color="auto" w:fill="D3DFEE" w:themeFill="accent1" w:themeFillTint="3F"/>
            <w:noWrap/>
            <w:vAlign w:val="center"/>
          </w:tcPr>
          <w:p w14:paraId="0A993ECC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kern w:val="0"/>
                <w:sz w:val="24"/>
              </w:rPr>
              <w:t>45.00%</w:t>
            </w:r>
          </w:p>
        </w:tc>
        <w:tc>
          <w:tcPr>
            <w:tcW w:w="1219" w:type="dxa"/>
            <w:tcBorders>
              <w:right w:val="nil"/>
              <w:insideV w:val="nil"/>
            </w:tcBorders>
            <w:shd w:val="clear" w:color="auto" w:fill="D3DFEE" w:themeFill="accent1" w:themeFillTint="3F"/>
            <w:noWrap/>
            <w:vAlign w:val="center"/>
          </w:tcPr>
          <w:p w14:paraId="340AC944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kern w:val="0"/>
                <w:sz w:val="24"/>
              </w:rPr>
              <w:t>0.40%</w:t>
            </w:r>
          </w:p>
        </w:tc>
        <w:tc>
          <w:tcPr>
            <w:tcW w:w="1220" w:type="dxa"/>
            <w:tcBorders>
              <w:right w:val="nil"/>
              <w:insideV w:val="nil"/>
            </w:tcBorders>
            <w:shd w:val="clear" w:color="auto" w:fill="D3DFEE" w:themeFill="accent1" w:themeFillTint="3F"/>
            <w:noWrap/>
            <w:vAlign w:val="center"/>
          </w:tcPr>
          <w:p w14:paraId="1CD8062B">
            <w:pPr>
              <w:widowControl/>
              <w:jc w:val="center"/>
              <w:rPr>
                <w:rFonts w:ascii="仿宋_GB2312" w:hAnsi="仿宋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sz w:val="24"/>
              </w:rPr>
              <w:t>0.00%</w:t>
            </w:r>
          </w:p>
        </w:tc>
      </w:tr>
      <w:tr w14:paraId="0CE63233">
        <w:tblPrEx>
          <w:tblBorders>
            <w:top w:val="single" w:color="4F81BD" w:themeColor="accent1" w:sz="8" w:space="0"/>
            <w:left w:val="none" w:color="auto" w:sz="0" w:space="0"/>
            <w:bottom w:val="single" w:color="4F81BD" w:themeColor="accen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  <w:jc w:val="center"/>
        </w:trPr>
        <w:tc>
          <w:tcPr>
            <w:tcW w:w="3546" w:type="dxa"/>
            <w:noWrap/>
          </w:tcPr>
          <w:p w14:paraId="687D3A6C">
            <w:pPr>
              <w:widowControl/>
              <w:jc w:val="center"/>
              <w:rPr>
                <w:rFonts w:ascii="仿宋_GB2312" w:hAnsi="仿宋" w:eastAsia="仿宋_GB2312" w:cs="宋体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b/>
                <w:bCs/>
                <w:color w:val="auto"/>
                <w:kern w:val="0"/>
                <w:sz w:val="24"/>
              </w:rPr>
              <w:t>总体满意率</w:t>
            </w:r>
          </w:p>
        </w:tc>
        <w:tc>
          <w:tcPr>
            <w:tcW w:w="4877" w:type="dxa"/>
            <w:gridSpan w:val="4"/>
            <w:noWrap/>
          </w:tcPr>
          <w:p w14:paraId="27373B2F">
            <w:pPr>
              <w:widowControl/>
              <w:jc w:val="center"/>
              <w:rPr>
                <w:rFonts w:ascii="仿宋_GB2312" w:hAnsi="仿宋" w:eastAsia="仿宋_GB2312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b/>
                <w:bCs/>
                <w:color w:val="auto"/>
                <w:kern w:val="0"/>
                <w:sz w:val="24"/>
              </w:rPr>
              <w:t>100.00%</w:t>
            </w:r>
          </w:p>
        </w:tc>
      </w:tr>
    </w:tbl>
    <w:p w14:paraId="762083E0">
      <w:pPr>
        <w:rPr>
          <w:rFonts w:ascii="仿宋_GB2312" w:eastAsia="仿宋_GB2312"/>
          <w:b/>
          <w:sz w:val="32"/>
          <w:szCs w:val="32"/>
        </w:rPr>
      </w:pPr>
    </w:p>
    <w:p w14:paraId="602ADC52">
      <w:pPr>
        <w:rPr>
          <w:rFonts w:ascii="仿宋_GB2312" w:eastAsia="仿宋_GB2312"/>
          <w:b/>
          <w:sz w:val="32"/>
          <w:szCs w:val="32"/>
        </w:rPr>
      </w:pPr>
    </w:p>
    <w:p w14:paraId="4B79421E">
      <w:pPr>
        <w:rPr>
          <w:rFonts w:ascii="仿宋_GB2312" w:eastAsia="仿宋_GB2312"/>
          <w:b/>
          <w:sz w:val="32"/>
          <w:szCs w:val="32"/>
        </w:rPr>
      </w:pPr>
    </w:p>
    <w:p w14:paraId="09834DB0">
      <w:pPr>
        <w:rPr>
          <w:rFonts w:ascii="仿宋_GB2312" w:eastAsia="仿宋_GB2312"/>
          <w:b/>
          <w:sz w:val="32"/>
          <w:szCs w:val="32"/>
        </w:rPr>
      </w:pPr>
    </w:p>
    <w:p w14:paraId="22A9124F">
      <w:pPr>
        <w:rPr>
          <w:rFonts w:ascii="仿宋_GB2312" w:eastAsia="仿宋_GB2312"/>
          <w:b/>
          <w:sz w:val="32"/>
          <w:szCs w:val="32"/>
        </w:rPr>
      </w:pPr>
    </w:p>
    <w:p w14:paraId="0F82A883">
      <w:pPr>
        <w:rPr>
          <w:rFonts w:ascii="仿宋_GB2312" w:eastAsia="仿宋_GB2312"/>
          <w:b/>
          <w:sz w:val="32"/>
          <w:szCs w:val="32"/>
        </w:rPr>
      </w:pPr>
    </w:p>
    <w:p w14:paraId="16CE8294">
      <w:pPr>
        <w:rPr>
          <w:rFonts w:ascii="仿宋_GB2312" w:eastAsia="仿宋_GB2312"/>
          <w:b/>
          <w:sz w:val="32"/>
          <w:szCs w:val="32"/>
        </w:rPr>
      </w:pPr>
    </w:p>
    <w:p w14:paraId="4834BA93">
      <w:pPr>
        <w:pStyle w:val="14"/>
        <w:jc w:val="left"/>
        <w:rPr>
          <w:rFonts w:ascii="仿宋_GB2312" w:hAnsi="仿宋" w:eastAsia="仿宋_GB2312"/>
        </w:rPr>
      </w:pPr>
      <w:bookmarkStart w:id="21" w:name="_Toc145100763"/>
      <w:r>
        <w:rPr>
          <w:rFonts w:hint="eastAsia" w:ascii="仿宋_GB2312" w:hAnsi="仿宋" w:eastAsia="仿宋_GB2312"/>
        </w:rPr>
        <w:t>三、主要结论和建议</w:t>
      </w:r>
      <w:bookmarkEnd w:id="21"/>
    </w:p>
    <w:p w14:paraId="67AADC03">
      <w:pPr>
        <w:ind w:right="140" w:firstLine="640" w:firstLineChars="2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本次调查结果显示，2026年上海市供水接入服务质量调查总体满意率为100.00%，与2025年（100.00%）持平。综合近四年数据看，本市供水接入服务总体满意率自2023年以来持续高位运行（2023年99.66%、2024年99.99%、2025年100.00%、2026年100.00%），2025年、2026年连续两年实现五项指标全部100.00%，显示出受访者对上海市供水接入整体服务的评价持续向好、稳中有进。</w:t>
      </w:r>
    </w:p>
    <w:p w14:paraId="20C75EB2">
      <w:pPr>
        <w:ind w:right="140" w:firstLine="640" w:firstLineChars="2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本次调查包含的五项指标满意率均为100%。与2025年调查结果相比较，五项指标满意率全部持平，且评价结构明显优化：2025年五项指标尚有约1.0</w:t>
      </w:r>
      <w:r>
        <w:rPr>
          <w:rFonts w:ascii="仿宋_GB2312" w:eastAsia="仿宋_GB2312"/>
          <w:sz w:val="32"/>
          <w:szCs w:val="32"/>
        </w:rPr>
        <w:t>0</w:t>
      </w:r>
      <w:r>
        <w:rPr>
          <w:rFonts w:hint="eastAsia" w:ascii="仿宋_GB2312" w:eastAsia="仿宋_GB2312"/>
          <w:sz w:val="32"/>
          <w:szCs w:val="32"/>
        </w:rPr>
        <w:t>%</w:t>
      </w:r>
      <w:r>
        <w:rPr>
          <w:rFonts w:ascii="仿宋_GB2312" w:eastAsia="仿宋_GB2312"/>
          <w:sz w:val="32"/>
          <w:szCs w:val="32"/>
        </w:rPr>
        <w:t>-</w:t>
      </w:r>
      <w:r>
        <w:rPr>
          <w:rFonts w:hint="eastAsia" w:ascii="仿宋_GB2312" w:eastAsia="仿宋_GB2312"/>
          <w:sz w:val="32"/>
          <w:szCs w:val="32"/>
        </w:rPr>
        <w:t>1.7</w:t>
      </w:r>
      <w:r>
        <w:rPr>
          <w:rFonts w:ascii="仿宋_GB2312" w:eastAsia="仿宋_GB2312"/>
          <w:sz w:val="32"/>
          <w:szCs w:val="32"/>
        </w:rPr>
        <w:t>0</w:t>
      </w:r>
      <w:r>
        <w:rPr>
          <w:rFonts w:hint="eastAsia" w:ascii="仿宋_GB2312" w:eastAsia="仿宋_GB2312"/>
          <w:sz w:val="32"/>
          <w:szCs w:val="32"/>
        </w:rPr>
        <w:t>%的“基本满意”评价，2026年仅“工程质量验收”“签订供用水合同”“总体服务”存在0.1</w:t>
      </w:r>
      <w:r>
        <w:rPr>
          <w:rFonts w:ascii="仿宋_GB2312" w:eastAsia="仿宋_GB2312"/>
          <w:sz w:val="32"/>
          <w:szCs w:val="32"/>
        </w:rPr>
        <w:t>0</w:t>
      </w:r>
      <w:r>
        <w:rPr>
          <w:rFonts w:hint="eastAsia" w:ascii="仿宋_GB2312" w:eastAsia="仿宋_GB2312"/>
          <w:sz w:val="32"/>
          <w:szCs w:val="32"/>
        </w:rPr>
        <w:t>%</w:t>
      </w:r>
      <w:r>
        <w:rPr>
          <w:rFonts w:ascii="仿宋_GB2312" w:eastAsia="仿宋_GB2312"/>
          <w:sz w:val="32"/>
          <w:szCs w:val="32"/>
        </w:rPr>
        <w:t>-</w:t>
      </w:r>
      <w:r>
        <w:rPr>
          <w:rFonts w:hint="eastAsia" w:ascii="仿宋_GB2312" w:eastAsia="仿宋_GB2312"/>
          <w:sz w:val="32"/>
          <w:szCs w:val="32"/>
        </w:rPr>
        <w:t>0.2</w:t>
      </w:r>
      <w:r>
        <w:rPr>
          <w:rFonts w:ascii="仿宋_GB2312" w:eastAsia="仿宋_GB2312"/>
          <w:sz w:val="32"/>
          <w:szCs w:val="32"/>
        </w:rPr>
        <w:t>0</w:t>
      </w:r>
      <w:r>
        <w:rPr>
          <w:rFonts w:hint="eastAsia" w:ascii="仿宋_GB2312" w:eastAsia="仿宋_GB2312"/>
          <w:sz w:val="32"/>
          <w:szCs w:val="32"/>
        </w:rPr>
        <w:t>%的“基本满意”，“前期咨询和申请受理”“现场查勘和编制/复核供水方案”两项均无“基本满意”评价，反映本市供水接入服务在保持高满意率的同时，服务的均衡性、稳定性进一步增强。</w:t>
      </w:r>
    </w:p>
    <w:p w14:paraId="1B8892F5">
      <w:pPr>
        <w:ind w:right="140" w:firstLine="640" w:firstLineChars="2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调查共收集到6条受访者提出的意见建议，其中</w:t>
      </w:r>
      <w:r>
        <w:rPr>
          <w:rFonts w:ascii="仿宋_GB2312" w:eastAsia="仿宋_GB2312"/>
          <w:sz w:val="32"/>
          <w:szCs w:val="32"/>
        </w:rPr>
        <w:t>3</w:t>
      </w:r>
      <w:r>
        <w:rPr>
          <w:rFonts w:hint="eastAsia" w:ascii="仿宋_GB2312" w:eastAsia="仿宋_GB2312"/>
          <w:sz w:val="32"/>
          <w:szCs w:val="32"/>
        </w:rPr>
        <w:t>条以表扬勉励为主，充分肯定了本市供水接入服务在办理态度、办理效率、材料告知清晰度以及施工组织（如安排夜间施工减少扰民）等方面的表现；其余</w:t>
      </w:r>
      <w:r>
        <w:rPr>
          <w:rFonts w:ascii="仿宋_GB2312" w:eastAsia="仿宋_GB2312"/>
          <w:sz w:val="32"/>
          <w:szCs w:val="32"/>
        </w:rPr>
        <w:t>3</w:t>
      </w:r>
      <w:r>
        <w:rPr>
          <w:rFonts w:hint="eastAsia" w:ascii="仿宋_GB2312" w:eastAsia="仿宋_GB2312"/>
          <w:sz w:val="32"/>
          <w:szCs w:val="32"/>
        </w:rPr>
        <w:t>条为受访者提出的具体服务需求，主要集中在希望供水企业提供设计图纸代办等一站式服务、水表计量/水表箱异常等问题。</w:t>
      </w:r>
    </w:p>
    <w:p w14:paraId="617A6EA2">
      <w:pPr>
        <w:ind w:right="140" w:firstLine="640" w:firstLineChars="2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为进一步深化本市供水接入服务，持续提供优质服务，建议：</w:t>
      </w:r>
    </w:p>
    <w:p w14:paraId="3642AC84">
      <w:pPr>
        <w:ind w:right="140" w:firstLine="640" w:firstLineChars="2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、拓宽企业意见的收集渠道，主动听取企业的真实感受。目前满意率已处于高位，建议在现有调查基础上，结合日常服务多了解企业的实际感受，对企业反映的情况及时回应、及时改进，真正帮助企业解决实际困难。</w:t>
      </w:r>
    </w:p>
    <w:p w14:paraId="36E108D0">
      <w:pPr>
        <w:ind w:right="140" w:firstLine="640" w:firstLineChars="2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2、把好的做法固定下来，形成统一的服务标准。建议总结推广供水接入服务中的好做法、好经验，整理成统一的服务规范和操作标准，减少服务差距，把个别做得好变成整体都稳定。</w:t>
      </w:r>
    </w:p>
    <w:p w14:paraId="2CB22A30">
      <w:pPr>
        <w:ind w:right="140" w:firstLine="640" w:firstLineChars="2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3、主动向前一步，更好地满足企业的个性化需求。针对本次反映的因事先不了解某些申请材料导致办理时间延长、水表计量与实际使用不符、水表箱有异常等问题，建议把服务从“企业来申请我才办”变成“主动帮企业办好”。在申请阶段，探索提供办理方案</w:t>
      </w:r>
      <w:r>
        <w:rPr>
          <w:rFonts w:ascii="仿宋_GB2312" w:eastAsia="仿宋_GB2312"/>
          <w:sz w:val="32"/>
          <w:szCs w:val="32"/>
        </w:rPr>
        <w:t>+</w:t>
      </w:r>
      <w:r>
        <w:rPr>
          <w:rFonts w:hint="eastAsia" w:ascii="仿宋_GB2312" w:eastAsia="仿宋_GB2312"/>
          <w:sz w:val="32"/>
          <w:szCs w:val="32"/>
        </w:rPr>
        <w:t>材料代办</w:t>
      </w:r>
      <w:r>
        <w:rPr>
          <w:rFonts w:ascii="仿宋_GB2312" w:eastAsia="仿宋_GB2312"/>
          <w:sz w:val="32"/>
          <w:szCs w:val="32"/>
        </w:rPr>
        <w:t>+</w:t>
      </w:r>
      <w:r>
        <w:rPr>
          <w:rFonts w:hint="eastAsia" w:ascii="仿宋_GB2312" w:eastAsia="仿宋_GB2312"/>
          <w:sz w:val="32"/>
          <w:szCs w:val="32"/>
        </w:rPr>
        <w:t>进度告知的一站式服务，减少企业自己摸索的时间和成本；在日常服务上，可以逐步增加设计咨询、进度查询、用水诊断等延伸服务，用更专业、更细致的服务回应企业需求，在保持满意率100%的基础上做得更好，持续巩固本市供水接入服务的领先优势。</w:t>
      </w:r>
    </w:p>
    <w:p w14:paraId="1A5FE681">
      <w:pPr>
        <w:ind w:right="140" w:firstLine="640" w:firstLineChars="200"/>
        <w:jc w:val="left"/>
        <w:rPr>
          <w:rFonts w:ascii="仿宋_GB2312" w:eastAsia="仿宋_GB2312"/>
          <w:color w:val="FF0000"/>
          <w:sz w:val="32"/>
          <w:szCs w:val="32"/>
        </w:rPr>
      </w:pPr>
    </w:p>
    <w:p w14:paraId="3EB2AFDE">
      <w:pPr>
        <w:ind w:right="140" w:firstLine="640" w:firstLineChars="200"/>
        <w:jc w:val="left"/>
        <w:rPr>
          <w:rFonts w:ascii="仿宋_GB2312" w:eastAsia="仿宋_GB2312"/>
          <w:sz w:val="32"/>
          <w:szCs w:val="32"/>
        </w:rPr>
      </w:pPr>
    </w:p>
    <w:p w14:paraId="1F8B8F50">
      <w:pPr>
        <w:ind w:right="140" w:firstLine="640" w:firstLineChars="200"/>
        <w:jc w:val="left"/>
        <w:rPr>
          <w:rFonts w:ascii="仿宋_GB2312" w:eastAsia="仿宋_GB2312"/>
          <w:sz w:val="32"/>
          <w:szCs w:val="32"/>
        </w:rPr>
      </w:pPr>
    </w:p>
    <w:p w14:paraId="1AD412A9">
      <w:pPr>
        <w:pStyle w:val="14"/>
        <w:jc w:val="left"/>
        <w:rPr>
          <w:rFonts w:ascii="仿宋" w:hAnsi="仿宋" w:eastAsia="仿宋"/>
        </w:rPr>
      </w:pPr>
      <w:bookmarkStart w:id="22" w:name="_Toc145100764"/>
      <w:r>
        <w:rPr>
          <w:rFonts w:hint="eastAsia" w:ascii="仿宋" w:hAnsi="仿宋" w:eastAsia="仿宋"/>
        </w:rPr>
        <w:t>附：受访者提出的意见建议</w:t>
      </w:r>
      <w:bookmarkEnd w:id="22"/>
    </w:p>
    <w:tbl>
      <w:tblPr>
        <w:tblStyle w:val="16"/>
        <w:tblW w:w="8428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3"/>
        <w:gridCol w:w="1414"/>
        <w:gridCol w:w="6301"/>
      </w:tblGrid>
      <w:tr w14:paraId="1F0D26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8" w:hRule="atLeast"/>
          <w:tblHeader/>
        </w:trPr>
        <w:tc>
          <w:tcPr>
            <w:tcW w:w="713" w:type="dxa"/>
            <w:shd w:val="clear" w:color="auto" w:fill="auto"/>
            <w:noWrap/>
            <w:vAlign w:val="center"/>
          </w:tcPr>
          <w:p w14:paraId="2A3FE10C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</w:rPr>
              <w:t>序号</w:t>
            </w:r>
          </w:p>
        </w:tc>
        <w:tc>
          <w:tcPr>
            <w:tcW w:w="1414" w:type="dxa"/>
            <w:shd w:val="clear" w:color="auto" w:fill="auto"/>
            <w:noWrap/>
            <w:vAlign w:val="center"/>
          </w:tcPr>
          <w:p w14:paraId="6FA946CC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</w:rPr>
              <w:t>类型</w:t>
            </w:r>
          </w:p>
        </w:tc>
        <w:tc>
          <w:tcPr>
            <w:tcW w:w="6301" w:type="dxa"/>
            <w:shd w:val="clear" w:color="auto" w:fill="auto"/>
            <w:noWrap/>
            <w:vAlign w:val="center"/>
          </w:tcPr>
          <w:p w14:paraId="4FDE526E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</w:rPr>
              <w:t>意见建议</w:t>
            </w:r>
          </w:p>
        </w:tc>
      </w:tr>
      <w:tr w14:paraId="0A17DD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713" w:type="dxa"/>
            <w:shd w:val="clear" w:color="auto" w:fill="auto"/>
            <w:noWrap/>
            <w:vAlign w:val="center"/>
          </w:tcPr>
          <w:p w14:paraId="14955F1E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1</w:t>
            </w:r>
          </w:p>
        </w:tc>
        <w:tc>
          <w:tcPr>
            <w:tcW w:w="1414" w:type="dxa"/>
            <w:shd w:val="clear" w:color="auto" w:fill="auto"/>
            <w:noWrap/>
            <w:vAlign w:val="center"/>
          </w:tcPr>
          <w:p w14:paraId="416EAC4F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表扬勉励</w:t>
            </w:r>
          </w:p>
        </w:tc>
        <w:tc>
          <w:tcPr>
            <w:tcW w:w="6301" w:type="dxa"/>
            <w:shd w:val="clear" w:color="auto" w:fill="auto"/>
            <w:noWrap/>
            <w:vAlign w:val="center"/>
          </w:tcPr>
          <w:p w14:paraId="0500C87C">
            <w:pPr>
              <w:widowControl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态度好、效率高。</w:t>
            </w:r>
          </w:p>
        </w:tc>
      </w:tr>
      <w:tr w14:paraId="549058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5" w:hRule="atLeast"/>
        </w:trPr>
        <w:tc>
          <w:tcPr>
            <w:tcW w:w="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BD7976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2</w:t>
            </w:r>
          </w:p>
        </w:tc>
        <w:tc>
          <w:tcPr>
            <w:tcW w:w="14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E963B5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表扬勉励</w:t>
            </w:r>
          </w:p>
        </w:tc>
        <w:tc>
          <w:tcPr>
            <w:tcW w:w="6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A2E74E">
            <w:pPr>
              <w:widowControl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因为是第一次办理，一开始不知道需要准备什么材料，去了一趟城投水务，工作人员告知了需要的材料，讲得很清楚。后面办理一次通过，没有白跑。施工的时候，为了不影响市民的通行和生活，项目安排在晚上8点半至凌晨4点半期间施工，施工人员熬夜工作非常辛苦，值得表扬。</w:t>
            </w:r>
          </w:p>
        </w:tc>
      </w:tr>
      <w:tr w14:paraId="282B38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713" w:type="dxa"/>
            <w:shd w:val="clear" w:color="auto" w:fill="auto"/>
            <w:noWrap/>
            <w:vAlign w:val="center"/>
          </w:tcPr>
          <w:p w14:paraId="50AA366C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3</w:t>
            </w:r>
          </w:p>
        </w:tc>
        <w:tc>
          <w:tcPr>
            <w:tcW w:w="1414" w:type="dxa"/>
            <w:shd w:val="clear" w:color="auto" w:fill="auto"/>
            <w:noWrap/>
            <w:vAlign w:val="center"/>
          </w:tcPr>
          <w:p w14:paraId="2CF6BF34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表扬勉励</w:t>
            </w:r>
          </w:p>
        </w:tc>
        <w:tc>
          <w:tcPr>
            <w:tcW w:w="6301" w:type="dxa"/>
            <w:shd w:val="clear" w:color="auto" w:fill="auto"/>
            <w:noWrap/>
            <w:vAlign w:val="center"/>
          </w:tcPr>
          <w:p w14:paraId="7794F295">
            <w:pPr>
              <w:widowControl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申请时表示希望加急，后续过程效率很高，非常满意。</w:t>
            </w:r>
          </w:p>
        </w:tc>
      </w:tr>
      <w:tr w14:paraId="1980B1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1" w:hRule="atLeast"/>
        </w:trPr>
        <w:tc>
          <w:tcPr>
            <w:tcW w:w="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DA0A8F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4</w:t>
            </w:r>
          </w:p>
        </w:tc>
        <w:tc>
          <w:tcPr>
            <w:tcW w:w="14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D3E8F7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用户需求</w:t>
            </w:r>
          </w:p>
        </w:tc>
        <w:tc>
          <w:tcPr>
            <w:tcW w:w="6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9D1D7B">
            <w:pPr>
              <w:widowControl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现场查勘期间告知要补开路许可证和设计图纸。因为不知道如何设计图纸，现场查勘的工作人员推荐了设计公司。之后，两个材料都由设计公司办妥，花费2万，感觉有点贵。希望自来水公司能自己提供该类服务，费用设定在可接受的合理范围内，为企业提供一站式服务。比如安装燃气，虽有收费服务，但可以一步到位，节约时间和成本。因为必须有设计图纸才能办开路许可证，本来供水接入只需十几天，却因为设计图纸多增加了2-3个月，也造成了水费损失。接入前食堂的用水是从远处小区接的，因为距离较远，中间有损耗，导致用水量大，也造成了浪费和经济损失。</w:t>
            </w:r>
          </w:p>
        </w:tc>
      </w:tr>
      <w:tr w14:paraId="480061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8" w:hRule="atLeast"/>
        </w:trPr>
        <w:tc>
          <w:tcPr>
            <w:tcW w:w="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447AC6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5</w:t>
            </w:r>
          </w:p>
        </w:tc>
        <w:tc>
          <w:tcPr>
            <w:tcW w:w="14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26F31E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用户需求</w:t>
            </w:r>
          </w:p>
        </w:tc>
        <w:tc>
          <w:tcPr>
            <w:tcW w:w="6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49A308">
            <w:pPr>
              <w:widowControl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项目现场刚安装还没使用，水表上就产生了20个字的水费，安装师傅没有查找原因。只能自己打热线电话问，自来水公司说3个月后账单出来后可以免掉。目前账单还没出来，希望自来水公司安装的时候能再仔细一点，检查好水表是否正常。同时也希望出现问题要主动解决，并告知用户处理方案，而不是让用户自己去想办法处理。</w:t>
            </w:r>
          </w:p>
        </w:tc>
      </w:tr>
      <w:tr w14:paraId="1E75C3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AEB49B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6</w:t>
            </w:r>
          </w:p>
        </w:tc>
        <w:tc>
          <w:tcPr>
            <w:tcW w:w="14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538AF5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用户需求</w:t>
            </w:r>
          </w:p>
        </w:tc>
        <w:tc>
          <w:tcPr>
            <w:tcW w:w="6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069B04">
            <w:pPr>
              <w:widowControl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水表箱松动、有响声。</w:t>
            </w:r>
          </w:p>
        </w:tc>
      </w:tr>
    </w:tbl>
    <w:p w14:paraId="08DE40A0">
      <w:pPr>
        <w:ind w:left="-283" w:leftChars="-135" w:right="140"/>
        <w:jc w:val="left"/>
        <w:rPr>
          <w:rFonts w:ascii="仿宋_GB2312" w:eastAsia="仿宋_GB2312"/>
          <w:sz w:val="32"/>
          <w:szCs w:val="32"/>
        </w:rPr>
      </w:pPr>
    </w:p>
    <w:sectPr>
      <w:headerReference r:id="rId4" w:type="default"/>
      <w:footerReference r:id="rId5" w:type="default"/>
      <w:pgSz w:w="11906" w:h="16838"/>
      <w:pgMar w:top="1440" w:right="1800" w:bottom="1440" w:left="1800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D7F4CD">
    <w:pPr>
      <w:pStyle w:val="8"/>
      <w:pBdr>
        <w:top w:val="single" w:color="auto" w:sz="4" w:space="1"/>
      </w:pBdr>
      <w:ind w:left="-105" w:leftChars="-50" w:firstLine="720" w:firstLineChars="400"/>
    </w:pPr>
    <w:r>
      <w:rPr>
        <w:rFonts w:hint="eastAsia" w:ascii="华文新魏" w:eastAsia="华文新魏"/>
        <w:szCs w:val="21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9525</wp:posOffset>
          </wp:positionH>
          <wp:positionV relativeFrom="paragraph">
            <wp:posOffset>35560</wp:posOffset>
          </wp:positionV>
          <wp:extent cx="285750" cy="285750"/>
          <wp:effectExtent l="0" t="0" r="0" b="0"/>
          <wp:wrapSquare wrapText="bothSides"/>
          <wp:docPr id="5" name="图片 25" descr="唛头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图片 25" descr="唛头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85750" cy="28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hint="eastAsia" w:ascii="华文新魏" w:eastAsia="华文新魏"/>
        <w:sz w:val="21"/>
        <w:szCs w:val="21"/>
      </w:rPr>
      <w:t xml:space="preserve">上海质量认证咨询中心            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10</w:t>
    </w:r>
    <w:r>
      <w:rPr>
        <w:lang w:val="zh-CN"/>
      </w:rP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2D0BE6">
    <w:pPr>
      <w:pStyle w:val="9"/>
    </w:pPr>
    <w:r>
      <w:rPr>
        <w:rFonts w:hint="eastAsia"/>
      </w:rPr>
      <w:t>202</w:t>
    </w:r>
    <w:r>
      <w:t>6</w:t>
    </w:r>
    <w:r>
      <w:rPr>
        <w:rFonts w:hint="eastAsia"/>
      </w:rPr>
      <w:t>年上海市供水接入服务质量调查报告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FD594F">
    <w:pPr>
      <w:pStyle w:val="9"/>
    </w:pPr>
    <w:r>
      <w:rPr>
        <w:rFonts w:hint="eastAsia"/>
      </w:rPr>
      <w:t>202</w:t>
    </w:r>
    <w:r>
      <w:t>6</w:t>
    </w:r>
    <w:r>
      <w:rPr>
        <w:rFonts w:hint="eastAsia"/>
      </w:rPr>
      <w:t>年上海市供水接入服务质量调查报告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9"/>
  <w:embedSystem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627D3"/>
    <w:rsid w:val="000010FD"/>
    <w:rsid w:val="00001F80"/>
    <w:rsid w:val="00010577"/>
    <w:rsid w:val="00011C10"/>
    <w:rsid w:val="00020977"/>
    <w:rsid w:val="000225CB"/>
    <w:rsid w:val="00023C2B"/>
    <w:rsid w:val="00023C6F"/>
    <w:rsid w:val="0002466A"/>
    <w:rsid w:val="00024E1A"/>
    <w:rsid w:val="00026CD7"/>
    <w:rsid w:val="00031EB3"/>
    <w:rsid w:val="00032228"/>
    <w:rsid w:val="00036C08"/>
    <w:rsid w:val="00041F1F"/>
    <w:rsid w:val="00050F7F"/>
    <w:rsid w:val="000527E9"/>
    <w:rsid w:val="00054FEC"/>
    <w:rsid w:val="00056CDF"/>
    <w:rsid w:val="00056CF4"/>
    <w:rsid w:val="000635B7"/>
    <w:rsid w:val="00066D58"/>
    <w:rsid w:val="00071161"/>
    <w:rsid w:val="00074070"/>
    <w:rsid w:val="000864DC"/>
    <w:rsid w:val="00090FD0"/>
    <w:rsid w:val="0009425A"/>
    <w:rsid w:val="00095594"/>
    <w:rsid w:val="000970FB"/>
    <w:rsid w:val="000A564F"/>
    <w:rsid w:val="000A6379"/>
    <w:rsid w:val="000B30B1"/>
    <w:rsid w:val="000B3732"/>
    <w:rsid w:val="000B37C9"/>
    <w:rsid w:val="000B526E"/>
    <w:rsid w:val="000B5834"/>
    <w:rsid w:val="000B589C"/>
    <w:rsid w:val="000C2043"/>
    <w:rsid w:val="000C5235"/>
    <w:rsid w:val="000D0C11"/>
    <w:rsid w:val="000D439F"/>
    <w:rsid w:val="000D5C4F"/>
    <w:rsid w:val="000D7239"/>
    <w:rsid w:val="000D7DDD"/>
    <w:rsid w:val="000E1736"/>
    <w:rsid w:val="000E4071"/>
    <w:rsid w:val="000F094C"/>
    <w:rsid w:val="001025D5"/>
    <w:rsid w:val="00105CD1"/>
    <w:rsid w:val="00106F37"/>
    <w:rsid w:val="001125A5"/>
    <w:rsid w:val="001125D7"/>
    <w:rsid w:val="00115FA2"/>
    <w:rsid w:val="00116AC0"/>
    <w:rsid w:val="00120E73"/>
    <w:rsid w:val="00123E65"/>
    <w:rsid w:val="00130762"/>
    <w:rsid w:val="0013560B"/>
    <w:rsid w:val="00140876"/>
    <w:rsid w:val="00140C37"/>
    <w:rsid w:val="00141927"/>
    <w:rsid w:val="00142713"/>
    <w:rsid w:val="001452FB"/>
    <w:rsid w:val="0014538A"/>
    <w:rsid w:val="00146E37"/>
    <w:rsid w:val="00150172"/>
    <w:rsid w:val="00151E9E"/>
    <w:rsid w:val="0015392D"/>
    <w:rsid w:val="001546E8"/>
    <w:rsid w:val="0015493B"/>
    <w:rsid w:val="00162844"/>
    <w:rsid w:val="001645A4"/>
    <w:rsid w:val="00166BCE"/>
    <w:rsid w:val="001674D3"/>
    <w:rsid w:val="00171966"/>
    <w:rsid w:val="0017701C"/>
    <w:rsid w:val="00177504"/>
    <w:rsid w:val="00177D82"/>
    <w:rsid w:val="0018240F"/>
    <w:rsid w:val="00183DFC"/>
    <w:rsid w:val="00186B2C"/>
    <w:rsid w:val="00191C0D"/>
    <w:rsid w:val="00191EE3"/>
    <w:rsid w:val="001930EC"/>
    <w:rsid w:val="00193263"/>
    <w:rsid w:val="00193619"/>
    <w:rsid w:val="0019509D"/>
    <w:rsid w:val="0019727C"/>
    <w:rsid w:val="00197451"/>
    <w:rsid w:val="00197DF7"/>
    <w:rsid w:val="001A404D"/>
    <w:rsid w:val="001B1F3F"/>
    <w:rsid w:val="001B1FFB"/>
    <w:rsid w:val="001B34E0"/>
    <w:rsid w:val="001B7384"/>
    <w:rsid w:val="001C25EA"/>
    <w:rsid w:val="001C47B3"/>
    <w:rsid w:val="001C4834"/>
    <w:rsid w:val="001D4CEC"/>
    <w:rsid w:val="001E0141"/>
    <w:rsid w:val="001E2449"/>
    <w:rsid w:val="001E266A"/>
    <w:rsid w:val="001E59A5"/>
    <w:rsid w:val="001E5B2B"/>
    <w:rsid w:val="001E5CFF"/>
    <w:rsid w:val="001E5F81"/>
    <w:rsid w:val="001E6BF3"/>
    <w:rsid w:val="001F2304"/>
    <w:rsid w:val="001F3B89"/>
    <w:rsid w:val="001F63D0"/>
    <w:rsid w:val="00200E37"/>
    <w:rsid w:val="00201DF0"/>
    <w:rsid w:val="0020276F"/>
    <w:rsid w:val="00203F8A"/>
    <w:rsid w:val="00206735"/>
    <w:rsid w:val="00215417"/>
    <w:rsid w:val="002213D0"/>
    <w:rsid w:val="00222681"/>
    <w:rsid w:val="00223F02"/>
    <w:rsid w:val="00227355"/>
    <w:rsid w:val="00234549"/>
    <w:rsid w:val="00235D8A"/>
    <w:rsid w:val="0024011D"/>
    <w:rsid w:val="00251316"/>
    <w:rsid w:val="002531F2"/>
    <w:rsid w:val="0025320E"/>
    <w:rsid w:val="00257551"/>
    <w:rsid w:val="002606C9"/>
    <w:rsid w:val="00261F17"/>
    <w:rsid w:val="00270987"/>
    <w:rsid w:val="00283566"/>
    <w:rsid w:val="0029065E"/>
    <w:rsid w:val="00290971"/>
    <w:rsid w:val="00292602"/>
    <w:rsid w:val="00295C25"/>
    <w:rsid w:val="002A0DAD"/>
    <w:rsid w:val="002A2A2F"/>
    <w:rsid w:val="002B1DB8"/>
    <w:rsid w:val="002B3418"/>
    <w:rsid w:val="002C49C7"/>
    <w:rsid w:val="002C54DA"/>
    <w:rsid w:val="002C5F3C"/>
    <w:rsid w:val="002D0DFE"/>
    <w:rsid w:val="002D229E"/>
    <w:rsid w:val="002E7F44"/>
    <w:rsid w:val="002F0A90"/>
    <w:rsid w:val="002F4D42"/>
    <w:rsid w:val="002F6603"/>
    <w:rsid w:val="00304664"/>
    <w:rsid w:val="00305166"/>
    <w:rsid w:val="00305A1C"/>
    <w:rsid w:val="00305B53"/>
    <w:rsid w:val="00313142"/>
    <w:rsid w:val="00315E19"/>
    <w:rsid w:val="00317647"/>
    <w:rsid w:val="00320D33"/>
    <w:rsid w:val="00334FA7"/>
    <w:rsid w:val="00336D77"/>
    <w:rsid w:val="003371B7"/>
    <w:rsid w:val="00340A1B"/>
    <w:rsid w:val="00341319"/>
    <w:rsid w:val="00344027"/>
    <w:rsid w:val="00351515"/>
    <w:rsid w:val="0035268D"/>
    <w:rsid w:val="003579D8"/>
    <w:rsid w:val="003607B7"/>
    <w:rsid w:val="003735EA"/>
    <w:rsid w:val="003740DF"/>
    <w:rsid w:val="00376B20"/>
    <w:rsid w:val="00380963"/>
    <w:rsid w:val="003810BA"/>
    <w:rsid w:val="003826D5"/>
    <w:rsid w:val="003848BE"/>
    <w:rsid w:val="00385915"/>
    <w:rsid w:val="003876BF"/>
    <w:rsid w:val="003914B4"/>
    <w:rsid w:val="00391E04"/>
    <w:rsid w:val="00394EAE"/>
    <w:rsid w:val="00395F58"/>
    <w:rsid w:val="003A554D"/>
    <w:rsid w:val="003B2A59"/>
    <w:rsid w:val="003B2F9A"/>
    <w:rsid w:val="003C0876"/>
    <w:rsid w:val="003D1E33"/>
    <w:rsid w:val="003D7B1F"/>
    <w:rsid w:val="003E04B6"/>
    <w:rsid w:val="003E1815"/>
    <w:rsid w:val="003E5460"/>
    <w:rsid w:val="003F05FE"/>
    <w:rsid w:val="003F28D5"/>
    <w:rsid w:val="003F3867"/>
    <w:rsid w:val="00400672"/>
    <w:rsid w:val="004064B4"/>
    <w:rsid w:val="004076D3"/>
    <w:rsid w:val="004175DE"/>
    <w:rsid w:val="004237AD"/>
    <w:rsid w:val="00426DE3"/>
    <w:rsid w:val="00427235"/>
    <w:rsid w:val="004327E9"/>
    <w:rsid w:val="0043300E"/>
    <w:rsid w:val="0043335E"/>
    <w:rsid w:val="00433E19"/>
    <w:rsid w:val="00434F2A"/>
    <w:rsid w:val="00436855"/>
    <w:rsid w:val="00437FB0"/>
    <w:rsid w:val="00442285"/>
    <w:rsid w:val="0044326E"/>
    <w:rsid w:val="00444F96"/>
    <w:rsid w:val="00445AA6"/>
    <w:rsid w:val="004470CC"/>
    <w:rsid w:val="00447278"/>
    <w:rsid w:val="00451B7F"/>
    <w:rsid w:val="004561C3"/>
    <w:rsid w:val="00466B7A"/>
    <w:rsid w:val="0047272A"/>
    <w:rsid w:val="004753CD"/>
    <w:rsid w:val="0047626D"/>
    <w:rsid w:val="004803F7"/>
    <w:rsid w:val="004967F7"/>
    <w:rsid w:val="004A0909"/>
    <w:rsid w:val="004A0A3D"/>
    <w:rsid w:val="004A154E"/>
    <w:rsid w:val="004A381F"/>
    <w:rsid w:val="004A3D21"/>
    <w:rsid w:val="004A6C64"/>
    <w:rsid w:val="004A779F"/>
    <w:rsid w:val="004B0A8B"/>
    <w:rsid w:val="004B31EF"/>
    <w:rsid w:val="004B342D"/>
    <w:rsid w:val="004B701B"/>
    <w:rsid w:val="004C01EA"/>
    <w:rsid w:val="004C0B8E"/>
    <w:rsid w:val="004C0EAE"/>
    <w:rsid w:val="004C290B"/>
    <w:rsid w:val="004C3B51"/>
    <w:rsid w:val="004C44AF"/>
    <w:rsid w:val="004C4E9D"/>
    <w:rsid w:val="004C60E4"/>
    <w:rsid w:val="004C6389"/>
    <w:rsid w:val="004D0A20"/>
    <w:rsid w:val="004D1670"/>
    <w:rsid w:val="004D1721"/>
    <w:rsid w:val="004D22B8"/>
    <w:rsid w:val="004D2590"/>
    <w:rsid w:val="004D3364"/>
    <w:rsid w:val="004E0F1F"/>
    <w:rsid w:val="004E295E"/>
    <w:rsid w:val="004E3CA0"/>
    <w:rsid w:val="004E4361"/>
    <w:rsid w:val="004E7049"/>
    <w:rsid w:val="004F1AA1"/>
    <w:rsid w:val="004F2DEB"/>
    <w:rsid w:val="004F6E0C"/>
    <w:rsid w:val="00501D64"/>
    <w:rsid w:val="005049AC"/>
    <w:rsid w:val="005079FD"/>
    <w:rsid w:val="00507FC6"/>
    <w:rsid w:val="00511AC5"/>
    <w:rsid w:val="00511B99"/>
    <w:rsid w:val="005134DF"/>
    <w:rsid w:val="0051516A"/>
    <w:rsid w:val="0051766F"/>
    <w:rsid w:val="00520DD8"/>
    <w:rsid w:val="00522313"/>
    <w:rsid w:val="00525926"/>
    <w:rsid w:val="00525EA3"/>
    <w:rsid w:val="00533630"/>
    <w:rsid w:val="00535A4E"/>
    <w:rsid w:val="00536747"/>
    <w:rsid w:val="00542E45"/>
    <w:rsid w:val="00547AD0"/>
    <w:rsid w:val="00551FBF"/>
    <w:rsid w:val="005530FA"/>
    <w:rsid w:val="00563A2D"/>
    <w:rsid w:val="00572BA2"/>
    <w:rsid w:val="00573CAA"/>
    <w:rsid w:val="00574143"/>
    <w:rsid w:val="00574D08"/>
    <w:rsid w:val="005762ED"/>
    <w:rsid w:val="00576909"/>
    <w:rsid w:val="0057704F"/>
    <w:rsid w:val="005801AA"/>
    <w:rsid w:val="00587C9F"/>
    <w:rsid w:val="00590A70"/>
    <w:rsid w:val="005942C8"/>
    <w:rsid w:val="00597E6B"/>
    <w:rsid w:val="005A2DD4"/>
    <w:rsid w:val="005A3401"/>
    <w:rsid w:val="005A4DF8"/>
    <w:rsid w:val="005A75B9"/>
    <w:rsid w:val="005B6B2E"/>
    <w:rsid w:val="005C1159"/>
    <w:rsid w:val="005C1D41"/>
    <w:rsid w:val="005C4E4C"/>
    <w:rsid w:val="005C71F7"/>
    <w:rsid w:val="005C7D56"/>
    <w:rsid w:val="005D2D76"/>
    <w:rsid w:val="005D38CC"/>
    <w:rsid w:val="005D6171"/>
    <w:rsid w:val="005D69A1"/>
    <w:rsid w:val="005E0DA8"/>
    <w:rsid w:val="005E0EA2"/>
    <w:rsid w:val="005E5A40"/>
    <w:rsid w:val="005E7C46"/>
    <w:rsid w:val="005F0CB0"/>
    <w:rsid w:val="005F1147"/>
    <w:rsid w:val="005F144F"/>
    <w:rsid w:val="005F1587"/>
    <w:rsid w:val="005F3CC6"/>
    <w:rsid w:val="005F6CF2"/>
    <w:rsid w:val="0060215A"/>
    <w:rsid w:val="00603D8D"/>
    <w:rsid w:val="00607EEE"/>
    <w:rsid w:val="00611CBA"/>
    <w:rsid w:val="006122FA"/>
    <w:rsid w:val="00614FF1"/>
    <w:rsid w:val="00617318"/>
    <w:rsid w:val="006178D9"/>
    <w:rsid w:val="00623A16"/>
    <w:rsid w:val="00625293"/>
    <w:rsid w:val="00631E73"/>
    <w:rsid w:val="00632B0D"/>
    <w:rsid w:val="006332C8"/>
    <w:rsid w:val="00635D18"/>
    <w:rsid w:val="00640718"/>
    <w:rsid w:val="006424C9"/>
    <w:rsid w:val="006429C0"/>
    <w:rsid w:val="00645A41"/>
    <w:rsid w:val="00645DC8"/>
    <w:rsid w:val="00650F12"/>
    <w:rsid w:val="00655963"/>
    <w:rsid w:val="00657AEC"/>
    <w:rsid w:val="00662A05"/>
    <w:rsid w:val="00664BD6"/>
    <w:rsid w:val="00671628"/>
    <w:rsid w:val="0067652B"/>
    <w:rsid w:val="00681174"/>
    <w:rsid w:val="006819A0"/>
    <w:rsid w:val="006848EF"/>
    <w:rsid w:val="00685C13"/>
    <w:rsid w:val="00686612"/>
    <w:rsid w:val="00692FD3"/>
    <w:rsid w:val="00693A0A"/>
    <w:rsid w:val="006947B8"/>
    <w:rsid w:val="00697130"/>
    <w:rsid w:val="006A032E"/>
    <w:rsid w:val="006A685E"/>
    <w:rsid w:val="006A7C0D"/>
    <w:rsid w:val="006B1115"/>
    <w:rsid w:val="006B1AA1"/>
    <w:rsid w:val="006B7585"/>
    <w:rsid w:val="006C6BBD"/>
    <w:rsid w:val="006C7AB2"/>
    <w:rsid w:val="006C7F19"/>
    <w:rsid w:val="006D53CC"/>
    <w:rsid w:val="006D5883"/>
    <w:rsid w:val="006D6458"/>
    <w:rsid w:val="006E3289"/>
    <w:rsid w:val="006F044D"/>
    <w:rsid w:val="006F239D"/>
    <w:rsid w:val="006F2DA8"/>
    <w:rsid w:val="00704795"/>
    <w:rsid w:val="00704C02"/>
    <w:rsid w:val="00704F30"/>
    <w:rsid w:val="007106DC"/>
    <w:rsid w:val="00710934"/>
    <w:rsid w:val="00713718"/>
    <w:rsid w:val="00716D9F"/>
    <w:rsid w:val="00717589"/>
    <w:rsid w:val="0072226F"/>
    <w:rsid w:val="0072240E"/>
    <w:rsid w:val="00722489"/>
    <w:rsid w:val="0072306B"/>
    <w:rsid w:val="00725392"/>
    <w:rsid w:val="00725762"/>
    <w:rsid w:val="00731DEC"/>
    <w:rsid w:val="007320FA"/>
    <w:rsid w:val="00733104"/>
    <w:rsid w:val="00734A46"/>
    <w:rsid w:val="007357F1"/>
    <w:rsid w:val="00735B97"/>
    <w:rsid w:val="00736DD5"/>
    <w:rsid w:val="00737171"/>
    <w:rsid w:val="00754105"/>
    <w:rsid w:val="0075527C"/>
    <w:rsid w:val="0075653F"/>
    <w:rsid w:val="00757915"/>
    <w:rsid w:val="00767B00"/>
    <w:rsid w:val="00770BE3"/>
    <w:rsid w:val="00776347"/>
    <w:rsid w:val="00782030"/>
    <w:rsid w:val="007848C9"/>
    <w:rsid w:val="0078637B"/>
    <w:rsid w:val="007941A1"/>
    <w:rsid w:val="00797081"/>
    <w:rsid w:val="007A0276"/>
    <w:rsid w:val="007A1DC1"/>
    <w:rsid w:val="007A42C8"/>
    <w:rsid w:val="007A75E3"/>
    <w:rsid w:val="007B32EA"/>
    <w:rsid w:val="007B5907"/>
    <w:rsid w:val="007B67A7"/>
    <w:rsid w:val="007C0F48"/>
    <w:rsid w:val="007D11F5"/>
    <w:rsid w:val="007D2376"/>
    <w:rsid w:val="007D2886"/>
    <w:rsid w:val="007D5911"/>
    <w:rsid w:val="007D6547"/>
    <w:rsid w:val="007E147C"/>
    <w:rsid w:val="007E2FB5"/>
    <w:rsid w:val="007E3342"/>
    <w:rsid w:val="007E43D8"/>
    <w:rsid w:val="007E448C"/>
    <w:rsid w:val="007E69DD"/>
    <w:rsid w:val="007F30A2"/>
    <w:rsid w:val="008008BD"/>
    <w:rsid w:val="00801EEE"/>
    <w:rsid w:val="0080439C"/>
    <w:rsid w:val="00813237"/>
    <w:rsid w:val="00817131"/>
    <w:rsid w:val="00822EF4"/>
    <w:rsid w:val="00824FA5"/>
    <w:rsid w:val="0082727C"/>
    <w:rsid w:val="00836077"/>
    <w:rsid w:val="00837D26"/>
    <w:rsid w:val="00845D10"/>
    <w:rsid w:val="0085192C"/>
    <w:rsid w:val="00855DB5"/>
    <w:rsid w:val="00862C75"/>
    <w:rsid w:val="008661C6"/>
    <w:rsid w:val="008676D6"/>
    <w:rsid w:val="0086784A"/>
    <w:rsid w:val="00871A00"/>
    <w:rsid w:val="0087221E"/>
    <w:rsid w:val="00880EA5"/>
    <w:rsid w:val="008812BC"/>
    <w:rsid w:val="00887461"/>
    <w:rsid w:val="00887BAC"/>
    <w:rsid w:val="00893FB6"/>
    <w:rsid w:val="00896974"/>
    <w:rsid w:val="00896A2A"/>
    <w:rsid w:val="008A15A5"/>
    <w:rsid w:val="008A509D"/>
    <w:rsid w:val="008A568A"/>
    <w:rsid w:val="008B288C"/>
    <w:rsid w:val="008C3A0C"/>
    <w:rsid w:val="008C596F"/>
    <w:rsid w:val="008D3016"/>
    <w:rsid w:val="008D4A05"/>
    <w:rsid w:val="008D67A9"/>
    <w:rsid w:val="008D700D"/>
    <w:rsid w:val="008D73DD"/>
    <w:rsid w:val="008E0115"/>
    <w:rsid w:val="008E3071"/>
    <w:rsid w:val="008E5070"/>
    <w:rsid w:val="008E567A"/>
    <w:rsid w:val="008E5F25"/>
    <w:rsid w:val="008E6EA7"/>
    <w:rsid w:val="008E7488"/>
    <w:rsid w:val="008F046E"/>
    <w:rsid w:val="008F2487"/>
    <w:rsid w:val="008F37D1"/>
    <w:rsid w:val="008F685D"/>
    <w:rsid w:val="00905E5D"/>
    <w:rsid w:val="00910C78"/>
    <w:rsid w:val="00910FD7"/>
    <w:rsid w:val="0091293C"/>
    <w:rsid w:val="00915D2F"/>
    <w:rsid w:val="0091619E"/>
    <w:rsid w:val="009169FE"/>
    <w:rsid w:val="0092348C"/>
    <w:rsid w:val="009255FB"/>
    <w:rsid w:val="00931116"/>
    <w:rsid w:val="00935120"/>
    <w:rsid w:val="0093527B"/>
    <w:rsid w:val="0093704B"/>
    <w:rsid w:val="00937312"/>
    <w:rsid w:val="0094411D"/>
    <w:rsid w:val="00944199"/>
    <w:rsid w:val="0094630E"/>
    <w:rsid w:val="009518E8"/>
    <w:rsid w:val="00951E9F"/>
    <w:rsid w:val="0095203B"/>
    <w:rsid w:val="00957145"/>
    <w:rsid w:val="009602DE"/>
    <w:rsid w:val="00960D65"/>
    <w:rsid w:val="009706D8"/>
    <w:rsid w:val="00972521"/>
    <w:rsid w:val="00972CB0"/>
    <w:rsid w:val="00974733"/>
    <w:rsid w:val="009756F8"/>
    <w:rsid w:val="009773D9"/>
    <w:rsid w:val="00977782"/>
    <w:rsid w:val="0098347C"/>
    <w:rsid w:val="00984C53"/>
    <w:rsid w:val="00990731"/>
    <w:rsid w:val="00991A7B"/>
    <w:rsid w:val="009920E1"/>
    <w:rsid w:val="0099417A"/>
    <w:rsid w:val="00994AB4"/>
    <w:rsid w:val="00994F8F"/>
    <w:rsid w:val="00995239"/>
    <w:rsid w:val="009A1DD8"/>
    <w:rsid w:val="009A2442"/>
    <w:rsid w:val="009A2692"/>
    <w:rsid w:val="009A2BE9"/>
    <w:rsid w:val="009A7885"/>
    <w:rsid w:val="009B0395"/>
    <w:rsid w:val="009B7110"/>
    <w:rsid w:val="009B752D"/>
    <w:rsid w:val="009C0FD4"/>
    <w:rsid w:val="009C4D1D"/>
    <w:rsid w:val="009C4DAD"/>
    <w:rsid w:val="009C7519"/>
    <w:rsid w:val="009D152A"/>
    <w:rsid w:val="009D42BC"/>
    <w:rsid w:val="009D7384"/>
    <w:rsid w:val="009D78CB"/>
    <w:rsid w:val="009E0DFC"/>
    <w:rsid w:val="009E352F"/>
    <w:rsid w:val="009E78EE"/>
    <w:rsid w:val="009F3386"/>
    <w:rsid w:val="009F585F"/>
    <w:rsid w:val="009F6B08"/>
    <w:rsid w:val="00A022C8"/>
    <w:rsid w:val="00A11364"/>
    <w:rsid w:val="00A14694"/>
    <w:rsid w:val="00A14A83"/>
    <w:rsid w:val="00A14D40"/>
    <w:rsid w:val="00A2044E"/>
    <w:rsid w:val="00A27E54"/>
    <w:rsid w:val="00A334EC"/>
    <w:rsid w:val="00A34D11"/>
    <w:rsid w:val="00A43156"/>
    <w:rsid w:val="00A443D2"/>
    <w:rsid w:val="00A447B5"/>
    <w:rsid w:val="00A47619"/>
    <w:rsid w:val="00A520F0"/>
    <w:rsid w:val="00A52FE4"/>
    <w:rsid w:val="00A53E5F"/>
    <w:rsid w:val="00A56484"/>
    <w:rsid w:val="00A60963"/>
    <w:rsid w:val="00A627D3"/>
    <w:rsid w:val="00A66688"/>
    <w:rsid w:val="00A7053D"/>
    <w:rsid w:val="00A74F30"/>
    <w:rsid w:val="00A75101"/>
    <w:rsid w:val="00A77BC5"/>
    <w:rsid w:val="00A805E2"/>
    <w:rsid w:val="00A81268"/>
    <w:rsid w:val="00A90DC0"/>
    <w:rsid w:val="00A9243C"/>
    <w:rsid w:val="00A934DB"/>
    <w:rsid w:val="00A93E3B"/>
    <w:rsid w:val="00A970BA"/>
    <w:rsid w:val="00AA1DE3"/>
    <w:rsid w:val="00AA4A39"/>
    <w:rsid w:val="00AB38D5"/>
    <w:rsid w:val="00AB6ADC"/>
    <w:rsid w:val="00AC004E"/>
    <w:rsid w:val="00AC05DB"/>
    <w:rsid w:val="00AC0931"/>
    <w:rsid w:val="00AC4DA4"/>
    <w:rsid w:val="00AD126C"/>
    <w:rsid w:val="00AD25E6"/>
    <w:rsid w:val="00AE108A"/>
    <w:rsid w:val="00AE246A"/>
    <w:rsid w:val="00AE39C7"/>
    <w:rsid w:val="00AE7652"/>
    <w:rsid w:val="00AF2650"/>
    <w:rsid w:val="00AF266E"/>
    <w:rsid w:val="00AF4BA6"/>
    <w:rsid w:val="00AF5CE9"/>
    <w:rsid w:val="00AF7041"/>
    <w:rsid w:val="00B006E2"/>
    <w:rsid w:val="00B01679"/>
    <w:rsid w:val="00B0182D"/>
    <w:rsid w:val="00B02649"/>
    <w:rsid w:val="00B04C92"/>
    <w:rsid w:val="00B1021E"/>
    <w:rsid w:val="00B14520"/>
    <w:rsid w:val="00B14D42"/>
    <w:rsid w:val="00B17512"/>
    <w:rsid w:val="00B2113E"/>
    <w:rsid w:val="00B22147"/>
    <w:rsid w:val="00B23CC9"/>
    <w:rsid w:val="00B24695"/>
    <w:rsid w:val="00B25E26"/>
    <w:rsid w:val="00B320D3"/>
    <w:rsid w:val="00B3558F"/>
    <w:rsid w:val="00B36EE6"/>
    <w:rsid w:val="00B40B4C"/>
    <w:rsid w:val="00B4112A"/>
    <w:rsid w:val="00B41FE0"/>
    <w:rsid w:val="00B50A16"/>
    <w:rsid w:val="00B50B96"/>
    <w:rsid w:val="00B52ACE"/>
    <w:rsid w:val="00B5774A"/>
    <w:rsid w:val="00B62AAC"/>
    <w:rsid w:val="00B65777"/>
    <w:rsid w:val="00B67F7B"/>
    <w:rsid w:val="00B70933"/>
    <w:rsid w:val="00B72623"/>
    <w:rsid w:val="00B8279B"/>
    <w:rsid w:val="00B835FB"/>
    <w:rsid w:val="00B855D3"/>
    <w:rsid w:val="00B909D8"/>
    <w:rsid w:val="00B92DA9"/>
    <w:rsid w:val="00BA0CD3"/>
    <w:rsid w:val="00BA32C4"/>
    <w:rsid w:val="00BA6D9F"/>
    <w:rsid w:val="00BA7E5E"/>
    <w:rsid w:val="00BB4580"/>
    <w:rsid w:val="00BC01CD"/>
    <w:rsid w:val="00BC2F27"/>
    <w:rsid w:val="00BC2F3C"/>
    <w:rsid w:val="00BC5F50"/>
    <w:rsid w:val="00BD1202"/>
    <w:rsid w:val="00BD3856"/>
    <w:rsid w:val="00BD600B"/>
    <w:rsid w:val="00BE020C"/>
    <w:rsid w:val="00BE1FFE"/>
    <w:rsid w:val="00BE2315"/>
    <w:rsid w:val="00BE307B"/>
    <w:rsid w:val="00BE372D"/>
    <w:rsid w:val="00BF03ED"/>
    <w:rsid w:val="00BF1EB9"/>
    <w:rsid w:val="00BF3F91"/>
    <w:rsid w:val="00C00B2F"/>
    <w:rsid w:val="00C028F2"/>
    <w:rsid w:val="00C02B45"/>
    <w:rsid w:val="00C05CDC"/>
    <w:rsid w:val="00C0639D"/>
    <w:rsid w:val="00C068EA"/>
    <w:rsid w:val="00C10CAC"/>
    <w:rsid w:val="00C1442C"/>
    <w:rsid w:val="00C17AA0"/>
    <w:rsid w:val="00C2502B"/>
    <w:rsid w:val="00C30589"/>
    <w:rsid w:val="00C31A87"/>
    <w:rsid w:val="00C333A9"/>
    <w:rsid w:val="00C33CA9"/>
    <w:rsid w:val="00C34FF4"/>
    <w:rsid w:val="00C46689"/>
    <w:rsid w:val="00C502A2"/>
    <w:rsid w:val="00C50BD0"/>
    <w:rsid w:val="00C56536"/>
    <w:rsid w:val="00C60E7A"/>
    <w:rsid w:val="00C615E8"/>
    <w:rsid w:val="00C62C74"/>
    <w:rsid w:val="00C62E80"/>
    <w:rsid w:val="00C64168"/>
    <w:rsid w:val="00C6723B"/>
    <w:rsid w:val="00C67E31"/>
    <w:rsid w:val="00C73441"/>
    <w:rsid w:val="00C734DC"/>
    <w:rsid w:val="00C80E74"/>
    <w:rsid w:val="00C815A5"/>
    <w:rsid w:val="00C821AF"/>
    <w:rsid w:val="00C82FE7"/>
    <w:rsid w:val="00C83F33"/>
    <w:rsid w:val="00C90D03"/>
    <w:rsid w:val="00C913FE"/>
    <w:rsid w:val="00C9293B"/>
    <w:rsid w:val="00C92BBA"/>
    <w:rsid w:val="00C9466D"/>
    <w:rsid w:val="00C9489D"/>
    <w:rsid w:val="00C96EF7"/>
    <w:rsid w:val="00CA3FA8"/>
    <w:rsid w:val="00CB364A"/>
    <w:rsid w:val="00CC2BE6"/>
    <w:rsid w:val="00CC36DD"/>
    <w:rsid w:val="00CC4692"/>
    <w:rsid w:val="00CC5339"/>
    <w:rsid w:val="00CC580F"/>
    <w:rsid w:val="00CC5A7E"/>
    <w:rsid w:val="00CD149C"/>
    <w:rsid w:val="00CD6186"/>
    <w:rsid w:val="00CE2212"/>
    <w:rsid w:val="00CE2E94"/>
    <w:rsid w:val="00CE3E1C"/>
    <w:rsid w:val="00CE42F1"/>
    <w:rsid w:val="00CF4FDC"/>
    <w:rsid w:val="00CF5A68"/>
    <w:rsid w:val="00CF603A"/>
    <w:rsid w:val="00CF6E75"/>
    <w:rsid w:val="00D0239D"/>
    <w:rsid w:val="00D0329F"/>
    <w:rsid w:val="00D032AA"/>
    <w:rsid w:val="00D04511"/>
    <w:rsid w:val="00D05697"/>
    <w:rsid w:val="00D118DD"/>
    <w:rsid w:val="00D1741D"/>
    <w:rsid w:val="00D24930"/>
    <w:rsid w:val="00D24A96"/>
    <w:rsid w:val="00D25872"/>
    <w:rsid w:val="00D264F9"/>
    <w:rsid w:val="00D27474"/>
    <w:rsid w:val="00D31218"/>
    <w:rsid w:val="00D31F3D"/>
    <w:rsid w:val="00D32BA0"/>
    <w:rsid w:val="00D4659B"/>
    <w:rsid w:val="00D4774E"/>
    <w:rsid w:val="00D50254"/>
    <w:rsid w:val="00D50804"/>
    <w:rsid w:val="00D530BF"/>
    <w:rsid w:val="00D546A2"/>
    <w:rsid w:val="00D5515C"/>
    <w:rsid w:val="00D55A54"/>
    <w:rsid w:val="00D57017"/>
    <w:rsid w:val="00D60F67"/>
    <w:rsid w:val="00D6217B"/>
    <w:rsid w:val="00D6287B"/>
    <w:rsid w:val="00D6328B"/>
    <w:rsid w:val="00D632B7"/>
    <w:rsid w:val="00D64BC9"/>
    <w:rsid w:val="00D64F67"/>
    <w:rsid w:val="00D65382"/>
    <w:rsid w:val="00D70517"/>
    <w:rsid w:val="00D71DDA"/>
    <w:rsid w:val="00D7225F"/>
    <w:rsid w:val="00D7488C"/>
    <w:rsid w:val="00D8069A"/>
    <w:rsid w:val="00D8174D"/>
    <w:rsid w:val="00D836AA"/>
    <w:rsid w:val="00D83AB7"/>
    <w:rsid w:val="00D84F6E"/>
    <w:rsid w:val="00D91462"/>
    <w:rsid w:val="00D922D9"/>
    <w:rsid w:val="00D92BE8"/>
    <w:rsid w:val="00DA59D8"/>
    <w:rsid w:val="00DB03D2"/>
    <w:rsid w:val="00DB0515"/>
    <w:rsid w:val="00DB1BC6"/>
    <w:rsid w:val="00DB3A9E"/>
    <w:rsid w:val="00DB691E"/>
    <w:rsid w:val="00DC1808"/>
    <w:rsid w:val="00DC228A"/>
    <w:rsid w:val="00DD2DC7"/>
    <w:rsid w:val="00DD7DFB"/>
    <w:rsid w:val="00DE0B50"/>
    <w:rsid w:val="00DE54A6"/>
    <w:rsid w:val="00DE5598"/>
    <w:rsid w:val="00DF0E7F"/>
    <w:rsid w:val="00DF2507"/>
    <w:rsid w:val="00DF31EE"/>
    <w:rsid w:val="00DF5CE1"/>
    <w:rsid w:val="00E010F4"/>
    <w:rsid w:val="00E06989"/>
    <w:rsid w:val="00E11A7A"/>
    <w:rsid w:val="00E15EFE"/>
    <w:rsid w:val="00E203D8"/>
    <w:rsid w:val="00E216B6"/>
    <w:rsid w:val="00E342DC"/>
    <w:rsid w:val="00E35947"/>
    <w:rsid w:val="00E41AA2"/>
    <w:rsid w:val="00E4478D"/>
    <w:rsid w:val="00E5015F"/>
    <w:rsid w:val="00E57F17"/>
    <w:rsid w:val="00E655A0"/>
    <w:rsid w:val="00E72495"/>
    <w:rsid w:val="00E74407"/>
    <w:rsid w:val="00E7724A"/>
    <w:rsid w:val="00E8590D"/>
    <w:rsid w:val="00E87E82"/>
    <w:rsid w:val="00E9074C"/>
    <w:rsid w:val="00E9179F"/>
    <w:rsid w:val="00E92193"/>
    <w:rsid w:val="00E93CDE"/>
    <w:rsid w:val="00E9456A"/>
    <w:rsid w:val="00EA1CFA"/>
    <w:rsid w:val="00EA286A"/>
    <w:rsid w:val="00EA3702"/>
    <w:rsid w:val="00EB0170"/>
    <w:rsid w:val="00EB0F3E"/>
    <w:rsid w:val="00EB50C8"/>
    <w:rsid w:val="00EB604E"/>
    <w:rsid w:val="00EC6714"/>
    <w:rsid w:val="00ED17DA"/>
    <w:rsid w:val="00ED2DCF"/>
    <w:rsid w:val="00ED2DD6"/>
    <w:rsid w:val="00EE169D"/>
    <w:rsid w:val="00EE1D3B"/>
    <w:rsid w:val="00EE2779"/>
    <w:rsid w:val="00EE58DA"/>
    <w:rsid w:val="00EF00F1"/>
    <w:rsid w:val="00EF493C"/>
    <w:rsid w:val="00F03FE2"/>
    <w:rsid w:val="00F046AB"/>
    <w:rsid w:val="00F04A20"/>
    <w:rsid w:val="00F07AF0"/>
    <w:rsid w:val="00F11C8B"/>
    <w:rsid w:val="00F1535A"/>
    <w:rsid w:val="00F17058"/>
    <w:rsid w:val="00F23555"/>
    <w:rsid w:val="00F270FD"/>
    <w:rsid w:val="00F41B23"/>
    <w:rsid w:val="00F474F3"/>
    <w:rsid w:val="00F54370"/>
    <w:rsid w:val="00F61536"/>
    <w:rsid w:val="00F62F60"/>
    <w:rsid w:val="00F656E1"/>
    <w:rsid w:val="00F66F3F"/>
    <w:rsid w:val="00F66F5A"/>
    <w:rsid w:val="00F76DC0"/>
    <w:rsid w:val="00F81564"/>
    <w:rsid w:val="00F82FB3"/>
    <w:rsid w:val="00F8506D"/>
    <w:rsid w:val="00F857B1"/>
    <w:rsid w:val="00F863D8"/>
    <w:rsid w:val="00F94414"/>
    <w:rsid w:val="00F96E1B"/>
    <w:rsid w:val="00FA4A4B"/>
    <w:rsid w:val="00FB20A3"/>
    <w:rsid w:val="00FB31EC"/>
    <w:rsid w:val="00FB421B"/>
    <w:rsid w:val="00FB4BE9"/>
    <w:rsid w:val="00FB565F"/>
    <w:rsid w:val="00FC378C"/>
    <w:rsid w:val="00FC59A8"/>
    <w:rsid w:val="00FD1027"/>
    <w:rsid w:val="00FD132C"/>
    <w:rsid w:val="00FD3BBC"/>
    <w:rsid w:val="00FD6D27"/>
    <w:rsid w:val="00FE1746"/>
    <w:rsid w:val="00FE1A98"/>
    <w:rsid w:val="00FE3606"/>
    <w:rsid w:val="00FE7F3F"/>
    <w:rsid w:val="00FF172C"/>
    <w:rsid w:val="00FF2149"/>
    <w:rsid w:val="00FF3778"/>
    <w:rsid w:val="00FF6AFA"/>
    <w:rsid w:val="00FF745A"/>
    <w:rsid w:val="37887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qFormat="1" w:unhideWhenUsed="0" w:uiPriority="39" w:semiHidden="0" w:name="toc 1"/>
    <w:lsdException w:qFormat="1" w:unhideWhenUsed="0" w:uiPriority="39" w:semiHidden="0" w:name="toc 2"/>
    <w:lsdException w:qFormat="1" w:uiPriority="39" w:semiHidden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qFormat="1"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qFormat="1" w:unhideWhenUsed="0" w:uiPriority="0" w:semiHidden="0" w:name="footnote reference"/>
    <w:lsdException w:qFormat="1" w:unhideWhenUsed="0" w:uiPriority="0" w:semiHidden="0" w:name="annotation reference"/>
    <w:lsdException w:uiPriority="0" w:name="line number"/>
    <w:lsdException w:uiPriority="0" w:name="page number"/>
    <w:lsdException w:qFormat="1"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qFormat="1" w:unhideWhenUsed="0" w:uiPriority="0" w:semiHidden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iPriority="99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unhideWhenUsed="0" w:uiPriority="62" w:semiHidden="0" w:name="Light Grid Accent 1"/>
    <w:lsdException w:qFormat="1"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qFormat="1"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35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22">
    <w:name w:val="Default Paragraph Font"/>
    <w:semiHidden/>
    <w:unhideWhenUsed/>
    <w:uiPriority w:val="1"/>
  </w:style>
  <w:style w:type="table" w:default="1" w:styleId="1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37"/>
    <w:qFormat/>
    <w:uiPriority w:val="0"/>
    <w:pPr>
      <w:jc w:val="left"/>
    </w:pPr>
  </w:style>
  <w:style w:type="paragraph" w:styleId="4">
    <w:name w:val="toc 3"/>
    <w:basedOn w:val="1"/>
    <w:next w:val="1"/>
    <w:autoRedefine/>
    <w:unhideWhenUsed/>
    <w:qFormat/>
    <w:uiPriority w:val="39"/>
    <w:pPr>
      <w:ind w:left="840" w:leftChars="400"/>
    </w:pPr>
  </w:style>
  <w:style w:type="paragraph" w:styleId="5">
    <w:name w:val="Date"/>
    <w:basedOn w:val="1"/>
    <w:next w:val="1"/>
    <w:link w:val="32"/>
    <w:qFormat/>
    <w:uiPriority w:val="0"/>
    <w:pPr>
      <w:ind w:left="100" w:leftChars="2500"/>
    </w:pPr>
  </w:style>
  <w:style w:type="paragraph" w:styleId="6">
    <w:name w:val="endnote text"/>
    <w:basedOn w:val="1"/>
    <w:link w:val="30"/>
    <w:uiPriority w:val="0"/>
    <w:pPr>
      <w:snapToGrid w:val="0"/>
      <w:jc w:val="left"/>
    </w:pPr>
  </w:style>
  <w:style w:type="paragraph" w:styleId="7">
    <w:name w:val="Balloon Text"/>
    <w:basedOn w:val="1"/>
    <w:link w:val="29"/>
    <w:uiPriority w:val="0"/>
    <w:rPr>
      <w:sz w:val="18"/>
      <w:szCs w:val="18"/>
    </w:rPr>
  </w:style>
  <w:style w:type="paragraph" w:styleId="8">
    <w:name w:val="footer"/>
    <w:basedOn w:val="1"/>
    <w:link w:val="28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27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1"/>
    <w:next w:val="1"/>
    <w:autoRedefine/>
    <w:qFormat/>
    <w:uiPriority w:val="39"/>
    <w:pPr>
      <w:tabs>
        <w:tab w:val="right" w:leader="dot" w:pos="8296"/>
      </w:tabs>
      <w:spacing w:line="360" w:lineRule="auto"/>
    </w:pPr>
    <w:rPr>
      <w:rFonts w:ascii="仿宋_GB2312" w:hAnsi="仿宋" w:eastAsia="仿宋_GB2312"/>
      <w:b/>
      <w:bCs/>
      <w:sz w:val="28"/>
      <w:szCs w:val="28"/>
    </w:rPr>
  </w:style>
  <w:style w:type="paragraph" w:styleId="11">
    <w:name w:val="Subtitle"/>
    <w:basedOn w:val="1"/>
    <w:next w:val="1"/>
    <w:link w:val="34"/>
    <w:qFormat/>
    <w:uiPriority w:val="0"/>
    <w:pPr>
      <w:spacing w:before="240" w:after="60" w:line="312" w:lineRule="auto"/>
      <w:jc w:val="center"/>
      <w:outlineLvl w:val="1"/>
    </w:pPr>
    <w:rPr>
      <w:rFonts w:ascii="Cambria" w:hAnsi="Cambria"/>
      <w:b/>
      <w:bCs/>
      <w:kern w:val="28"/>
      <w:sz w:val="32"/>
      <w:szCs w:val="32"/>
    </w:rPr>
  </w:style>
  <w:style w:type="paragraph" w:styleId="12">
    <w:name w:val="footnote text"/>
    <w:basedOn w:val="1"/>
    <w:link w:val="31"/>
    <w:qFormat/>
    <w:uiPriority w:val="0"/>
    <w:pPr>
      <w:snapToGrid w:val="0"/>
      <w:jc w:val="left"/>
    </w:pPr>
    <w:rPr>
      <w:sz w:val="18"/>
      <w:szCs w:val="18"/>
    </w:rPr>
  </w:style>
  <w:style w:type="paragraph" w:styleId="13">
    <w:name w:val="toc 2"/>
    <w:basedOn w:val="1"/>
    <w:next w:val="1"/>
    <w:autoRedefine/>
    <w:qFormat/>
    <w:uiPriority w:val="39"/>
    <w:pPr>
      <w:ind w:left="420" w:leftChars="200"/>
    </w:pPr>
  </w:style>
  <w:style w:type="paragraph" w:styleId="14">
    <w:name w:val="Title"/>
    <w:basedOn w:val="1"/>
    <w:next w:val="1"/>
    <w:link w:val="33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paragraph" w:styleId="15">
    <w:name w:val="annotation subject"/>
    <w:basedOn w:val="3"/>
    <w:next w:val="3"/>
    <w:link w:val="38"/>
    <w:qFormat/>
    <w:uiPriority w:val="0"/>
    <w:rPr>
      <w:b/>
      <w:bCs/>
    </w:rPr>
  </w:style>
  <w:style w:type="table" w:styleId="17">
    <w:name w:val="Table Grid"/>
    <w:basedOn w:val="16"/>
    <w:qFormat/>
    <w:uiPriority w:val="0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18">
    <w:name w:val="Light Shading Accent 1"/>
    <w:basedOn w:val="16"/>
    <w:qFormat/>
    <w:uiPriority w:val="60"/>
    <w:rPr>
      <w:color w:val="366091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9">
    <w:name w:val="Light List Accent 1"/>
    <w:basedOn w:val="16"/>
    <w:qFormat/>
    <w:uiPriority w:val="61"/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20">
    <w:name w:val="Medium Shading 1 Accent 1"/>
    <w:basedOn w:val="16"/>
    <w:qFormat/>
    <w:uiPriority w:val="63"/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1">
    <w:name w:val="Medium Shading 1 Accent 5"/>
    <w:basedOn w:val="16"/>
    <w:qFormat/>
    <w:uiPriority w:val="63"/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styleId="23">
    <w:name w:val="endnote reference"/>
    <w:qFormat/>
    <w:uiPriority w:val="0"/>
    <w:rPr>
      <w:vertAlign w:val="superscript"/>
    </w:rPr>
  </w:style>
  <w:style w:type="character" w:styleId="24">
    <w:name w:val="Hyperlink"/>
    <w:unhideWhenUsed/>
    <w:qFormat/>
    <w:uiPriority w:val="99"/>
    <w:rPr>
      <w:color w:val="0000FF"/>
      <w:u w:val="single"/>
    </w:rPr>
  </w:style>
  <w:style w:type="character" w:styleId="25">
    <w:name w:val="annotation reference"/>
    <w:basedOn w:val="22"/>
    <w:qFormat/>
    <w:uiPriority w:val="0"/>
    <w:rPr>
      <w:sz w:val="21"/>
      <w:szCs w:val="21"/>
    </w:rPr>
  </w:style>
  <w:style w:type="character" w:styleId="26">
    <w:name w:val="footnote reference"/>
    <w:qFormat/>
    <w:uiPriority w:val="0"/>
    <w:rPr>
      <w:vertAlign w:val="superscript"/>
    </w:rPr>
  </w:style>
  <w:style w:type="character" w:customStyle="1" w:styleId="27">
    <w:name w:val="页眉 字符"/>
    <w:link w:val="9"/>
    <w:uiPriority w:val="0"/>
    <w:rPr>
      <w:kern w:val="2"/>
      <w:sz w:val="18"/>
      <w:szCs w:val="18"/>
    </w:rPr>
  </w:style>
  <w:style w:type="character" w:customStyle="1" w:styleId="28">
    <w:name w:val="页脚 字符"/>
    <w:link w:val="8"/>
    <w:uiPriority w:val="99"/>
    <w:rPr>
      <w:kern w:val="2"/>
      <w:sz w:val="18"/>
      <w:szCs w:val="18"/>
    </w:rPr>
  </w:style>
  <w:style w:type="character" w:customStyle="1" w:styleId="29">
    <w:name w:val="批注框文本 字符"/>
    <w:link w:val="7"/>
    <w:uiPriority w:val="0"/>
    <w:rPr>
      <w:kern w:val="2"/>
      <w:sz w:val="18"/>
      <w:szCs w:val="18"/>
    </w:rPr>
  </w:style>
  <w:style w:type="character" w:customStyle="1" w:styleId="30">
    <w:name w:val="尾注文本 字符"/>
    <w:link w:val="6"/>
    <w:uiPriority w:val="0"/>
    <w:rPr>
      <w:kern w:val="2"/>
      <w:sz w:val="21"/>
      <w:szCs w:val="24"/>
    </w:rPr>
  </w:style>
  <w:style w:type="character" w:customStyle="1" w:styleId="31">
    <w:name w:val="脚注文本 字符"/>
    <w:link w:val="12"/>
    <w:qFormat/>
    <w:uiPriority w:val="0"/>
    <w:rPr>
      <w:kern w:val="2"/>
      <w:sz w:val="18"/>
      <w:szCs w:val="18"/>
    </w:rPr>
  </w:style>
  <w:style w:type="character" w:customStyle="1" w:styleId="32">
    <w:name w:val="日期 字符"/>
    <w:link w:val="5"/>
    <w:qFormat/>
    <w:uiPriority w:val="0"/>
    <w:rPr>
      <w:kern w:val="2"/>
      <w:sz w:val="21"/>
      <w:szCs w:val="24"/>
    </w:rPr>
  </w:style>
  <w:style w:type="character" w:customStyle="1" w:styleId="33">
    <w:name w:val="标题 字符"/>
    <w:link w:val="14"/>
    <w:qFormat/>
    <w:uiPriority w:val="0"/>
    <w:rPr>
      <w:rFonts w:ascii="Cambria" w:hAnsi="Cambria" w:cs="Times New Roman"/>
      <w:b/>
      <w:bCs/>
      <w:kern w:val="2"/>
      <w:sz w:val="32"/>
      <w:szCs w:val="32"/>
    </w:rPr>
  </w:style>
  <w:style w:type="character" w:customStyle="1" w:styleId="34">
    <w:name w:val="副标题 字符"/>
    <w:link w:val="11"/>
    <w:qFormat/>
    <w:uiPriority w:val="0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35">
    <w:name w:val="标题 1 字符"/>
    <w:link w:val="2"/>
    <w:qFormat/>
    <w:uiPriority w:val="0"/>
    <w:rPr>
      <w:b/>
      <w:bCs/>
      <w:kern w:val="44"/>
      <w:sz w:val="44"/>
      <w:szCs w:val="44"/>
    </w:rPr>
  </w:style>
  <w:style w:type="paragraph" w:customStyle="1" w:styleId="36">
    <w:name w:val="TOC Heading"/>
    <w:basedOn w:val="2"/>
    <w:next w:val="1"/>
    <w:semiHidden/>
    <w:unhideWhenUsed/>
    <w:qFormat/>
    <w:uiPriority w:val="39"/>
    <w:pPr>
      <w:widowControl/>
      <w:spacing w:before="480" w:after="0" w:line="276" w:lineRule="auto"/>
      <w:jc w:val="left"/>
      <w:outlineLvl w:val="9"/>
    </w:pPr>
    <w:rPr>
      <w:rFonts w:ascii="Cambria" w:hAnsi="Cambria"/>
      <w:color w:val="365F91"/>
      <w:kern w:val="0"/>
      <w:sz w:val="28"/>
      <w:szCs w:val="28"/>
    </w:rPr>
  </w:style>
  <w:style w:type="character" w:customStyle="1" w:styleId="37">
    <w:name w:val="批注文字 字符"/>
    <w:basedOn w:val="22"/>
    <w:link w:val="3"/>
    <w:qFormat/>
    <w:uiPriority w:val="0"/>
    <w:rPr>
      <w:kern w:val="2"/>
      <w:sz w:val="21"/>
      <w:szCs w:val="24"/>
    </w:rPr>
  </w:style>
  <w:style w:type="character" w:customStyle="1" w:styleId="38">
    <w:name w:val="批注主题 字符"/>
    <w:basedOn w:val="37"/>
    <w:link w:val="15"/>
    <w:qFormat/>
    <w:uiPriority w:val="0"/>
    <w:rPr>
      <w:b/>
      <w:bCs/>
      <w:kern w:val="2"/>
      <w:sz w:val="21"/>
      <w:szCs w:val="24"/>
    </w:rPr>
  </w:style>
  <w:style w:type="paragraph" w:customStyle="1" w:styleId="39">
    <w:name w:val="图表"/>
    <w:basedOn w:val="1"/>
    <w:link w:val="40"/>
    <w:qFormat/>
    <w:uiPriority w:val="0"/>
    <w:pPr>
      <w:jc w:val="center"/>
    </w:pPr>
    <w:rPr>
      <w:rFonts w:ascii="微软雅黑" w:hAnsi="微软雅黑" w:eastAsia="微软雅黑" w:cstheme="minorBidi"/>
      <w:b/>
      <w:szCs w:val="22"/>
    </w:rPr>
  </w:style>
  <w:style w:type="character" w:customStyle="1" w:styleId="40">
    <w:name w:val="图表 Char"/>
    <w:basedOn w:val="22"/>
    <w:link w:val="39"/>
    <w:qFormat/>
    <w:uiPriority w:val="0"/>
    <w:rPr>
      <w:rFonts w:ascii="微软雅黑" w:hAnsi="微软雅黑" w:eastAsia="微软雅黑" w:cstheme="minorBidi"/>
      <w:b/>
      <w:kern w:val="2"/>
      <w:sz w:val="21"/>
      <w:szCs w:val="22"/>
    </w:rPr>
  </w:style>
  <w:style w:type="character" w:styleId="41">
    <w:name w:val="Placeholder Text"/>
    <w:basedOn w:val="22"/>
    <w:semiHidden/>
    <w:qFormat/>
    <w:uiPriority w:val="99"/>
    <w:rPr>
      <w:color w:val="808080"/>
    </w:rPr>
  </w:style>
  <w:style w:type="paragraph" w:customStyle="1" w:styleId="42">
    <w:name w:val="段"/>
    <w:link w:val="43"/>
    <w:qFormat/>
    <w:uiPriority w:val="0"/>
    <w:pPr>
      <w:tabs>
        <w:tab w:val="center" w:pos="4201"/>
        <w:tab w:val="right" w:leader="dot" w:pos="9298"/>
      </w:tabs>
      <w:autoSpaceDE w:val="0"/>
      <w:autoSpaceDN w:val="0"/>
      <w:ind w:firstLine="42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character" w:customStyle="1" w:styleId="43">
    <w:name w:val="段 Char"/>
    <w:basedOn w:val="22"/>
    <w:link w:val="42"/>
    <w:qFormat/>
    <w:uiPriority w:val="0"/>
    <w:rPr>
      <w:rFonts w:ascii="宋体"/>
      <w:sz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diagramQuickStyle" Target="diagrams/quickStyle1.xml"/><Relationship Id="rId8" Type="http://schemas.openxmlformats.org/officeDocument/2006/relationships/diagramLayout" Target="diagrams/layout1.xml"/><Relationship Id="rId7" Type="http://schemas.openxmlformats.org/officeDocument/2006/relationships/diagramData" Target="diagrams/data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customXml" Target="../customXml/item1.xml"/><Relationship Id="rId18" Type="http://schemas.openxmlformats.org/officeDocument/2006/relationships/chart" Target="charts/chart7.xml"/><Relationship Id="rId17" Type="http://schemas.openxmlformats.org/officeDocument/2006/relationships/chart" Target="charts/chart6.xml"/><Relationship Id="rId16" Type="http://schemas.openxmlformats.org/officeDocument/2006/relationships/chart" Target="charts/chart5.xml"/><Relationship Id="rId15" Type="http://schemas.openxmlformats.org/officeDocument/2006/relationships/chart" Target="charts/chart4.xml"/><Relationship Id="rId14" Type="http://schemas.openxmlformats.org/officeDocument/2006/relationships/chart" Target="charts/chart3.xml"/><Relationship Id="rId13" Type="http://schemas.openxmlformats.org/officeDocument/2006/relationships/chart" Target="charts/chart2.xml"/><Relationship Id="rId12" Type="http://schemas.openxmlformats.org/officeDocument/2006/relationships/chart" Target="charts/chart1.xml"/><Relationship Id="rId11" Type="http://schemas.microsoft.com/office/2007/relationships/diagramDrawing" Target="diagrams/drawing1.xml"/><Relationship Id="rId10" Type="http://schemas.openxmlformats.org/officeDocument/2006/relationships/diagramColors" Target="diagrams/colors1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themeOverride" Target="../theme/themeOverride5.xml"/><Relationship Id="rId1" Type="http://schemas.openxmlformats.org/officeDocument/2006/relationships/package" Target="../embeddings/Workbook5.xlsx"/></Relationships>
</file>

<file path=word/charts/_rels/chart2.xml.rels><?xml version="1.0" encoding="UTF-8" standalone="yes"?>
<Relationships xmlns="http://schemas.openxmlformats.org/package/2006/relationships"><Relationship Id="rId4" Type="http://schemas.microsoft.com/office/2011/relationships/chartColorStyle" Target="colors5.xml"/><Relationship Id="rId3" Type="http://schemas.microsoft.com/office/2011/relationships/chartStyle" Target="style5.xml"/><Relationship Id="rId2" Type="http://schemas.openxmlformats.org/officeDocument/2006/relationships/themeOverride" Target="../theme/themeOverride6.xml"/><Relationship Id="rId1" Type="http://schemas.openxmlformats.org/officeDocument/2006/relationships/package" Target="../embeddings/Workbook6.xlsx"/></Relationships>
</file>

<file path=word/charts/_rels/chart3.xml.rels><?xml version="1.0" encoding="UTF-8" standalone="yes"?>
<Relationships xmlns="http://schemas.openxmlformats.org/package/2006/relationships"><Relationship Id="rId4" Type="http://schemas.microsoft.com/office/2011/relationships/chartColorStyle" Target="colors6.xml"/><Relationship Id="rId3" Type="http://schemas.microsoft.com/office/2011/relationships/chartStyle" Target="style6.xml"/><Relationship Id="rId2" Type="http://schemas.openxmlformats.org/officeDocument/2006/relationships/themeOverride" Target="../theme/themeOverride7.xml"/><Relationship Id="rId1" Type="http://schemas.openxmlformats.org/officeDocument/2006/relationships/package" Target="../embeddings/Workbook7.xlsx"/></Relationships>
</file>

<file path=word/charts/_rels/chart4.xml.rels><?xml version="1.0" encoding="UTF-8" standalone="yes"?>
<Relationships xmlns="http://schemas.openxmlformats.org/package/2006/relationships"><Relationship Id="rId4" Type="http://schemas.microsoft.com/office/2011/relationships/chartColorStyle" Target="colors1.xml"/><Relationship Id="rId3" Type="http://schemas.microsoft.com/office/2011/relationships/chartStyle" Target="style1.xml"/><Relationship Id="rId2" Type="http://schemas.openxmlformats.org/officeDocument/2006/relationships/themeOverride" Target="../theme/themeOverride1.xml"/><Relationship Id="rId1" Type="http://schemas.openxmlformats.org/officeDocument/2006/relationships/package" Target="../embeddings/Workbook1.xlsx"/></Relationships>
</file>

<file path=word/charts/_rels/chart5.xml.rels><?xml version="1.0" encoding="UTF-8" standalone="yes"?>
<Relationships xmlns="http://schemas.openxmlformats.org/package/2006/relationships"><Relationship Id="rId4" Type="http://schemas.microsoft.com/office/2011/relationships/chartColorStyle" Target="colors4.xml"/><Relationship Id="rId3" Type="http://schemas.microsoft.com/office/2011/relationships/chartStyle" Target="style4.xml"/><Relationship Id="rId2" Type="http://schemas.openxmlformats.org/officeDocument/2006/relationships/themeOverride" Target="../theme/themeOverride4.xml"/><Relationship Id="rId1" Type="http://schemas.openxmlformats.org/officeDocument/2006/relationships/package" Target="../embeddings/Workbook4.xlsx"/></Relationships>
</file>

<file path=word/charts/_rels/chart6.xml.rels><?xml version="1.0" encoding="UTF-8" standalone="yes"?>
<Relationships xmlns="http://schemas.openxmlformats.org/package/2006/relationships"><Relationship Id="rId4" Type="http://schemas.microsoft.com/office/2011/relationships/chartColorStyle" Target="colors3.xml"/><Relationship Id="rId3" Type="http://schemas.microsoft.com/office/2011/relationships/chartStyle" Target="style3.xml"/><Relationship Id="rId2" Type="http://schemas.openxmlformats.org/officeDocument/2006/relationships/themeOverride" Target="../theme/themeOverride3.xml"/><Relationship Id="rId1" Type="http://schemas.openxmlformats.org/officeDocument/2006/relationships/package" Target="../embeddings/Workbook3.xlsx"/></Relationships>
</file>

<file path=word/charts/_rels/chart7.xml.rels><?xml version="1.0" encoding="UTF-8" standalone="yes"?>
<Relationships xmlns="http://schemas.openxmlformats.org/package/2006/relationships"><Relationship Id="rId5" Type="http://schemas.microsoft.com/office/2011/relationships/chartColorStyle" Target="colors2.xml"/><Relationship Id="rId4" Type="http://schemas.microsoft.com/office/2011/relationships/chartStyle" Target="style2.xml"/><Relationship Id="rId3" Type="http://schemas.openxmlformats.org/officeDocument/2006/relationships/chartUserShapes" Target="../drawings/drawing1.xml"/><Relationship Id="rId2" Type="http://schemas.openxmlformats.org/officeDocument/2006/relationships/themeOverride" Target="../theme/themeOverride2.xml"/><Relationship Id="rId1" Type="http://schemas.openxmlformats.org/officeDocument/2006/relationships/package" Target="../embeddings/Workbook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10"/>
    </mc:Choice>
    <mc:Fallback>
      <c:style val="10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800" b="1" i="0" u="none" strike="noStrike" kern="1200" baseline="0">
                <a:solidFill>
                  <a:schemeClr val="tx1"/>
                </a:solidFill>
                <a:latin typeface="仿宋" panose="02010609060101010101" pitchFamily="3" charset="-122"/>
                <a:ea typeface="仿宋" panose="02010609060101010101" pitchFamily="3" charset="-122"/>
                <a:cs typeface="+mn-cs"/>
              </a:defRPr>
            </a:pPr>
            <a:r>
              <a:rPr lang="en-US"/>
              <a:t>2026</a:t>
            </a:r>
            <a:r>
              <a:rPr lang="zh-CN"/>
              <a:t>年供水接入调查结果</a:t>
            </a:r>
            <a:endParaRPr lang="zh-CN"/>
          </a:p>
        </c:rich>
      </c:tx>
      <c:layout/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结果!$B$4</c:f>
              <c:strCache>
                <c:ptCount val="1"/>
                <c:pt idx="0">
                  <c:v>26年满意率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0"/>
                  <c:y val="0.101689326517735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-8.66342227780205e-6"/>
                  <c:y val="0.1016726958256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0"/>
                  <c:y val="0.101696042758789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0.00238639616700056"/>
                  <c:y val="0.10136310909510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layout>
                <c:manualLayout>
                  <c:x val="0"/>
                  <c:y val="0.101781676220787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solidFill>
                <a:schemeClr val="accent2">
                  <a:lumMod val="20000"/>
                  <a:lumOff val="80000"/>
                </a:schemeClr>
              </a:solidFill>
              <a:ln w="3175">
                <a:solidFill>
                  <a:schemeClr val="bg1">
                    <a:lumMod val="75000"/>
                  </a:schemeClr>
                </a:solidFill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仿宋" panose="02010609060101010101" pitchFamily="3" charset="-122"/>
                    <a:ea typeface="仿宋" panose="02010609060101010101" pitchFamily="3" charset="-122"/>
                    <a:cs typeface="+mn-cs"/>
                  </a:defRPr>
                </a:pPr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结果!$A$5:$A$9</c:f>
              <c:strCache>
                <c:ptCount val="5"/>
                <c:pt idx="0">
                  <c:v>前期咨询和
申请受理</c:v>
                </c:pt>
                <c:pt idx="1">
                  <c:v>现场查勘和
编制/复核
供水方案</c:v>
                </c:pt>
                <c:pt idx="2">
                  <c:v>工程质量验收</c:v>
                </c:pt>
                <c:pt idx="3">
                  <c:v>签订供用水
合同</c:v>
                </c:pt>
                <c:pt idx="4">
                  <c:v>总体服务</c:v>
                </c:pt>
              </c:strCache>
            </c:strRef>
          </c:cat>
          <c:val>
            <c:numRef>
              <c:f>结果!$B$5:$B$9</c:f>
              <c:numCache>
                <c:formatCode>0.00%</c:formatCode>
                <c:ptCount val="5"/>
                <c:pt idx="0">
                  <c:v>1</c:v>
                </c:pt>
                <c:pt idx="1">
                  <c:v>1</c:v>
                </c:pt>
                <c:pt idx="2">
                  <c:v>1</c:v>
                </c:pt>
                <c:pt idx="3">
                  <c:v>1</c:v>
                </c:pt>
                <c:pt idx="4">
                  <c:v>1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-25"/>
        <c:axId val="168780544"/>
        <c:axId val="168782080"/>
      </c:barChart>
      <c:lineChart>
        <c:grouping val="standard"/>
        <c:varyColors val="0"/>
        <c:ser>
          <c:idx val="1"/>
          <c:order val="1"/>
          <c:tx>
            <c:strRef>
              <c:f>结果!$C$4</c:f>
              <c:strCache>
                <c:ptCount val="1"/>
                <c:pt idx="0">
                  <c:v>26年总体满意率</c:v>
                </c:pt>
              </c:strCache>
            </c:strRef>
          </c:tx>
          <c:spPr>
            <a:ln w="47625" cap="rnd" cmpd="sng" algn="ctr">
              <a:solidFill>
                <a:srgbClr val="FFC000"/>
              </a:solidFill>
              <a:prstDash val="sysDash"/>
              <a:round/>
            </a:ln>
          </c:spPr>
          <c:marker>
            <c:symbol val="none"/>
          </c:marker>
          <c:dLbls>
            <c:dLbl>
              <c:idx val="0"/>
              <c:delete val="1"/>
            </c:dLbl>
            <c:dLbl>
              <c:idx val="1"/>
              <c:delete val="1"/>
            </c:dLbl>
            <c:dLbl>
              <c:idx val="2"/>
              <c:delete val="1"/>
            </c:dLbl>
            <c:dLbl>
              <c:idx val="3"/>
              <c:delete val="1"/>
            </c:dLbl>
            <c:dLbl>
              <c:idx val="4"/>
              <c:layout>
                <c:manualLayout>
                  <c:x val="-0.0284779556304409"/>
                  <c:y val="-0.0878137514051424"/>
                </c:manualLayout>
              </c:layout>
              <c:numFmt formatCode="General" sourceLinked="1"/>
              <c:spPr>
                <a:solidFill>
                  <a:schemeClr val="accent4">
                    <a:lumMod val="75000"/>
                  </a:schemeClr>
                </a:solidFill>
                <a:ln>
                  <a:noFill/>
                </a:ln>
                <a:effectLst/>
              </c:spPr>
              <c:txPr>
                <a:bodyPr rot="0" spcFirstLastPara="0" vertOverflow="ellipsis" vert="horz" wrap="square" lIns="38100" tIns="19050" rIns="38100" bIns="19050" anchor="ctr" anchorCtr="1"/>
                <a:lstStyle/>
                <a:p>
                  <a:pPr>
                    <a:defRPr lang="zh-CN" sz="1000" b="0" i="0" u="none" strike="noStrike" kern="1200" baseline="0">
                      <a:solidFill>
                        <a:schemeClr val="tx1"/>
                      </a:solidFill>
                      <a:latin typeface="仿宋" panose="02010609060101010101" pitchFamily="3" charset="-122"/>
                      <a:ea typeface="仿宋" panose="02010609060101010101" pitchFamily="3" charset="-122"/>
                      <a:cs typeface="+mn-cs"/>
                    </a:defRPr>
                  </a:pPr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仿宋" panose="02010609060101010101" pitchFamily="3" charset="-122"/>
                    <a:ea typeface="仿宋" panose="02010609060101010101" pitchFamily="3" charset="-122"/>
                    <a:cs typeface="+mn-cs"/>
                  </a:defRPr>
                </a:pPr>
              </a:p>
            </c:txPr>
            <c:dLblPos val="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/>
              </c:ext>
            </c:extLst>
          </c:dLbls>
          <c:cat>
            <c:strRef>
              <c:f>结果!$A$5:$A$9</c:f>
              <c:strCache>
                <c:ptCount val="5"/>
                <c:pt idx="0">
                  <c:v>前期咨询和
申请受理</c:v>
                </c:pt>
                <c:pt idx="1">
                  <c:v>现场查勘和
编制/复核
供水方案</c:v>
                </c:pt>
                <c:pt idx="2">
                  <c:v>工程质量验收</c:v>
                </c:pt>
                <c:pt idx="3">
                  <c:v>签订供用水
合同</c:v>
                </c:pt>
                <c:pt idx="4">
                  <c:v>总体服务</c:v>
                </c:pt>
              </c:strCache>
            </c:strRef>
          </c:cat>
          <c:val>
            <c:numRef>
              <c:f>结果!$C$5:$C$9</c:f>
              <c:numCache>
                <c:formatCode>0.00%</c:formatCode>
                <c:ptCount val="5"/>
                <c:pt idx="0">
                  <c:v>1</c:v>
                </c:pt>
                <c:pt idx="1">
                  <c:v>1</c:v>
                </c:pt>
                <c:pt idx="2">
                  <c:v>1</c:v>
                </c:pt>
                <c:pt idx="3">
                  <c:v>1</c:v>
                </c:pt>
                <c:pt idx="4">
                  <c:v>1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0"/>
        <c:smooth val="0"/>
        <c:axId val="168780544"/>
        <c:axId val="168782080"/>
      </c:lineChart>
      <c:catAx>
        <c:axId val="168780544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txPr>
          <a:bodyPr rot="-60000000" spcFirstLastPara="0" vertOverflow="ellipsis" vert="horz" wrap="square" anchor="ctr" anchorCtr="1"/>
          <a:lstStyle/>
          <a:p>
            <a:pPr>
              <a:defRPr lang="zh-CN" sz="1000" b="0" i="0" u="none" strike="noStrike" kern="1200" baseline="0">
                <a:solidFill>
                  <a:schemeClr val="tx1"/>
                </a:solidFill>
                <a:latin typeface="仿宋" panose="02010609060101010101" pitchFamily="3" charset="-122"/>
                <a:ea typeface="仿宋" panose="02010609060101010101" pitchFamily="3" charset="-122"/>
                <a:cs typeface="+mn-cs"/>
              </a:defRPr>
            </a:pPr>
          </a:p>
        </c:txPr>
        <c:crossAx val="168782080"/>
        <c:crosses val="autoZero"/>
        <c:auto val="1"/>
        <c:lblAlgn val="ctr"/>
        <c:lblOffset val="100"/>
        <c:noMultiLvlLbl val="0"/>
      </c:catAx>
      <c:valAx>
        <c:axId val="168782080"/>
        <c:scaling>
          <c:orientation val="minMax"/>
          <c:min val="0.95"/>
        </c:scaling>
        <c:delete val="1"/>
        <c:axPos val="l"/>
        <c:numFmt formatCode="0.00%" sourceLinked="1"/>
        <c:majorTickMark val="none"/>
        <c:minorTickMark val="none"/>
        <c:tickLblPos val="nextTo"/>
        <c:txPr>
          <a:bodyPr rot="-60000000" spcFirstLastPara="0" vertOverflow="ellipsis" vert="horz" wrap="square" anchor="ctr" anchorCtr="1"/>
          <a:lstStyle/>
          <a:p>
            <a:pPr>
              <a:defRPr lang="zh-CN" sz="1000" b="0" i="0" u="none" strike="noStrike" kern="1200" baseline="0">
                <a:solidFill>
                  <a:schemeClr val="tx1"/>
                </a:solidFill>
                <a:latin typeface="仿宋" panose="02010609060101010101" pitchFamily="3" charset="-122"/>
                <a:ea typeface="仿宋" panose="02010609060101010101" pitchFamily="3" charset="-122"/>
                <a:cs typeface="+mn-cs"/>
              </a:defRPr>
            </a:pPr>
          </a:p>
        </c:txPr>
        <c:crossAx val="168780544"/>
        <c:crosses val="autoZero"/>
        <c:crossBetween val="between"/>
      </c:valAx>
    </c:plotArea>
    <c:legend>
      <c:legendPos val="t"/>
      <c:layout/>
      <c:overlay val="0"/>
      <c:txPr>
        <a:bodyPr rot="0" spcFirstLastPara="0" vertOverflow="ellipsis" vert="horz" wrap="square" anchor="ctr" anchorCtr="1"/>
        <a:lstStyle/>
        <a:p>
          <a:pPr>
            <a:defRPr lang="zh-CN" sz="1000" b="0" i="0" u="none" strike="noStrike" kern="1200" baseline="0">
              <a:solidFill>
                <a:schemeClr val="tx1"/>
              </a:solidFill>
              <a:latin typeface="仿宋" panose="02010609060101010101" pitchFamily="3" charset="-122"/>
              <a:ea typeface="仿宋" panose="02010609060101010101" pitchFamily="3" charset="-122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850f6f94-fa2c-4e8b-b1ea-a404d3c7d5e4}"/>
      </c:ext>
    </c:extLst>
  </c:chart>
  <c:spPr>
    <a:ln w="9525" cap="flat" cmpd="sng" algn="ctr">
      <a:noFill/>
      <a:prstDash val="solid"/>
      <a:round/>
    </a:ln>
  </c:spPr>
  <c:txPr>
    <a:bodyPr/>
    <a:lstStyle/>
    <a:p>
      <a:pPr>
        <a:defRPr lang="zh-CN">
          <a:latin typeface="仿宋" panose="02010609060101010101" pitchFamily="3" charset="-122"/>
          <a:ea typeface="仿宋" panose="02010609060101010101" pitchFamily="3" charset="-122"/>
        </a:defRPr>
      </a:pPr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lang="zh-CN" sz="1800" b="1" i="0" u="none" strike="noStrike" kern="1200" spc="0" baseline="0">
                <a:solidFill>
                  <a:sysClr val="windowText" lastClr="000000"/>
                </a:solidFill>
                <a:latin typeface="仿宋" panose="02010609060101010101" pitchFamily="3" charset="-122"/>
                <a:ea typeface="仿宋" panose="02010609060101010101" pitchFamily="3" charset="-122"/>
                <a:cs typeface="+mn-cs"/>
              </a:defRPr>
            </a:pPr>
            <a:r>
              <a:rPr lang="en-US" altLang="zh-CN" sz="1800" b="1">
                <a:solidFill>
                  <a:sysClr val="windowText" lastClr="000000"/>
                </a:solidFill>
              </a:rPr>
              <a:t>2026</a:t>
            </a:r>
            <a:r>
              <a:rPr lang="zh-CN" altLang="en-US" sz="1800" b="1">
                <a:solidFill>
                  <a:sysClr val="windowText" lastClr="000000"/>
                </a:solidFill>
              </a:rPr>
              <a:t>年</a:t>
            </a:r>
            <a:r>
              <a:rPr lang="zh-CN" sz="1800" b="1">
                <a:solidFill>
                  <a:sysClr val="windowText" lastClr="000000"/>
                </a:solidFill>
              </a:rPr>
              <a:t>前期咨询和申请受理</a:t>
            </a:r>
            <a:endParaRPr lang="zh-CN" sz="1800" b="1">
              <a:solidFill>
                <a:sysClr val="windowText" lastClr="000000"/>
              </a:solidFill>
            </a:endParaRP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0.131369255610513"/>
          <c:y val="0.238596573627771"/>
          <c:w val="0.842404577207715"/>
          <c:h val="0.61073132018625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满意率</c:f>
              <c:strCache>
                <c:ptCount val="1"/>
                <c:pt idx="0">
                  <c:v>满意率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pattFill prst="dkHorz">
                <a:fgClr>
                  <a:schemeClr val="accent1"/>
                </a:fgClr>
                <a:bgClr>
                  <a:schemeClr val="bg1"/>
                </a:bgClr>
              </a:pattFill>
              <a:ln>
                <a:solidFill>
                  <a:schemeClr val="bg1">
                    <a:lumMod val="65000"/>
                  </a:schemeClr>
                </a:solidFill>
              </a:ln>
              <a:effectLst/>
            </c:spPr>
          </c:dPt>
          <c:dLbls>
            <c:delete val="1"/>
          </c:dLbls>
          <c:cat>
            <c:strRef>
              <c:f>结果!$B$77:$B$80</c:f>
              <c:strCache>
                <c:ptCount val="4"/>
                <c:pt idx="0">
                  <c:v>该指标总体</c:v>
                </c:pt>
                <c:pt idx="1">
                  <c:v>咨询态度</c:v>
                </c:pt>
                <c:pt idx="2">
                  <c:v>咨询业务熟练程度</c:v>
                </c:pt>
                <c:pt idx="3">
                  <c:v>咨询反馈结果</c:v>
                </c:pt>
              </c:strCache>
            </c:strRef>
          </c:cat>
          <c:val>
            <c:numRef>
              <c:f>结果!$C$77:$C$80</c:f>
              <c:numCache>
                <c:formatCode>0.00%</c:formatCode>
                <c:ptCount val="4"/>
                <c:pt idx="0">
                  <c:v>1</c:v>
                </c:pt>
                <c:pt idx="1">
                  <c:v>1</c:v>
                </c:pt>
                <c:pt idx="2">
                  <c:v>1</c:v>
                </c:pt>
                <c:pt idx="3">
                  <c:v>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90531712"/>
        <c:axId val="90533248"/>
      </c:barChart>
      <c:catAx>
        <c:axId val="9053171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仿宋" panose="02010609060101010101" pitchFamily="3" charset="-122"/>
                <a:ea typeface="仿宋" panose="02010609060101010101" pitchFamily="3" charset="-122"/>
                <a:cs typeface="+mn-cs"/>
              </a:defRPr>
            </a:pPr>
          </a:p>
        </c:txPr>
        <c:crossAx val="90533248"/>
        <c:crosses val="autoZero"/>
        <c:auto val="1"/>
        <c:lblAlgn val="ctr"/>
        <c:lblOffset val="100"/>
        <c:noMultiLvlLbl val="0"/>
      </c:catAx>
      <c:valAx>
        <c:axId val="90533248"/>
        <c:scaling>
          <c:orientation val="minMax"/>
          <c:max val="1"/>
          <c:min val="0.98"/>
        </c:scaling>
        <c:delete val="1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out"/>
        <c:minorTickMark val="none"/>
        <c:tickLblPos val="nextTo"/>
        <c:txPr>
          <a:bodyPr rot="-6000000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仿宋" panose="02010609060101010101" pitchFamily="3" charset="-122"/>
                <a:ea typeface="仿宋" panose="02010609060101010101" pitchFamily="3" charset="-122"/>
                <a:cs typeface="+mn-cs"/>
              </a:defRPr>
            </a:pPr>
          </a:p>
        </c:txPr>
        <c:crossAx val="90531712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仿宋" panose="02010609060101010101" pitchFamily="3" charset="-122"/>
                <a:ea typeface="仿宋" panose="02010609060101010101" pitchFamily="3" charset="-122"/>
                <a:cs typeface="+mn-cs"/>
              </a:defRPr>
            </a:pPr>
          </a:p>
        </c:txPr>
      </c:dTable>
      <c:spPr>
        <a:noFill/>
        <a:ln>
          <a:noFill/>
        </a:ln>
        <a:effectLst/>
      </c:spPr>
    </c:plotArea>
    <c:plotVisOnly val="1"/>
    <c:dispBlanksAs val="gap"/>
    <c:showDLblsOverMax val="0"/>
    <c:extLst>
      <c:ext uri="{0b15fc19-7d7d-44ad-8c2d-2c3a37ce22c3}">
        <chartProps xmlns="https://web.wps.cn/et/2018/main" chartId="{4dc87f21-5d88-40b5-9bb3-cd470a102472}"/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lang="zh-CN">
          <a:latin typeface="仿宋" panose="02010609060101010101" pitchFamily="3" charset="-122"/>
          <a:ea typeface="仿宋" panose="02010609060101010101" pitchFamily="3" charset="-122"/>
        </a:defRPr>
      </a:pPr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lang="zh-CN" sz="1800" b="1" i="0" u="none" strike="noStrike" kern="1200" spc="0" baseline="0">
                <a:solidFill>
                  <a:sysClr val="windowText" lastClr="000000"/>
                </a:solidFill>
                <a:latin typeface="仿宋" panose="02010609060101010101" pitchFamily="3" charset="-122"/>
                <a:ea typeface="仿宋" panose="02010609060101010101" pitchFamily="3" charset="-122"/>
                <a:cs typeface="+mn-cs"/>
              </a:defRPr>
            </a:pPr>
            <a:r>
              <a:rPr lang="en-US" altLang="zh-CN" sz="1800" b="1" i="0" u="none" strike="noStrike" baseline="0">
                <a:effectLst/>
              </a:rPr>
              <a:t>2026</a:t>
            </a:r>
            <a:r>
              <a:rPr lang="zh-CN" altLang="zh-CN" sz="1800" b="1" i="0" u="none" strike="noStrike" baseline="0">
                <a:effectLst/>
              </a:rPr>
              <a:t>年</a:t>
            </a:r>
            <a:r>
              <a:rPr lang="zh-CN" altLang="en-US" sz="1800" b="1">
                <a:solidFill>
                  <a:sysClr val="windowText" lastClr="000000"/>
                </a:solidFill>
              </a:rPr>
              <a:t>现场查勘和编制</a:t>
            </a:r>
            <a:r>
              <a:rPr lang="en-US" altLang="zh-CN" sz="1800" b="1">
                <a:solidFill>
                  <a:sysClr val="windowText" lastClr="000000"/>
                </a:solidFill>
              </a:rPr>
              <a:t>/</a:t>
            </a:r>
            <a:r>
              <a:rPr lang="zh-CN" altLang="en-US" sz="1800" b="1">
                <a:solidFill>
                  <a:sysClr val="windowText" lastClr="000000"/>
                </a:solidFill>
              </a:rPr>
              <a:t>复核供水方案</a:t>
            </a:r>
            <a:endParaRPr lang="zh-CN" sz="1800" b="1">
              <a:solidFill>
                <a:sysClr val="windowText" lastClr="000000"/>
              </a:solidFill>
            </a:endParaRP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0.131369255610513"/>
          <c:y val="0.229824640773809"/>
          <c:w val="0.842404577207715"/>
          <c:h val="0.61950325304021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满意率</c:f>
              <c:strCache>
                <c:ptCount val="1"/>
                <c:pt idx="0">
                  <c:v>满意率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pattFill prst="dkHorz">
                <a:fgClr>
                  <a:schemeClr val="accent1"/>
                </a:fgClr>
                <a:bgClr>
                  <a:schemeClr val="bg1"/>
                </a:bgClr>
              </a:pattFill>
              <a:ln>
                <a:solidFill>
                  <a:schemeClr val="bg1">
                    <a:lumMod val="65000"/>
                  </a:schemeClr>
                </a:solidFill>
              </a:ln>
              <a:effectLst/>
            </c:spPr>
          </c:dPt>
          <c:dLbls>
            <c:delete val="1"/>
          </c:dLbls>
          <c:cat>
            <c:strRef>
              <c:f>结果!$B$81:$B$83</c:f>
              <c:strCache>
                <c:ptCount val="3"/>
                <c:pt idx="0">
                  <c:v>该指标总体</c:v>
                </c:pt>
                <c:pt idx="1">
                  <c:v>现场查勘工作</c:v>
                </c:pt>
                <c:pt idx="2">
                  <c:v>供水方案</c:v>
                </c:pt>
              </c:strCache>
            </c:strRef>
          </c:cat>
          <c:val>
            <c:numRef>
              <c:f>结果!$C$81:$C$83</c:f>
              <c:numCache>
                <c:formatCode>0.00%</c:formatCode>
                <c:ptCount val="3"/>
                <c:pt idx="0">
                  <c:v>1</c:v>
                </c:pt>
                <c:pt idx="1">
                  <c:v>1</c:v>
                </c:pt>
                <c:pt idx="2">
                  <c:v>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90531712"/>
        <c:axId val="90533248"/>
      </c:barChart>
      <c:catAx>
        <c:axId val="9053171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仿宋" panose="02010609060101010101" pitchFamily="3" charset="-122"/>
                <a:ea typeface="仿宋" panose="02010609060101010101" pitchFamily="3" charset="-122"/>
                <a:cs typeface="+mn-cs"/>
              </a:defRPr>
            </a:pPr>
          </a:p>
        </c:txPr>
        <c:crossAx val="90533248"/>
        <c:crosses val="autoZero"/>
        <c:auto val="1"/>
        <c:lblAlgn val="ctr"/>
        <c:lblOffset val="100"/>
        <c:noMultiLvlLbl val="0"/>
      </c:catAx>
      <c:valAx>
        <c:axId val="90533248"/>
        <c:scaling>
          <c:orientation val="minMax"/>
          <c:max val="1"/>
          <c:min val="0.95"/>
        </c:scaling>
        <c:delete val="1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out"/>
        <c:minorTickMark val="none"/>
        <c:tickLblPos val="nextTo"/>
        <c:txPr>
          <a:bodyPr rot="-6000000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仿宋" panose="02010609060101010101" pitchFamily="3" charset="-122"/>
                <a:ea typeface="仿宋" panose="02010609060101010101" pitchFamily="3" charset="-122"/>
                <a:cs typeface="+mn-cs"/>
              </a:defRPr>
            </a:pPr>
          </a:p>
        </c:txPr>
        <c:crossAx val="90531712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仿宋" panose="02010609060101010101" pitchFamily="3" charset="-122"/>
                <a:ea typeface="仿宋" panose="02010609060101010101" pitchFamily="3" charset="-122"/>
                <a:cs typeface="+mn-cs"/>
              </a:defRPr>
            </a:pPr>
          </a:p>
        </c:txPr>
      </c:dTable>
      <c:spPr>
        <a:noFill/>
        <a:ln>
          <a:noFill/>
        </a:ln>
        <a:effectLst/>
      </c:spPr>
    </c:plotArea>
    <c:plotVisOnly val="1"/>
    <c:dispBlanksAs val="gap"/>
    <c:showDLblsOverMax val="0"/>
    <c:extLst>
      <c:ext uri="{0b15fc19-7d7d-44ad-8c2d-2c3a37ce22c3}">
        <chartProps xmlns="https://web.wps.cn/et/2018/main" chartId="{ab270152-989e-4a31-a57a-9dba93106694}"/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lang="zh-CN">
          <a:latin typeface="仿宋" panose="02010609060101010101" pitchFamily="3" charset="-122"/>
          <a:ea typeface="仿宋" panose="02010609060101010101" pitchFamily="3" charset="-122"/>
        </a:defRPr>
      </a:pPr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lang="zh-CN" sz="1800" b="1" i="0" u="none" strike="noStrike" kern="1200" spc="0" baseline="0">
                <a:solidFill>
                  <a:sysClr val="windowText" lastClr="000000"/>
                </a:solidFill>
                <a:latin typeface="仿宋" panose="02010609060101010101" pitchFamily="3" charset="-122"/>
                <a:ea typeface="仿宋" panose="02010609060101010101" pitchFamily="3" charset="-122"/>
                <a:cs typeface="+mn-cs"/>
              </a:defRPr>
            </a:pPr>
            <a:r>
              <a:rPr lang="en-US" altLang="zh-CN" sz="1800" b="1" i="0" u="none" strike="noStrike" baseline="0">
                <a:effectLst/>
              </a:rPr>
              <a:t>2026</a:t>
            </a:r>
            <a:r>
              <a:rPr lang="zh-CN" altLang="zh-CN" sz="1800" b="1" i="0" u="none" strike="noStrike" baseline="0">
                <a:effectLst/>
              </a:rPr>
              <a:t>年</a:t>
            </a:r>
            <a:r>
              <a:rPr lang="zh-CN" altLang="en-US" sz="1800" b="1">
                <a:solidFill>
                  <a:sysClr val="windowText" lastClr="000000"/>
                </a:solidFill>
              </a:rPr>
              <a:t>工程质量验收</a:t>
            </a:r>
            <a:endParaRPr lang="zh-CN" sz="1800" b="1">
              <a:solidFill>
                <a:sysClr val="windowText" lastClr="000000"/>
              </a:solidFill>
            </a:endParaRP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0.131369255610513"/>
          <c:y val="0.251754472908714"/>
          <c:w val="0.842404577207715"/>
          <c:h val="0.59757342090531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满意率</c:f>
              <c:strCache>
                <c:ptCount val="1"/>
                <c:pt idx="0">
                  <c:v>满意率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pattFill prst="dkHorz">
                <a:fgClr>
                  <a:schemeClr val="accent1"/>
                </a:fgClr>
                <a:bgClr>
                  <a:schemeClr val="bg1"/>
                </a:bgClr>
              </a:pattFill>
              <a:ln>
                <a:solidFill>
                  <a:schemeClr val="bg1">
                    <a:lumMod val="65000"/>
                  </a:schemeClr>
                </a:solidFill>
              </a:ln>
              <a:effectLst/>
            </c:spPr>
          </c:dPt>
          <c:dLbls>
            <c:delete val="1"/>
          </c:dLbls>
          <c:cat>
            <c:strRef>
              <c:f>结果!$B$84:$B$87</c:f>
              <c:strCache>
                <c:ptCount val="4"/>
                <c:pt idx="0">
                  <c:v>该指标总体</c:v>
                </c:pt>
                <c:pt idx="1">
                  <c:v>安装的智能水表</c:v>
                </c:pt>
                <c:pt idx="2">
                  <c:v>接入后的水质水压</c:v>
                </c:pt>
                <c:pt idx="3">
                  <c:v>接水施工及安装</c:v>
                </c:pt>
              </c:strCache>
            </c:strRef>
          </c:cat>
          <c:val>
            <c:numRef>
              <c:f>结果!$C$84:$C$87</c:f>
              <c:numCache>
                <c:formatCode>0.00%</c:formatCode>
                <c:ptCount val="4"/>
                <c:pt idx="0">
                  <c:v>1</c:v>
                </c:pt>
                <c:pt idx="1">
                  <c:v>1</c:v>
                </c:pt>
                <c:pt idx="2">
                  <c:v>1</c:v>
                </c:pt>
                <c:pt idx="3">
                  <c:v>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90531712"/>
        <c:axId val="90533248"/>
      </c:barChart>
      <c:catAx>
        <c:axId val="9053171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仿宋" panose="02010609060101010101" pitchFamily="3" charset="-122"/>
                <a:ea typeface="仿宋" panose="02010609060101010101" pitchFamily="3" charset="-122"/>
                <a:cs typeface="+mn-cs"/>
              </a:defRPr>
            </a:pPr>
          </a:p>
        </c:txPr>
        <c:crossAx val="90533248"/>
        <c:crosses val="autoZero"/>
        <c:auto val="1"/>
        <c:lblAlgn val="ctr"/>
        <c:lblOffset val="100"/>
        <c:noMultiLvlLbl val="0"/>
      </c:catAx>
      <c:valAx>
        <c:axId val="90533248"/>
        <c:scaling>
          <c:orientation val="minMax"/>
          <c:max val="1"/>
          <c:min val="0.95"/>
        </c:scaling>
        <c:delete val="1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out"/>
        <c:minorTickMark val="none"/>
        <c:tickLblPos val="nextTo"/>
        <c:txPr>
          <a:bodyPr rot="-6000000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仿宋" panose="02010609060101010101" pitchFamily="3" charset="-122"/>
                <a:ea typeface="仿宋" panose="02010609060101010101" pitchFamily="3" charset="-122"/>
                <a:cs typeface="+mn-cs"/>
              </a:defRPr>
            </a:pPr>
          </a:p>
        </c:txPr>
        <c:crossAx val="90531712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仿宋" panose="02010609060101010101" pitchFamily="3" charset="-122"/>
                <a:ea typeface="仿宋" panose="02010609060101010101" pitchFamily="3" charset="-122"/>
                <a:cs typeface="+mn-cs"/>
              </a:defRPr>
            </a:pPr>
          </a:p>
        </c:txPr>
      </c:dTable>
      <c:spPr>
        <a:noFill/>
        <a:ln>
          <a:noFill/>
        </a:ln>
        <a:effectLst/>
      </c:spPr>
    </c:plotArea>
    <c:plotVisOnly val="1"/>
    <c:dispBlanksAs val="gap"/>
    <c:showDLblsOverMax val="0"/>
    <c:extLst>
      <c:ext uri="{0b15fc19-7d7d-44ad-8c2d-2c3a37ce22c3}">
        <chartProps xmlns="https://web.wps.cn/et/2018/main" chartId="{388b7455-7e51-41f3-a5bd-3b1db08e3906}"/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lang="zh-CN">
          <a:latin typeface="仿宋" panose="02010609060101010101" pitchFamily="3" charset="-122"/>
          <a:ea typeface="仿宋" panose="02010609060101010101" pitchFamily="3" charset="-122"/>
        </a:defRPr>
      </a:pPr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lang="zh-CN" sz="1800" b="1" i="0" u="none" strike="noStrike" kern="1200" spc="0" baseline="0">
                <a:solidFill>
                  <a:sysClr val="windowText" lastClr="000000"/>
                </a:solidFill>
                <a:latin typeface="仿宋" panose="02010609060101010101" pitchFamily="3" charset="-122"/>
                <a:ea typeface="仿宋" panose="02010609060101010101" pitchFamily="3" charset="-122"/>
                <a:cs typeface="+mn-cs"/>
              </a:defRPr>
            </a:pPr>
            <a:r>
              <a:rPr lang="en-US" altLang="zh-CN" sz="1800" b="1" i="0" u="none" strike="noStrike" baseline="0">
                <a:effectLst/>
              </a:rPr>
              <a:t>2026</a:t>
            </a:r>
            <a:r>
              <a:rPr lang="zh-CN" altLang="zh-CN" sz="1800" b="1" i="0" u="none" strike="noStrike" baseline="0">
                <a:effectLst/>
              </a:rPr>
              <a:t>年</a:t>
            </a:r>
            <a:r>
              <a:rPr lang="zh-CN" altLang="en-US" sz="1800" b="1">
                <a:solidFill>
                  <a:sysClr val="windowText" lastClr="000000"/>
                </a:solidFill>
              </a:rPr>
              <a:t>签订供用水合同</a:t>
            </a:r>
            <a:endParaRPr lang="zh-CN" sz="1800" b="1">
              <a:solidFill>
                <a:sysClr val="windowText" lastClr="000000"/>
              </a:solidFill>
            </a:endParaRP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0.131369255610513"/>
          <c:y val="0.251754472908714"/>
          <c:w val="0.842404577207715"/>
          <c:h val="0.59757342090531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满意率</c:f>
              <c:strCache>
                <c:ptCount val="1"/>
                <c:pt idx="0">
                  <c:v>满意率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pattFill prst="dkHorz">
                <a:fgClr>
                  <a:schemeClr val="accent1"/>
                </a:fgClr>
                <a:bgClr>
                  <a:schemeClr val="bg1"/>
                </a:bgClr>
              </a:pattFill>
              <a:ln>
                <a:solidFill>
                  <a:schemeClr val="bg1">
                    <a:lumMod val="65000"/>
                  </a:schemeClr>
                </a:solidFill>
              </a:ln>
              <a:effectLst/>
            </c:spPr>
          </c:dPt>
          <c:dLbls>
            <c:delete val="1"/>
          </c:dLbls>
          <c:cat>
            <c:strRef>
              <c:f>结果!$B$88:$B$90</c:f>
              <c:strCache>
                <c:ptCount val="3"/>
                <c:pt idx="0">
                  <c:v>该指标总体</c:v>
                </c:pt>
                <c:pt idx="1">
                  <c:v>移交材料的质量</c:v>
                </c:pt>
                <c:pt idx="2">
                  <c:v>签订供用水合同</c:v>
                </c:pt>
              </c:strCache>
            </c:strRef>
          </c:cat>
          <c:val>
            <c:numRef>
              <c:f>结果!$C$88:$C$90</c:f>
              <c:numCache>
                <c:formatCode>0.00%</c:formatCode>
                <c:ptCount val="3"/>
                <c:pt idx="0">
                  <c:v>1</c:v>
                </c:pt>
                <c:pt idx="1">
                  <c:v>1</c:v>
                </c:pt>
                <c:pt idx="2">
                  <c:v>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90531712"/>
        <c:axId val="90533248"/>
      </c:barChart>
      <c:catAx>
        <c:axId val="9053171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仿宋" panose="02010609060101010101" pitchFamily="3" charset="-122"/>
                <a:ea typeface="仿宋" panose="02010609060101010101" pitchFamily="3" charset="-122"/>
                <a:cs typeface="+mn-cs"/>
              </a:defRPr>
            </a:pPr>
          </a:p>
        </c:txPr>
        <c:crossAx val="90533248"/>
        <c:crosses val="autoZero"/>
        <c:auto val="1"/>
        <c:lblAlgn val="ctr"/>
        <c:lblOffset val="100"/>
        <c:noMultiLvlLbl val="0"/>
      </c:catAx>
      <c:valAx>
        <c:axId val="90533248"/>
        <c:scaling>
          <c:orientation val="minMax"/>
          <c:max val="1"/>
          <c:min val="0.98"/>
        </c:scaling>
        <c:delete val="1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out"/>
        <c:minorTickMark val="none"/>
        <c:tickLblPos val="nextTo"/>
        <c:txPr>
          <a:bodyPr rot="-6000000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仿宋" panose="02010609060101010101" pitchFamily="3" charset="-122"/>
                <a:ea typeface="仿宋" panose="02010609060101010101" pitchFamily="3" charset="-122"/>
                <a:cs typeface="+mn-cs"/>
              </a:defRPr>
            </a:pPr>
          </a:p>
        </c:txPr>
        <c:crossAx val="90531712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仿宋" panose="02010609060101010101" pitchFamily="3" charset="-122"/>
                <a:ea typeface="仿宋" panose="02010609060101010101" pitchFamily="3" charset="-122"/>
                <a:cs typeface="+mn-cs"/>
              </a:defRPr>
            </a:pPr>
          </a:p>
        </c:txPr>
      </c:dTable>
      <c:spPr>
        <a:noFill/>
        <a:ln>
          <a:noFill/>
        </a:ln>
        <a:effectLst/>
      </c:spPr>
    </c:plotArea>
    <c:plotVisOnly val="1"/>
    <c:dispBlanksAs val="gap"/>
    <c:showDLblsOverMax val="0"/>
    <c:extLst>
      <c:ext uri="{0b15fc19-7d7d-44ad-8c2d-2c3a37ce22c3}">
        <chartProps xmlns="https://web.wps.cn/et/2018/main" chartId="{e5af31a5-0fa0-4cac-a2da-8e238ac963d5}"/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lang="zh-CN">
          <a:latin typeface="仿宋" panose="02010609060101010101" pitchFamily="3" charset="-122"/>
          <a:ea typeface="仿宋" panose="02010609060101010101" pitchFamily="3" charset="-122"/>
        </a:defRPr>
      </a:pPr>
    </a:p>
  </c:tx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lang="zh-CN" sz="1800" b="1" i="0" u="none" strike="noStrike" kern="1200" spc="0" baseline="0">
                <a:solidFill>
                  <a:sysClr val="windowText" lastClr="000000"/>
                </a:solidFill>
                <a:latin typeface="仿宋" panose="02010609060101010101" pitchFamily="3" charset="-122"/>
                <a:ea typeface="仿宋" panose="02010609060101010101" pitchFamily="3" charset="-122"/>
                <a:cs typeface="+mn-cs"/>
              </a:defRPr>
            </a:pPr>
            <a:r>
              <a:rPr lang="en-US" altLang="zh-CN" sz="1800" b="1">
                <a:solidFill>
                  <a:sysClr val="windowText" lastClr="000000"/>
                </a:solidFill>
              </a:rPr>
              <a:t>2026</a:t>
            </a:r>
            <a:r>
              <a:rPr lang="zh-CN" altLang="en-US" sz="1800" b="1">
                <a:solidFill>
                  <a:sysClr val="windowText" lastClr="000000"/>
                </a:solidFill>
              </a:rPr>
              <a:t>年总体服务</a:t>
            </a:r>
            <a:endParaRPr lang="zh-CN" sz="1800" b="1">
              <a:solidFill>
                <a:sysClr val="windowText" lastClr="000000"/>
              </a:solidFill>
            </a:endParaRP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0.131369255610513"/>
          <c:y val="0.269298338616639"/>
          <c:w val="0.842404577207715"/>
          <c:h val="0.58002955519738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满意率</c:f>
              <c:strCache>
                <c:ptCount val="1"/>
                <c:pt idx="0">
                  <c:v>满意率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pattFill prst="dkHorz">
                <a:fgClr>
                  <a:schemeClr val="accent1"/>
                </a:fgClr>
                <a:bgClr>
                  <a:schemeClr val="bg1"/>
                </a:bgClr>
              </a:pattFill>
              <a:ln>
                <a:solidFill>
                  <a:schemeClr val="bg1">
                    <a:lumMod val="65000"/>
                  </a:schemeClr>
                </a:solidFill>
              </a:ln>
              <a:effectLst/>
            </c:spPr>
          </c:dPt>
          <c:dLbls>
            <c:delete val="1"/>
          </c:dLbls>
          <c:cat>
            <c:strRef>
              <c:f>结果!$B$91:$B$93</c:f>
              <c:strCache>
                <c:ptCount val="3"/>
                <c:pt idx="0">
                  <c:v>该指标总体</c:v>
                </c:pt>
                <c:pt idx="1">
                  <c:v>供水接入耗时</c:v>
                </c:pt>
                <c:pt idx="2">
                  <c:v>免费接入</c:v>
                </c:pt>
              </c:strCache>
            </c:strRef>
          </c:cat>
          <c:val>
            <c:numRef>
              <c:f>结果!$C$91:$C$93</c:f>
              <c:numCache>
                <c:formatCode>0.00%</c:formatCode>
                <c:ptCount val="3"/>
                <c:pt idx="0">
                  <c:v>1</c:v>
                </c:pt>
                <c:pt idx="1">
                  <c:v>1</c:v>
                </c:pt>
                <c:pt idx="2">
                  <c:v>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90531712"/>
        <c:axId val="90533248"/>
      </c:barChart>
      <c:catAx>
        <c:axId val="9053171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仿宋" panose="02010609060101010101" pitchFamily="3" charset="-122"/>
                <a:ea typeface="仿宋" panose="02010609060101010101" pitchFamily="3" charset="-122"/>
                <a:cs typeface="+mn-cs"/>
              </a:defRPr>
            </a:pPr>
          </a:p>
        </c:txPr>
        <c:crossAx val="90533248"/>
        <c:crosses val="autoZero"/>
        <c:auto val="1"/>
        <c:lblAlgn val="ctr"/>
        <c:lblOffset val="100"/>
        <c:noMultiLvlLbl val="0"/>
      </c:catAx>
      <c:valAx>
        <c:axId val="90533248"/>
        <c:scaling>
          <c:orientation val="minMax"/>
          <c:max val="1"/>
          <c:min val="0.95"/>
        </c:scaling>
        <c:delete val="1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out"/>
        <c:minorTickMark val="none"/>
        <c:tickLblPos val="nextTo"/>
        <c:txPr>
          <a:bodyPr rot="-6000000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仿宋" panose="02010609060101010101" pitchFamily="3" charset="-122"/>
                <a:ea typeface="仿宋" panose="02010609060101010101" pitchFamily="3" charset="-122"/>
                <a:cs typeface="+mn-cs"/>
              </a:defRPr>
            </a:pPr>
          </a:p>
        </c:txPr>
        <c:crossAx val="90531712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仿宋" panose="02010609060101010101" pitchFamily="3" charset="-122"/>
                <a:ea typeface="仿宋" panose="02010609060101010101" pitchFamily="3" charset="-122"/>
                <a:cs typeface="+mn-cs"/>
              </a:defRPr>
            </a:pPr>
          </a:p>
        </c:txPr>
      </c:dTable>
      <c:spPr>
        <a:noFill/>
        <a:ln>
          <a:noFill/>
        </a:ln>
        <a:effectLst/>
      </c:spPr>
    </c:plotArea>
    <c:plotVisOnly val="1"/>
    <c:dispBlanksAs val="gap"/>
    <c:showDLblsOverMax val="0"/>
    <c:extLst>
      <c:ext uri="{0b15fc19-7d7d-44ad-8c2d-2c3a37ce22c3}">
        <chartProps xmlns="https://web.wps.cn/et/2018/main" chartId="{ec745d13-86aa-4543-a9f6-a8d020cfb3f1}"/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lang="zh-CN">
          <a:latin typeface="仿宋" panose="02010609060101010101" pitchFamily="3" charset="-122"/>
          <a:ea typeface="仿宋" panose="02010609060101010101" pitchFamily="3" charset="-122"/>
        </a:defRPr>
      </a:pPr>
    </a:p>
  </c:tx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lang="zh-CN" sz="1800" b="1" i="0" u="none" strike="noStrike" kern="1200" baseline="0">
                <a:solidFill>
                  <a:schemeClr val="tx1"/>
                </a:solidFill>
                <a:latin typeface="仿宋_GB2312" panose="02010609030101010101" pitchFamily="3" charset="-122"/>
                <a:ea typeface="仿宋_GB2312" panose="02010609030101010101" pitchFamily="3" charset="-122"/>
                <a:cs typeface="+mn-cs"/>
              </a:defRPr>
            </a:pPr>
            <a:r>
              <a:rPr lang="en-US" altLang="zh-CN">
                <a:latin typeface="仿宋_GB2312" panose="02010609030101010101" pitchFamily="3" charset="-122"/>
                <a:ea typeface="仿宋_GB2312" panose="02010609030101010101" pitchFamily="3" charset="-122"/>
              </a:rPr>
              <a:t>2026</a:t>
            </a:r>
            <a:r>
              <a:rPr lang="zh-CN" altLang="en-US">
                <a:latin typeface="仿宋_GB2312" panose="02010609030101010101" pitchFamily="3" charset="-122"/>
                <a:ea typeface="仿宋_GB2312" panose="02010609030101010101" pitchFamily="3" charset="-122"/>
              </a:rPr>
              <a:t>年各水司比较</a:t>
            </a:r>
            <a:endParaRPr lang="zh-CN" altLang="en-US">
              <a:latin typeface="仿宋_GB2312" panose="02010609030101010101" pitchFamily="3" charset="-122"/>
              <a:ea typeface="仿宋_GB2312" panose="02010609030101010101" pitchFamily="3" charset="-122"/>
            </a:endParaRP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0.0276945158118438"/>
          <c:y val="0.278493024586042"/>
          <c:w val="0.944610968376312"/>
          <c:h val="0.53265399595353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结果!$B$127</c:f>
              <c:strCache>
                <c:ptCount val="1"/>
                <c:pt idx="0">
                  <c:v>各水司满意率</c:v>
                </c:pt>
              </c:strCache>
            </c:strRef>
          </c:tx>
          <c:spPr>
            <a:solidFill>
              <a:schemeClr val="accent1">
                <a:tint val="77000"/>
              </a:schemeClr>
            </a:solidFill>
            <a:ln>
              <a:noFill/>
            </a:ln>
            <a:effectLst>
              <a:outerShdw blurRad="40000" dist="20000" dir="5400000" rotWithShape="0">
                <a:srgbClr val="000000">
                  <a:alpha val="38000"/>
                </a:srgbClr>
              </a:outerShdw>
            </a:effectLst>
          </c:spPr>
          <c:invertIfNegative val="0"/>
          <c:dPt>
            <c:idx val="7"/>
            <c:invertIfNegative val="0"/>
            <c:bubble3D val="0"/>
          </c:dPt>
          <c:dPt>
            <c:idx val="9"/>
            <c:invertIfNegative val="0"/>
            <c:bubble3D val="0"/>
          </c:dPt>
          <c:dLbls>
            <c:dLbl>
              <c:idx val="0"/>
              <c:delete val="1"/>
            </c:dLbl>
            <c:dLbl>
              <c:idx val="1"/>
              <c:layout>
                <c:manualLayout>
                  <c:x val="0.364084059554245"/>
                  <c:y val="-0.068228107124907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delete val="1"/>
            </c:dLbl>
            <c:dLbl>
              <c:idx val="3"/>
              <c:delete val="1"/>
            </c:dLbl>
            <c:dLbl>
              <c:idx val="4"/>
              <c:delete val="1"/>
            </c:dLbl>
            <c:dLbl>
              <c:idx val="5"/>
              <c:delete val="1"/>
            </c:dLbl>
            <c:dLbl>
              <c:idx val="6"/>
              <c:delete val="1"/>
            </c:dLbl>
            <c:dLbl>
              <c:idx val="7"/>
              <c:delete val="1"/>
            </c:dLbl>
            <c:dLbl>
              <c:idx val="8"/>
              <c:delete val="1"/>
            </c:dLbl>
            <c:dLbl>
              <c:idx val="9"/>
              <c:delete val="1"/>
            </c:dLbl>
            <c:dLbl>
              <c:idx val="10"/>
              <c:delete val="1"/>
            </c:dLbl>
            <c:dLbl>
              <c:idx val="11"/>
              <c:delete val="1"/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lang="zh-CN" sz="800" b="0" i="0" u="none" strike="noStrike" kern="1200" baseline="0">
                    <a:solidFill>
                      <a:schemeClr val="tx1"/>
                    </a:solidFill>
                    <a:latin typeface="仿宋_GB2312" panose="02010609030101010101" pitchFamily="3" charset="-122"/>
                    <a:ea typeface="仿宋_GB2312" panose="02010609030101010101" pitchFamily="3" charset="-122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>
                  <c:spPr>
                    <a:ln w="9525" cap="flat" cmpd="sng" algn="ctr">
                      <a:solidFill>
                        <a:schemeClr val="tx1">
                          <a:shade val="95000"/>
                          <a:satMod val="105000"/>
                        </a:schemeClr>
                      </a:solidFill>
                      <a:prstDash val="solid"/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结果!$A$128:$A$139</c:f>
              <c:strCache>
                <c:ptCount val="12"/>
                <c:pt idx="0">
                  <c:v>奉贤</c:v>
                </c:pt>
                <c:pt idx="1">
                  <c:v>嘉定</c:v>
                </c:pt>
                <c:pt idx="2">
                  <c:v>金山</c:v>
                </c:pt>
                <c:pt idx="3">
                  <c:v>市北宝山</c:v>
                </c:pt>
                <c:pt idx="4">
                  <c:v>临港</c:v>
                </c:pt>
                <c:pt idx="5">
                  <c:v>南汇</c:v>
                </c:pt>
                <c:pt idx="6">
                  <c:v>浦东新区</c:v>
                </c:pt>
                <c:pt idx="7">
                  <c:v>青浦</c:v>
                </c:pt>
                <c:pt idx="8">
                  <c:v>松江</c:v>
                </c:pt>
                <c:pt idx="9">
                  <c:v>崇明</c:v>
                </c:pt>
                <c:pt idx="10">
                  <c:v>威立雅</c:v>
                </c:pt>
                <c:pt idx="11">
                  <c:v>城投水务</c:v>
                </c:pt>
              </c:strCache>
            </c:strRef>
          </c:cat>
          <c:val>
            <c:numRef>
              <c:f>结果!$B$128:$B$139</c:f>
              <c:numCache>
                <c:formatCode>0.00%</c:formatCode>
                <c:ptCount val="12"/>
                <c:pt idx="0">
                  <c:v>1</c:v>
                </c:pt>
                <c:pt idx="1">
                  <c:v>1</c:v>
                </c:pt>
                <c:pt idx="2">
                  <c:v>1</c:v>
                </c:pt>
                <c:pt idx="3">
                  <c:v>1</c:v>
                </c:pt>
                <c:pt idx="4">
                  <c:v>1</c:v>
                </c:pt>
                <c:pt idx="5">
                  <c:v>1</c:v>
                </c:pt>
                <c:pt idx="6">
                  <c:v>1</c:v>
                </c:pt>
                <c:pt idx="7">
                  <c:v>1</c:v>
                </c:pt>
                <c:pt idx="8">
                  <c:v>1</c:v>
                </c:pt>
                <c:pt idx="9">
                  <c:v>1</c:v>
                </c:pt>
                <c:pt idx="10">
                  <c:v>1</c:v>
                </c:pt>
                <c:pt idx="11">
                  <c:v>1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-25"/>
        <c:axId val="90221952"/>
        <c:axId val="90223744"/>
      </c:barChart>
      <c:lineChart>
        <c:grouping val="standard"/>
        <c:varyColors val="0"/>
        <c:ser>
          <c:idx val="1"/>
          <c:order val="1"/>
          <c:tx>
            <c:strRef>
              <c:f>结果!$C$127</c:f>
              <c:strCache>
                <c:ptCount val="1"/>
                <c:pt idx="0">
                  <c:v>总体满意率</c:v>
                </c:pt>
              </c:strCache>
            </c:strRef>
          </c:tx>
          <c:spPr>
            <a:ln w="28575" cap="rnd" cmpd="sng" algn="ctr">
              <a:solidFill>
                <a:schemeClr val="accent4">
                  <a:lumMod val="75000"/>
                </a:schemeClr>
              </a:solidFill>
              <a:prstDash val="solid"/>
              <a:round/>
            </a:ln>
            <a:effectLst/>
          </c:spPr>
          <c:marker>
            <c:symbol val="none"/>
          </c:marker>
          <c:dLbls>
            <c:dLbl>
              <c:idx val="0"/>
              <c:delete val="1"/>
            </c:dLbl>
            <c:dLbl>
              <c:idx val="1"/>
              <c:delete val="1"/>
            </c:dLbl>
            <c:dLbl>
              <c:idx val="2"/>
              <c:delete val="1"/>
            </c:dLbl>
            <c:dLbl>
              <c:idx val="3"/>
              <c:delete val="1"/>
            </c:dLbl>
            <c:dLbl>
              <c:idx val="4"/>
              <c:delete val="1"/>
            </c:dLbl>
            <c:dLbl>
              <c:idx val="5"/>
              <c:delete val="1"/>
            </c:dLbl>
            <c:dLbl>
              <c:idx val="6"/>
              <c:delete val="1"/>
            </c:dLbl>
            <c:dLbl>
              <c:idx val="7"/>
              <c:delete val="1"/>
            </c:dLbl>
            <c:dLbl>
              <c:idx val="8"/>
              <c:delete val="1"/>
            </c:dLbl>
            <c:dLbl>
              <c:idx val="9"/>
              <c:delete val="1"/>
            </c:dLbl>
            <c:dLbl>
              <c:idx val="10"/>
              <c:delete val="1"/>
            </c:dLbl>
            <c:dLbl>
              <c:idx val="11"/>
              <c:layout>
                <c:manualLayout>
                  <c:x val="-0.0280291496177879"/>
                  <c:y val="-0.142475967557661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solidFill>
                <a:schemeClr val="accent4">
                  <a:lumMod val="60000"/>
                  <a:lumOff val="40000"/>
                </a:schemeClr>
              </a:solidFill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仿宋_GB2312" panose="02010609030101010101" pitchFamily="3" charset="-122"/>
                    <a:ea typeface="仿宋_GB2312" panose="02010609030101010101" pitchFamily="3" charset="-122"/>
                    <a:cs typeface="+mn-cs"/>
                  </a:defRPr>
                </a:pPr>
              </a:p>
            </c:txPr>
            <c:dLblPos val="r"/>
            <c:showLegendKey val="0"/>
            <c:showVal val="0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shade val="95000"/>
                          <a:satMod val="105000"/>
                        </a:schemeClr>
                      </a:solidFill>
                      <a:prstDash val="solid"/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结果!$A$128:$A$139</c:f>
              <c:strCache>
                <c:ptCount val="12"/>
                <c:pt idx="0">
                  <c:v>奉贤</c:v>
                </c:pt>
                <c:pt idx="1">
                  <c:v>嘉定</c:v>
                </c:pt>
                <c:pt idx="2">
                  <c:v>金山</c:v>
                </c:pt>
                <c:pt idx="3">
                  <c:v>市北宝山</c:v>
                </c:pt>
                <c:pt idx="4">
                  <c:v>临港</c:v>
                </c:pt>
                <c:pt idx="5">
                  <c:v>南汇</c:v>
                </c:pt>
                <c:pt idx="6">
                  <c:v>浦东新区</c:v>
                </c:pt>
                <c:pt idx="7">
                  <c:v>青浦</c:v>
                </c:pt>
                <c:pt idx="8">
                  <c:v>松江</c:v>
                </c:pt>
                <c:pt idx="9">
                  <c:v>崇明</c:v>
                </c:pt>
                <c:pt idx="10">
                  <c:v>威立雅</c:v>
                </c:pt>
                <c:pt idx="11">
                  <c:v>城投水务</c:v>
                </c:pt>
              </c:strCache>
            </c:strRef>
          </c:cat>
          <c:val>
            <c:numRef>
              <c:f>结果!$C$128:$C$139</c:f>
              <c:numCache>
                <c:formatCode>0.00%</c:formatCode>
                <c:ptCount val="12"/>
                <c:pt idx="0">
                  <c:v>1</c:v>
                </c:pt>
                <c:pt idx="1">
                  <c:v>1</c:v>
                </c:pt>
                <c:pt idx="2">
                  <c:v>1</c:v>
                </c:pt>
                <c:pt idx="3">
                  <c:v>1</c:v>
                </c:pt>
                <c:pt idx="4">
                  <c:v>1</c:v>
                </c:pt>
                <c:pt idx="5">
                  <c:v>1</c:v>
                </c:pt>
                <c:pt idx="6">
                  <c:v>1</c:v>
                </c:pt>
                <c:pt idx="7">
                  <c:v>1</c:v>
                </c:pt>
                <c:pt idx="8">
                  <c:v>1</c:v>
                </c:pt>
                <c:pt idx="9">
                  <c:v>1</c:v>
                </c:pt>
                <c:pt idx="10">
                  <c:v>1</c:v>
                </c:pt>
                <c:pt idx="11">
                  <c:v>1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0"/>
        <c:smooth val="0"/>
        <c:axId val="90221952"/>
        <c:axId val="90223744"/>
      </c:lineChart>
      <c:catAx>
        <c:axId val="90221952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tint val="75000"/>
                <a:shade val="95000"/>
                <a:satMod val="10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1000" b="0" i="0" u="none" strike="noStrike" kern="1200" baseline="0">
                <a:solidFill>
                  <a:schemeClr val="tx1"/>
                </a:solidFill>
                <a:latin typeface="仿宋_GB2312" panose="02010609030101010101" pitchFamily="3" charset="-122"/>
                <a:ea typeface="仿宋_GB2312" panose="02010609030101010101" pitchFamily="3" charset="-122"/>
                <a:cs typeface="+mn-cs"/>
              </a:defRPr>
            </a:pPr>
          </a:p>
        </c:txPr>
        <c:crossAx val="90223744"/>
        <c:crosses val="autoZero"/>
        <c:auto val="1"/>
        <c:lblAlgn val="ctr"/>
        <c:lblOffset val="100"/>
        <c:noMultiLvlLbl val="0"/>
      </c:catAx>
      <c:valAx>
        <c:axId val="90223744"/>
        <c:scaling>
          <c:orientation val="minMax"/>
        </c:scaling>
        <c:delete val="1"/>
        <c:axPos val="l"/>
        <c:numFmt formatCode="0.00%" sourceLinked="1"/>
        <c:majorTickMark val="out"/>
        <c:minorTickMark val="none"/>
        <c:tickLblPos val="nextTo"/>
        <c:txPr>
          <a:bodyPr rot="-60000000" spcFirstLastPara="0" vertOverflow="ellipsis" vert="horz" wrap="square" anchor="ctr" anchorCtr="1"/>
          <a:lstStyle/>
          <a:p>
            <a:pPr>
              <a:defRPr lang="zh-CN" sz="10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</a:p>
        </c:txPr>
        <c:crossAx val="90221952"/>
        <c:crosses val="autoZero"/>
        <c:crossBetween val="between"/>
      </c:valAx>
      <c:spPr>
        <a:solidFill>
          <a:schemeClr val="bg1"/>
        </a:solidFill>
        <a:ln>
          <a:noFill/>
        </a:ln>
        <a:effectLst/>
      </c:spPr>
    </c:plotArea>
    <c:legend>
      <c:legendPos val="t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1000" b="0" i="0" u="none" strike="noStrike" kern="1200" baseline="0">
              <a:solidFill>
                <a:schemeClr val="tx1"/>
              </a:solidFill>
              <a:latin typeface="仿宋_GB2312" panose="02010609030101010101" pitchFamily="3" charset="-122"/>
              <a:ea typeface="仿宋_GB2312" panose="02010609030101010101" pitchFamily="3" charset="-122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311be305-e60e-4d65-9d62-5b6d64fc39a0}"/>
      </c:ext>
    </c:extLst>
  </c:chart>
  <c:spPr>
    <a:solidFill>
      <a:schemeClr val="bg1"/>
    </a:solidFill>
    <a:ln w="9525" cap="flat" cmpd="sng" algn="ctr">
      <a:noFill/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  <c:userShapes r:id="rId3"/>
</c:chartSpace>
</file>

<file path=word/charts/colors1.xml><?xml version="1.0" encoding="utf-8"?>
<cs:colorStyle xmlns:cs="http://schemas.microsoft.com/office/drawing/2012/chartStyle" xmlns:a="http://schemas.openxmlformats.org/drawingml/2006/main" meth="withinLinear" id="14">
  <a:schemeClr val="accent1"/>
</cs:colorStyle>
</file>

<file path=word/charts/colors2.xml><?xml version="1.0" encoding="utf-8"?>
<cs:colorStyle xmlns:cs="http://schemas.microsoft.com/office/drawing/2012/chartStyle" xmlns:a="http://schemas.openxmlformats.org/drawingml/2006/main" meth="withinLinearReversed" id="21">
  <a:schemeClr val="accent1"/>
</cs:colorStyle>
</file>

<file path=word/charts/colors3.xml><?xml version="1.0" encoding="utf-8"?>
<cs:colorStyle xmlns:cs="http://schemas.microsoft.com/office/drawing/2012/chartStyle" xmlns:a="http://schemas.openxmlformats.org/drawingml/2006/main" meth="withinLinear" id="14">
  <a:schemeClr val="accent1"/>
</cs:colorStyle>
</file>

<file path=word/charts/colors4.xml><?xml version="1.0" encoding="utf-8"?>
<cs:colorStyle xmlns:cs="http://schemas.microsoft.com/office/drawing/2012/chartStyle" xmlns:a="http://schemas.openxmlformats.org/drawingml/2006/main" meth="withinLinear" id="14">
  <a:schemeClr val="accent1"/>
</cs:colorStyle>
</file>

<file path=word/charts/colors5.xml><?xml version="1.0" encoding="utf-8"?>
<cs:colorStyle xmlns:cs="http://schemas.microsoft.com/office/drawing/2012/chartStyle" xmlns:a="http://schemas.openxmlformats.org/drawingml/2006/main" meth="withinLinear" id="14">
  <a:schemeClr val="accent1"/>
</cs:colorStyle>
</file>

<file path=word/charts/colors6.xml><?xml version="1.0" encoding="utf-8"?>
<cs:colorStyle xmlns:cs="http://schemas.microsoft.com/office/drawing/2012/chartStyle" xmlns:a="http://schemas.openxmlformats.org/drawingml/2006/main" meth="withinLinear" id="14">
  <a:schemeClr val="accent1"/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102">
  <cs:axisTitle>
    <cs:lnRef idx="0"/>
    <cs:fillRef idx="0"/>
    <cs:effectRef idx="0"/>
    <cs:fontRef idx="minor">
      <a:schemeClr val="tx1"/>
    </cs:fontRef>
    <cs:defRPr sz="1000" b="1" kern="1200"/>
  </cs:axisTitle>
  <cs:category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categoryAxis>
  <cs:chartArea mods="allowNoFillOverride allowNoLineOverride">
    <cs:lnRef idx="1">
      <a:schemeClr val="tx1">
        <a:tint val="75000"/>
      </a:schemeClr>
    </cs:lnRef>
    <cs:fillRef idx="1">
      <a:schemeClr val="bg1"/>
    </cs:fillRef>
    <cs:effectRef idx="0"/>
    <cs:fontRef idx="minor">
      <a:schemeClr val="tx1"/>
    </cs:fontRef>
    <cs:spPr>
      <a:ln>
        <a:round/>
      </a:ln>
    </cs:spPr>
    <cs:defRPr sz="1000" kern="1200"/>
  </cs:chartArea>
  <cs:dataLabel>
    <cs:lnRef idx="0"/>
    <cs:fillRef idx="0"/>
    <cs:effectRef idx="0"/>
    <cs:fontRef idx="minor">
      <a:schemeClr val="tx1"/>
    </cs:fontRef>
    <cs:defRPr sz="1000" kern="1200"/>
  </cs:dataLabel>
  <cs:dataLabelCallout>
    <cs:lnRef idx="0"/>
    <cs:fillRef idx="0"/>
    <cs:effectRef idx="0"/>
    <cs:fontRef idx="minor">
      <a:schemeClr val="dk1"/>
    </cs:fontRef>
    <cs:spPr>
      <a:solidFill>
        <a:schemeClr val="lt1"/>
      </a:solidFill>
      <a:ln>
        <a:solidFill>
          <a:schemeClr val="dk1">
            <a:lumMod val="65000"/>
            <a:lumOff val="35000"/>
          </a:schemeClr>
        </a:solidFill>
      </a:ln>
    </cs:spPr>
    <cs:defRPr sz="1000" kern="1200"/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1">
      <cs:styleClr val="auto"/>
    </cs:lnRef>
    <cs:lineWidthScale>3</cs:lineWidthScale>
    <cs:fillRef idx="0"/>
    <cs:effectRef idx="0"/>
    <cs:fontRef idx="minor">
      <a:schemeClr val="tx1"/>
    </cs:fontRef>
    <cs:spPr>
      <a:ln cap="rnd">
        <a:round/>
      </a:ln>
    </cs:spPr>
  </cs:dataPointLine>
  <cs:dataPointMarker>
    <cs:lnRef idx="1">
      <cs:styleClr val="auto"/>
    </cs:lnRef>
    <cs:fillRef idx="1">
      <cs:styleClr val="auto"/>
    </cs:fillRef>
    <cs:effectRef idx="0"/>
    <cs:fontRef idx="minor">
      <a:schemeClr val="tx1"/>
    </cs:fontRef>
    <cs:spPr>
      <a:ln>
        <a:round/>
      </a:ln>
    </cs:spPr>
  </cs:dataPointMarker>
  <cs:dataPointMarkerLayout/>
  <cs:dataPointWireframe>
    <cs:lnRef idx="1">
      <cs:styleClr val="auto"/>
    </cs:lnRef>
    <cs:fillRef idx="0"/>
    <cs:effectRef idx="0"/>
    <cs:fontRef idx="minor">
      <a:schemeClr val="tx1"/>
    </cs:fontRef>
    <cs:spPr>
      <a:ln>
        <a:round/>
      </a:ln>
    </cs:spPr>
  </cs:dataPointWireframe>
  <cs:dataTable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dataTable>
  <cs:downBar>
    <cs:lnRef idx="1">
      <a:schemeClr val="tx1"/>
    </cs:lnRef>
    <cs:fillRef idx="1">
      <a:schemeClr val="dk1">
        <a:tint val="95000"/>
      </a:schemeClr>
    </cs:fillRef>
    <cs:effectRef idx="0"/>
    <cs:fontRef idx="minor">
      <a:schemeClr val="tx1"/>
    </cs:fontRef>
    <cs:spPr>
      <a:ln>
        <a:round/>
      </a:ln>
    </cs:spPr>
  </cs:downBar>
  <cs:drop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dropLine>
  <cs:errorBar>
    <cs:lnRef idx="1">
      <a:schemeClr val="tx1"/>
    </cs:lnRef>
    <cs:fillRef idx="1">
      <a:schemeClr val="tx1"/>
    </cs:fillRef>
    <cs:effectRef idx="0"/>
    <cs:fontRef idx="minor">
      <a:schemeClr val="tx1"/>
    </cs:fontRef>
    <cs:spPr>
      <a:ln>
        <a:round/>
      </a:ln>
    </cs:spPr>
  </cs:errorBar>
  <cs:flo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floor>
  <cs:gridlineMaj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gridlineMajor>
  <cs:gridlineMinor>
    <cs:lnRef idx="1">
      <a:schemeClr val="tx1">
        <a:tint val="50000"/>
      </a:schemeClr>
    </cs:lnRef>
    <cs:fillRef idx="0"/>
    <cs:effectRef idx="0"/>
    <cs:fontRef idx="minor">
      <a:schemeClr val="tx1"/>
    </cs:fontRef>
    <cs:spPr>
      <a:ln>
        <a:round/>
      </a:ln>
    </cs:spPr>
  </cs:gridlineMinor>
  <cs:hiLo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hiLoLine>
  <cs:leader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leaderLine>
  <cs:legend>
    <cs:lnRef idx="0"/>
    <cs:fillRef idx="0"/>
    <cs:effectRef idx="0"/>
    <cs:fontRef idx="minor">
      <a:schemeClr val="tx1"/>
    </cs:fontRef>
    <cs:defRPr sz="1000" kern="1200"/>
  </cs:legend>
  <cs:plotArea mods="allowNoFillOverride allowNoLineOverride">
    <cs:lnRef idx="0"/>
    <cs:fillRef idx="1">
      <a:schemeClr val="bg1"/>
    </cs:fillRef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seriesAxis>
  <cs:series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seriesLine>
  <cs:title>
    <cs:lnRef idx="0"/>
    <cs:fillRef idx="0"/>
    <cs:effectRef idx="0"/>
    <cs:fontRef idx="minor">
      <a:schemeClr val="tx1"/>
    </cs:fontRef>
    <cs:defRPr sz="1800" b="1" kern="1200"/>
  </cs:title>
  <cs:trendline>
    <cs:lnRef idx="1">
      <a:schemeClr val="tx1"/>
    </cs:lnRef>
    <cs:fillRef idx="0"/>
    <cs:effectRef idx="0"/>
    <cs:fontRef idx="minor">
      <a:schemeClr val="tx1"/>
    </cs:fontRef>
    <cs:spPr>
      <a:ln cap="rnd">
        <a:round/>
      </a:ln>
    </cs:spPr>
  </cs:trendline>
  <cs:trendlineLabel>
    <cs:lnRef idx="0"/>
    <cs:fillRef idx="0"/>
    <cs:effectRef idx="0"/>
    <cs:fontRef idx="minor">
      <a:schemeClr val="tx1"/>
    </cs:fontRef>
    <cs:defRPr sz="1000" kern="1200"/>
  </cs:trendlineLabel>
  <cs:upBar>
    <cs:lnRef idx="1">
      <a:schemeClr val="tx1"/>
    </cs:lnRef>
    <cs:fillRef idx="1">
      <a:schemeClr val="dk1">
        <a:tint val="5000"/>
      </a:schemeClr>
    </cs:fillRef>
    <cs:effectRef idx="0"/>
    <cs:fontRef idx="minor">
      <a:schemeClr val="tx1"/>
    </cs:fontRef>
    <cs:spPr>
      <a:ln>
        <a:round/>
      </a:ln>
    </cs:spPr>
  </cs:upBar>
  <cs:value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valueAxis>
  <cs:wall>
    <cs:lnRef idx="0"/>
    <cs:fillRef idx="0"/>
    <cs:effectRef idx="0"/>
    <cs:fontRef idx="minor">
      <a:schemeClr val="tx1"/>
    </cs:fontRef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C24652C0-4CB4-44FC-B85E-E7FBB78E1673}" type="doc">
      <dgm:prSet loTypeId="urn:microsoft.com/office/officeart/2005/8/layout/vList5" loCatId="list" qsTypeId="urn:microsoft.com/office/officeart/2005/8/quickstyle/simple1" qsCatId="simple" csTypeId="urn:microsoft.com/office/officeart/2005/8/colors/accent1_2" csCatId="accent1" phldr="1"/>
      <dgm:spPr/>
      <dgm:t>
        <a:bodyPr/>
        <a:p>
          <a:endParaRPr lang="zh-CN" altLang="en-US"/>
        </a:p>
      </dgm:t>
    </dgm:pt>
    <dgm:pt modelId="{3529C0EC-64D9-412E-9651-FD5B59FD77EB}">
      <dgm:prSet phldrT="[文本]" custT="1"/>
      <dgm:spPr/>
      <dgm:t>
        <a:bodyPr/>
        <a:p>
          <a:pPr algn="l"/>
          <a:r>
            <a:rPr lang="en-US" altLang="zh-CN" sz="1200" b="1">
              <a:latin typeface="+mn-ea"/>
              <a:ea typeface="+mn-ea"/>
            </a:rPr>
            <a:t>4</a:t>
          </a:r>
          <a:r>
            <a:rPr lang="zh-CN" altLang="en-US" sz="1200" b="1">
              <a:latin typeface="+mn-ea"/>
              <a:ea typeface="+mn-ea"/>
            </a:rPr>
            <a:t>）签订供用水合同</a:t>
          </a:r>
        </a:p>
      </dgm:t>
    </dgm:pt>
    <dgm:pt modelId="{739C15C5-1EA5-49F2-8A6E-628009DC3073}">
      <dgm:prSet phldrT="[文本]" custT="1"/>
      <dgm:spPr/>
      <dgm:t>
        <a:bodyPr/>
        <a:p>
          <a:pPr algn="l"/>
          <a:r>
            <a:rPr lang="zh-CN" altLang="en-US" sz="1100">
              <a:latin typeface="+mn-ea"/>
              <a:ea typeface="+mn-ea"/>
            </a:rPr>
            <a:t>用户对工程验收环节的施工质量、水表设施、接入后的水质水压等方面的评价。</a:t>
          </a:r>
        </a:p>
      </dgm:t>
    </dgm:pt>
    <dgm:pt modelId="{7CAE93E0-ECF4-4433-AC9A-2949D4C75498}">
      <dgm:prSet phldrT="[文本]" custT="1"/>
      <dgm:spPr/>
      <dgm:t>
        <a:bodyPr/>
        <a:p>
          <a:pPr algn="l"/>
          <a:r>
            <a:rPr lang="en-US" altLang="zh-CN" sz="1200" b="1">
              <a:latin typeface="+mn-ea"/>
              <a:ea typeface="+mn-ea"/>
            </a:rPr>
            <a:t>3</a:t>
          </a:r>
          <a:r>
            <a:rPr lang="zh-CN" altLang="en-US" sz="1200" b="1">
              <a:latin typeface="+mn-ea"/>
              <a:ea typeface="+mn-ea"/>
            </a:rPr>
            <a:t>）工程质量验收</a:t>
          </a:r>
        </a:p>
      </dgm:t>
    </dgm:pt>
    <dgm:pt modelId="{B9DC9E6D-A42A-4273-BE4E-7B05C482CC40}" cxnId="{1F008B56-B7D8-4A09-A817-6D356BA97F4A}" type="sibTrans">
      <dgm:prSet/>
      <dgm:spPr/>
      <dgm:t>
        <a:bodyPr/>
        <a:p>
          <a:pPr algn="l"/>
          <a:endParaRPr lang="zh-CN" altLang="en-US" sz="1600"/>
        </a:p>
      </dgm:t>
    </dgm:pt>
    <dgm:pt modelId="{964B8D31-3864-4B1A-910D-9C3AF75E0463}" cxnId="{1F008B56-B7D8-4A09-A817-6D356BA97F4A}" type="parTrans">
      <dgm:prSet/>
      <dgm:spPr/>
      <dgm:t>
        <a:bodyPr/>
        <a:p>
          <a:pPr algn="l"/>
          <a:endParaRPr lang="zh-CN" altLang="en-US" sz="1600"/>
        </a:p>
      </dgm:t>
    </dgm:pt>
    <dgm:pt modelId="{8A18F02B-6342-4F64-8378-9BB46F19D4B1}" cxnId="{4BBF2BBF-3EEA-4F9F-A957-B5F24F4A571C}" type="sibTrans">
      <dgm:prSet/>
      <dgm:spPr/>
      <dgm:t>
        <a:bodyPr/>
        <a:p>
          <a:pPr algn="l"/>
          <a:endParaRPr lang="zh-CN" altLang="en-US" sz="1600"/>
        </a:p>
      </dgm:t>
    </dgm:pt>
    <dgm:pt modelId="{A9FCB657-6AB7-4EFD-B10C-D9FA6F62B4A3}" cxnId="{4BBF2BBF-3EEA-4F9F-A957-B5F24F4A571C}" type="parTrans">
      <dgm:prSet/>
      <dgm:spPr/>
      <dgm:t>
        <a:bodyPr/>
        <a:p>
          <a:pPr algn="l"/>
          <a:endParaRPr lang="zh-CN" altLang="en-US" sz="1600"/>
        </a:p>
      </dgm:t>
    </dgm:pt>
    <dgm:pt modelId="{3C772F79-3E32-4985-AC27-7DAF8C60B87F}" cxnId="{17617325-9AB9-4F04-BF2B-092F6D8DF4DF}" type="sibTrans">
      <dgm:prSet/>
      <dgm:spPr/>
      <dgm:t>
        <a:bodyPr/>
        <a:p>
          <a:pPr algn="l"/>
          <a:endParaRPr lang="zh-CN" altLang="en-US" sz="1600"/>
        </a:p>
      </dgm:t>
    </dgm:pt>
    <dgm:pt modelId="{FD6E0BCC-807B-46FB-9E47-9ABC342D6EF3}" cxnId="{17617325-9AB9-4F04-BF2B-092F6D8DF4DF}" type="parTrans">
      <dgm:prSet/>
      <dgm:spPr/>
      <dgm:t>
        <a:bodyPr/>
        <a:p>
          <a:pPr algn="l"/>
          <a:endParaRPr lang="zh-CN" altLang="en-US" sz="1600"/>
        </a:p>
      </dgm:t>
    </dgm:pt>
    <dgm:pt modelId="{27C1CB1D-0666-42DC-8BB0-33001368A938}">
      <dgm:prSet phldrT="[文本]" custT="1"/>
      <dgm:spPr/>
      <dgm:t>
        <a:bodyPr/>
        <a:p>
          <a:pPr algn="l"/>
          <a:r>
            <a:rPr lang="zh-CN" altLang="en-US" sz="1100">
              <a:latin typeface="+mn-ea"/>
              <a:ea typeface="+mn-ea"/>
            </a:rPr>
            <a:t>用户对查勘环节的现场踏勘、供水方案等方面的评价。</a:t>
          </a:r>
        </a:p>
      </dgm:t>
    </dgm:pt>
    <dgm:pt modelId="{FD167254-07AA-4924-AEDE-7DDB401A4827}">
      <dgm:prSet phldrT="[文本]" custT="1"/>
      <dgm:spPr/>
      <dgm:t>
        <a:bodyPr/>
        <a:p>
          <a:pPr algn="l"/>
          <a:r>
            <a:rPr lang="en-US" altLang="zh-CN" sz="1200" b="1">
              <a:latin typeface="+mn-ea"/>
              <a:ea typeface="+mn-ea"/>
            </a:rPr>
            <a:t>2</a:t>
          </a:r>
          <a:r>
            <a:rPr lang="zh-CN" altLang="en-US" sz="1200" b="1">
              <a:latin typeface="+mn-ea"/>
              <a:ea typeface="+mn-ea"/>
            </a:rPr>
            <a:t>）现场查勘和编制</a:t>
          </a:r>
          <a:r>
            <a:rPr lang="en-US" altLang="en-US" sz="1200" b="1">
              <a:latin typeface="+mn-ea"/>
              <a:ea typeface="+mn-ea"/>
            </a:rPr>
            <a:t>/</a:t>
          </a:r>
          <a:r>
            <a:rPr lang="zh-CN" altLang="en-US" sz="1200" b="1">
              <a:latin typeface="+mn-ea"/>
              <a:ea typeface="+mn-ea"/>
            </a:rPr>
            <a:t>复核供水方案</a:t>
          </a:r>
        </a:p>
      </dgm:t>
    </dgm:pt>
    <dgm:pt modelId="{04042648-1936-47F6-9093-03A2C3AA3694}" cxnId="{F5BC4FD8-E616-4871-A665-18EFF10FB9F1}" type="sibTrans">
      <dgm:prSet/>
      <dgm:spPr/>
      <dgm:t>
        <a:bodyPr/>
        <a:p>
          <a:pPr algn="l"/>
          <a:endParaRPr lang="zh-CN" altLang="en-US" sz="1600"/>
        </a:p>
      </dgm:t>
    </dgm:pt>
    <dgm:pt modelId="{7359E80B-A652-49A4-BD50-E8D255422B92}" cxnId="{F5BC4FD8-E616-4871-A665-18EFF10FB9F1}" type="parTrans">
      <dgm:prSet/>
      <dgm:spPr/>
      <dgm:t>
        <a:bodyPr/>
        <a:p>
          <a:pPr algn="l"/>
          <a:endParaRPr lang="zh-CN" altLang="en-US" sz="1600"/>
        </a:p>
      </dgm:t>
    </dgm:pt>
    <dgm:pt modelId="{CB14FE31-E83E-4AA5-98E8-C4D7B65F095F}" cxnId="{DB985239-53B8-46EF-BB11-6B0608E51B2F}" type="sibTrans">
      <dgm:prSet/>
      <dgm:spPr/>
      <dgm:t>
        <a:bodyPr/>
        <a:p>
          <a:pPr algn="l"/>
          <a:endParaRPr lang="zh-CN" altLang="en-US" sz="1600"/>
        </a:p>
      </dgm:t>
    </dgm:pt>
    <dgm:pt modelId="{7562F5AA-168F-43B0-A978-06BA3EA5DD5F}" cxnId="{DB985239-53B8-46EF-BB11-6B0608E51B2F}" type="parTrans">
      <dgm:prSet/>
      <dgm:spPr/>
      <dgm:t>
        <a:bodyPr/>
        <a:p>
          <a:pPr algn="l"/>
          <a:endParaRPr lang="zh-CN" altLang="en-US" sz="1600"/>
        </a:p>
      </dgm:t>
    </dgm:pt>
    <dgm:pt modelId="{F248A7C3-900E-4DCA-8411-0AFBEAD47743}">
      <dgm:prSet phldrT="[文本]" custT="1"/>
      <dgm:spPr/>
      <dgm:t>
        <a:bodyPr/>
        <a:p>
          <a:pPr algn="l"/>
          <a:r>
            <a:rPr lang="zh-CN" altLang="en-US" sz="1100">
              <a:latin typeface="+mn-ea"/>
              <a:ea typeface="+mn-ea"/>
            </a:rPr>
            <a:t>用户对咨询受理环节的工作人员服务态度、业务水平、信息反馈等方面的评价。</a:t>
          </a:r>
        </a:p>
      </dgm:t>
    </dgm:pt>
    <dgm:pt modelId="{53438AD4-06AE-444D-9E37-37DC65F7ACF3}">
      <dgm:prSet phldrT="[文本]" custT="1"/>
      <dgm:spPr/>
      <dgm:t>
        <a:bodyPr/>
        <a:p>
          <a:pPr algn="l"/>
          <a:r>
            <a:rPr lang="en-US" altLang="zh-CN" sz="1200" b="1">
              <a:latin typeface="+mn-ea"/>
              <a:ea typeface="+mn-ea"/>
            </a:rPr>
            <a:t>1</a:t>
          </a:r>
          <a:r>
            <a:rPr lang="zh-CN" altLang="en-US" sz="1200" b="1">
              <a:latin typeface="+mn-ea"/>
              <a:ea typeface="+mn-ea"/>
            </a:rPr>
            <a:t>）前期咨询和申请受理</a:t>
          </a:r>
        </a:p>
      </dgm:t>
    </dgm:pt>
    <dgm:pt modelId="{D925B503-BD89-44FC-805F-EA7AD9FA86A4}" cxnId="{46E0620B-AC94-47CB-9985-3A9ADB5AE875}" type="sibTrans">
      <dgm:prSet/>
      <dgm:spPr/>
      <dgm:t>
        <a:bodyPr/>
        <a:p>
          <a:pPr algn="l"/>
          <a:endParaRPr lang="zh-CN" altLang="en-US" sz="1600"/>
        </a:p>
      </dgm:t>
    </dgm:pt>
    <dgm:pt modelId="{6147C1FC-CF2F-42D6-AA32-2545FBE128CC}" cxnId="{46E0620B-AC94-47CB-9985-3A9ADB5AE875}" type="parTrans">
      <dgm:prSet/>
      <dgm:spPr/>
      <dgm:t>
        <a:bodyPr/>
        <a:p>
          <a:pPr algn="l"/>
          <a:endParaRPr lang="zh-CN" altLang="en-US" sz="1600"/>
        </a:p>
      </dgm:t>
    </dgm:pt>
    <dgm:pt modelId="{65FF6037-F8B3-4394-BA1D-B7558DE527BC}" cxnId="{40955201-84A0-4C6E-AE07-32B702847200}" type="sibTrans">
      <dgm:prSet/>
      <dgm:spPr/>
      <dgm:t>
        <a:bodyPr/>
        <a:p>
          <a:pPr algn="l"/>
          <a:endParaRPr lang="zh-CN" altLang="en-US" sz="1600"/>
        </a:p>
      </dgm:t>
    </dgm:pt>
    <dgm:pt modelId="{C4B4A7C8-6570-48F5-A118-AF8789086809}" cxnId="{40955201-84A0-4C6E-AE07-32B702847200}" type="parTrans">
      <dgm:prSet/>
      <dgm:spPr/>
      <dgm:t>
        <a:bodyPr/>
        <a:p>
          <a:pPr algn="l"/>
          <a:endParaRPr lang="zh-CN" altLang="en-US" sz="1600"/>
        </a:p>
      </dgm:t>
    </dgm:pt>
    <dgm:pt modelId="{2B12AA77-A0ED-4493-A3C0-1A86B65D1250}">
      <dgm:prSet phldrT="[文本]" custT="1"/>
      <dgm:spPr/>
      <dgm:t>
        <a:bodyPr/>
        <a:p>
          <a:pPr algn="l"/>
          <a:r>
            <a:rPr lang="zh-CN" altLang="en-US" sz="1100">
              <a:latin typeface="+mn-ea"/>
              <a:ea typeface="+mn-ea"/>
            </a:rPr>
            <a:t>用户对签订合同环节的移交材料质量、合同内容等方面的评价。</a:t>
          </a:r>
        </a:p>
      </dgm:t>
    </dgm:pt>
    <dgm:pt modelId="{D9592480-F125-4FCB-8AAE-A0F9F9AD86C5}" cxnId="{0CD7ED5D-E20F-4E93-AE79-4507A42A17D9}" type="parTrans">
      <dgm:prSet/>
      <dgm:spPr/>
      <dgm:t>
        <a:bodyPr/>
        <a:p>
          <a:pPr algn="l"/>
          <a:endParaRPr lang="zh-CN" altLang="en-US" sz="1600"/>
        </a:p>
      </dgm:t>
    </dgm:pt>
    <dgm:pt modelId="{8DB9DF8C-EFAB-4F84-992D-9623A508F956}" cxnId="{0CD7ED5D-E20F-4E93-AE79-4507A42A17D9}" type="sibTrans">
      <dgm:prSet/>
      <dgm:spPr/>
      <dgm:t>
        <a:bodyPr/>
        <a:p>
          <a:pPr algn="l"/>
          <a:endParaRPr lang="zh-CN" altLang="en-US" sz="1600"/>
        </a:p>
      </dgm:t>
    </dgm:pt>
    <dgm:pt modelId="{1825F06D-27B5-4199-BA7E-97DD68C36656}">
      <dgm:prSet phldrT="[文本]" custT="1"/>
      <dgm:spPr/>
      <dgm:t>
        <a:bodyPr/>
        <a:p>
          <a:pPr algn="l"/>
          <a:r>
            <a:rPr lang="zh-CN" altLang="en-US" sz="1100">
              <a:latin typeface="+mn-ea"/>
              <a:ea typeface="+mn-ea"/>
            </a:rPr>
            <a:t>用户对供水接入业务的整体感受，如接入耗时、接入费用等方面的评价。</a:t>
          </a:r>
        </a:p>
      </dgm:t>
    </dgm:pt>
    <dgm:pt modelId="{8637053E-A98E-47D7-80F8-1FE1847CA0C0}" cxnId="{44135600-533E-4229-B9AE-03AFAC2A6286}" type="parTrans">
      <dgm:prSet/>
      <dgm:spPr/>
      <dgm:t>
        <a:bodyPr/>
        <a:p>
          <a:endParaRPr lang="zh-CN" altLang="en-US"/>
        </a:p>
      </dgm:t>
    </dgm:pt>
    <dgm:pt modelId="{9713BFC3-2E2D-4229-881F-4329D82F18E9}" cxnId="{44135600-533E-4229-B9AE-03AFAC2A6286}" type="sibTrans">
      <dgm:prSet/>
      <dgm:spPr/>
      <dgm:t>
        <a:bodyPr/>
        <a:p>
          <a:endParaRPr lang="zh-CN" altLang="en-US"/>
        </a:p>
      </dgm:t>
    </dgm:pt>
    <dgm:pt modelId="{9F09718F-0206-43D0-A04E-47B85E0C888E}">
      <dgm:prSet phldrT="[文本]" custT="1"/>
      <dgm:spPr/>
      <dgm:t>
        <a:bodyPr/>
        <a:p>
          <a:pPr algn="l"/>
          <a:r>
            <a:rPr lang="en-US" altLang="zh-CN" sz="1200" b="1">
              <a:latin typeface="+mn-ea"/>
              <a:ea typeface="+mn-ea"/>
            </a:rPr>
            <a:t>5</a:t>
          </a:r>
          <a:r>
            <a:rPr lang="zh-CN" altLang="en-US" sz="1200" b="1">
              <a:latin typeface="+mn-ea"/>
              <a:ea typeface="+mn-ea"/>
            </a:rPr>
            <a:t>）总体服务</a:t>
          </a:r>
        </a:p>
      </dgm:t>
    </dgm:pt>
    <dgm:pt modelId="{88774120-405B-4C4A-81E8-19513416B8CE}" cxnId="{A0DC7F05-DB45-40CA-8641-4BC544A471ED}" type="parTrans">
      <dgm:prSet/>
      <dgm:spPr/>
      <dgm:t>
        <a:bodyPr/>
        <a:p>
          <a:endParaRPr lang="zh-CN" altLang="en-US"/>
        </a:p>
      </dgm:t>
    </dgm:pt>
    <dgm:pt modelId="{1C8CA96E-9550-4C02-ADC9-D30DDD905A71}" cxnId="{A0DC7F05-DB45-40CA-8641-4BC544A471ED}" type="sibTrans">
      <dgm:prSet/>
      <dgm:spPr/>
      <dgm:t>
        <a:bodyPr/>
        <a:p>
          <a:endParaRPr lang="zh-CN" altLang="en-US"/>
        </a:p>
      </dgm:t>
    </dgm:pt>
    <dgm:pt modelId="{8236ECA5-CE48-40B0-BAD4-4FC30A52C187}" type="pres">
      <dgm:prSet presAssocID="{C24652C0-4CB4-44FC-B85E-E7FBB78E1673}" presName="Name0" presStyleCnt="0">
        <dgm:presLayoutVars>
          <dgm:dir/>
          <dgm:animLvl val="lvl"/>
          <dgm:resizeHandles val="exact"/>
        </dgm:presLayoutVars>
      </dgm:prSet>
      <dgm:spPr/>
    </dgm:pt>
    <dgm:pt modelId="{068BB88A-E967-495D-828C-C4ECDF4B57D7}" type="pres">
      <dgm:prSet presAssocID="{53438AD4-06AE-444D-9E37-37DC65F7ACF3}" presName="linNode" presStyleCnt="0"/>
      <dgm:spPr/>
    </dgm:pt>
    <dgm:pt modelId="{D65F49A4-77B3-44A9-BD98-AEDBAFFB349F}" type="pres">
      <dgm:prSet presAssocID="{53438AD4-06AE-444D-9E37-37DC65F7ACF3}" presName="parentText" presStyleLbl="node1" presStyleIdx="0" presStyleCnt="5">
        <dgm:presLayoutVars>
          <dgm:chMax val="1"/>
          <dgm:bulletEnabled val="1"/>
        </dgm:presLayoutVars>
      </dgm:prSet>
      <dgm:spPr/>
    </dgm:pt>
    <dgm:pt modelId="{1588E570-5069-448A-A93C-DEA7E900F1B1}" type="pres">
      <dgm:prSet presAssocID="{53438AD4-06AE-444D-9E37-37DC65F7ACF3}" presName="descendantText" presStyleLbl="alignAccFollowNode1" presStyleIdx="0" presStyleCnt="5">
        <dgm:presLayoutVars>
          <dgm:bulletEnabled val="1"/>
        </dgm:presLayoutVars>
      </dgm:prSet>
      <dgm:spPr/>
    </dgm:pt>
    <dgm:pt modelId="{43E6A8BE-2F85-4A86-B247-782D26155876}" type="pres">
      <dgm:prSet presAssocID="{D925B503-BD89-44FC-805F-EA7AD9FA86A4}" presName="sp" presStyleCnt="0"/>
      <dgm:spPr/>
    </dgm:pt>
    <dgm:pt modelId="{425401A0-ECE2-4527-BAB7-5671C8FDD899}" type="pres">
      <dgm:prSet presAssocID="{FD167254-07AA-4924-AEDE-7DDB401A4827}" presName="linNode" presStyleCnt="0"/>
      <dgm:spPr/>
    </dgm:pt>
    <dgm:pt modelId="{6A54FDDE-9EBB-4A9E-80DE-2C6BB662E119}" type="pres">
      <dgm:prSet presAssocID="{FD167254-07AA-4924-AEDE-7DDB401A4827}" presName="parentText" presStyleLbl="node1" presStyleIdx="1" presStyleCnt="5">
        <dgm:presLayoutVars>
          <dgm:chMax val="1"/>
          <dgm:bulletEnabled val="1"/>
        </dgm:presLayoutVars>
      </dgm:prSet>
      <dgm:spPr/>
    </dgm:pt>
    <dgm:pt modelId="{744DFEEB-AC8D-4DAB-BE8B-1CD20425777C}" type="pres">
      <dgm:prSet presAssocID="{FD167254-07AA-4924-AEDE-7DDB401A4827}" presName="descendantText" presStyleLbl="alignAccFollowNode1" presStyleIdx="1" presStyleCnt="5">
        <dgm:presLayoutVars>
          <dgm:bulletEnabled val="1"/>
        </dgm:presLayoutVars>
      </dgm:prSet>
      <dgm:spPr/>
    </dgm:pt>
    <dgm:pt modelId="{19483D46-BDEC-47C0-896B-F5C8C4BA73C1}" type="pres">
      <dgm:prSet presAssocID="{CB14FE31-E83E-4AA5-98E8-C4D7B65F095F}" presName="sp" presStyleCnt="0"/>
      <dgm:spPr/>
    </dgm:pt>
    <dgm:pt modelId="{2E69E174-3DE2-47C2-BB52-EEB866A39AFC}" type="pres">
      <dgm:prSet presAssocID="{7CAE93E0-ECF4-4433-AC9A-2949D4C75498}" presName="linNode" presStyleCnt="0"/>
      <dgm:spPr/>
    </dgm:pt>
    <dgm:pt modelId="{059A07DF-F6C6-4977-926B-40F0360B3FDD}" type="pres">
      <dgm:prSet presAssocID="{7CAE93E0-ECF4-4433-AC9A-2949D4C75498}" presName="parentText" presStyleLbl="node1" presStyleIdx="2" presStyleCnt="5">
        <dgm:presLayoutVars>
          <dgm:chMax val="1"/>
          <dgm:bulletEnabled val="1"/>
        </dgm:presLayoutVars>
      </dgm:prSet>
      <dgm:spPr/>
    </dgm:pt>
    <dgm:pt modelId="{0BAF249B-6EE5-4E4C-8813-501CC02B31C2}" type="pres">
      <dgm:prSet presAssocID="{7CAE93E0-ECF4-4433-AC9A-2949D4C75498}" presName="descendantText" presStyleLbl="alignAccFollowNode1" presStyleIdx="2" presStyleCnt="5">
        <dgm:presLayoutVars>
          <dgm:bulletEnabled val="1"/>
        </dgm:presLayoutVars>
      </dgm:prSet>
      <dgm:spPr/>
    </dgm:pt>
    <dgm:pt modelId="{3D320CCC-E296-439A-85AB-8333C360628B}" type="pres">
      <dgm:prSet presAssocID="{B9DC9E6D-A42A-4273-BE4E-7B05C482CC40}" presName="sp" presStyleCnt="0"/>
      <dgm:spPr/>
    </dgm:pt>
    <dgm:pt modelId="{43D6C63B-6B47-43E9-A4E3-E3ADDAB2D9FE}" type="pres">
      <dgm:prSet presAssocID="{3529C0EC-64D9-412E-9651-FD5B59FD77EB}" presName="linNode" presStyleCnt="0"/>
      <dgm:spPr/>
    </dgm:pt>
    <dgm:pt modelId="{66ABC41A-B2FC-4E7E-B76C-488E456EE788}" type="pres">
      <dgm:prSet presAssocID="{3529C0EC-64D9-412E-9651-FD5B59FD77EB}" presName="parentText" presStyleLbl="node1" presStyleIdx="3" presStyleCnt="5">
        <dgm:presLayoutVars>
          <dgm:chMax val="1"/>
          <dgm:bulletEnabled val="1"/>
        </dgm:presLayoutVars>
      </dgm:prSet>
      <dgm:spPr/>
    </dgm:pt>
    <dgm:pt modelId="{E8B7675E-9890-40B9-BA7E-4A4A0582F532}" type="pres">
      <dgm:prSet presAssocID="{3529C0EC-64D9-412E-9651-FD5B59FD77EB}" presName="descendantText" presStyleLbl="alignAccFollowNode1" presStyleIdx="3" presStyleCnt="5">
        <dgm:presLayoutVars>
          <dgm:bulletEnabled val="1"/>
        </dgm:presLayoutVars>
      </dgm:prSet>
      <dgm:spPr/>
    </dgm:pt>
    <dgm:pt modelId="{A8800D81-9662-44E3-B74A-864BE5F4E494}" type="pres">
      <dgm:prSet presAssocID="{8A18F02B-6342-4F64-8378-9BB46F19D4B1}" presName="sp" presStyleCnt="0"/>
      <dgm:spPr/>
    </dgm:pt>
    <dgm:pt modelId="{50C5B794-CA35-4107-92C6-47A5CCF842A4}" type="pres">
      <dgm:prSet presAssocID="{9F09718F-0206-43D0-A04E-47B85E0C888E}" presName="linNode" presStyleCnt="0"/>
      <dgm:spPr/>
    </dgm:pt>
    <dgm:pt modelId="{27462C9E-EF17-4BE5-A88D-B4ADF0F06518}" type="pres">
      <dgm:prSet presAssocID="{9F09718F-0206-43D0-A04E-47B85E0C888E}" presName="parentText" presStyleLbl="node1" presStyleIdx="4" presStyleCnt="5">
        <dgm:presLayoutVars>
          <dgm:chMax val="1"/>
          <dgm:bulletEnabled val="1"/>
        </dgm:presLayoutVars>
      </dgm:prSet>
      <dgm:spPr/>
    </dgm:pt>
    <dgm:pt modelId="{80F5B0C3-45C4-4341-AB6C-DE14A6454C4F}" type="pres">
      <dgm:prSet presAssocID="{9F09718F-0206-43D0-A04E-47B85E0C888E}" presName="descendantText" presStyleLbl="alignAccFollowNode1" presStyleIdx="4" presStyleCnt="5">
        <dgm:presLayoutVars>
          <dgm:bulletEnabled val="1"/>
        </dgm:presLayoutVars>
      </dgm:prSet>
      <dgm:spPr/>
    </dgm:pt>
  </dgm:ptLst>
  <dgm:cxnLst>
    <dgm:cxn modelId="{44135600-533E-4229-B9AE-03AFAC2A6286}" srcId="{9F09718F-0206-43D0-A04E-47B85E0C888E}" destId="{1825F06D-27B5-4199-BA7E-97DD68C36656}" srcOrd="0" destOrd="0" parTransId="{8637053E-A98E-47D7-80F8-1FE1847CA0C0}" sibTransId="{9713BFC3-2E2D-4229-881F-4329D82F18E9}"/>
    <dgm:cxn modelId="{40955201-84A0-4C6E-AE07-32B702847200}" srcId="{53438AD4-06AE-444D-9E37-37DC65F7ACF3}" destId="{F248A7C3-900E-4DCA-8411-0AFBEAD47743}" srcOrd="0" destOrd="0" parTransId="{C4B4A7C8-6570-48F5-A118-AF8789086809}" sibTransId="{65FF6037-F8B3-4394-BA1D-B7558DE527BC}"/>
    <dgm:cxn modelId="{10286403-5577-4F97-8ECB-F13EE05504D5}" type="presOf" srcId="{7CAE93E0-ECF4-4433-AC9A-2949D4C75498}" destId="{059A07DF-F6C6-4977-926B-40F0360B3FDD}" srcOrd="0" destOrd="0" presId="urn:microsoft.com/office/officeart/2005/8/layout/vList5"/>
    <dgm:cxn modelId="{A0DC7F05-DB45-40CA-8641-4BC544A471ED}" srcId="{C24652C0-4CB4-44FC-B85E-E7FBB78E1673}" destId="{9F09718F-0206-43D0-A04E-47B85E0C888E}" srcOrd="4" destOrd="0" parTransId="{88774120-405B-4C4A-81E8-19513416B8CE}" sibTransId="{1C8CA96E-9550-4C02-ADC9-D30DDD905A71}"/>
    <dgm:cxn modelId="{46E0620B-AC94-47CB-9985-3A9ADB5AE875}" srcId="{C24652C0-4CB4-44FC-B85E-E7FBB78E1673}" destId="{53438AD4-06AE-444D-9E37-37DC65F7ACF3}" srcOrd="0" destOrd="0" parTransId="{6147C1FC-CF2F-42D6-AA32-2545FBE128CC}" sibTransId="{D925B503-BD89-44FC-805F-EA7AD9FA86A4}"/>
    <dgm:cxn modelId="{646DF30B-DEC4-43A2-89E0-81BBC9B5D3B5}" type="presOf" srcId="{FD167254-07AA-4924-AEDE-7DDB401A4827}" destId="{6A54FDDE-9EBB-4A9E-80DE-2C6BB662E119}" srcOrd="0" destOrd="0" presId="urn:microsoft.com/office/officeart/2005/8/layout/vList5"/>
    <dgm:cxn modelId="{17617325-9AB9-4F04-BF2B-092F6D8DF4DF}" srcId="{7CAE93E0-ECF4-4433-AC9A-2949D4C75498}" destId="{739C15C5-1EA5-49F2-8A6E-628009DC3073}" srcOrd="0" destOrd="0" parTransId="{FD6E0BCC-807B-46FB-9E47-9ABC342D6EF3}" sibTransId="{3C772F79-3E32-4985-AC27-7DAF8C60B87F}"/>
    <dgm:cxn modelId="{DB985239-53B8-46EF-BB11-6B0608E51B2F}" srcId="{C24652C0-4CB4-44FC-B85E-E7FBB78E1673}" destId="{FD167254-07AA-4924-AEDE-7DDB401A4827}" srcOrd="1" destOrd="0" parTransId="{7562F5AA-168F-43B0-A978-06BA3EA5DD5F}" sibTransId="{CB14FE31-E83E-4AA5-98E8-C4D7B65F095F}"/>
    <dgm:cxn modelId="{CE1AFC3B-768D-40AE-8243-ECACA8F34F63}" type="presOf" srcId="{27C1CB1D-0666-42DC-8BB0-33001368A938}" destId="{744DFEEB-AC8D-4DAB-BE8B-1CD20425777C}" srcOrd="0" destOrd="0" presId="urn:microsoft.com/office/officeart/2005/8/layout/vList5"/>
    <dgm:cxn modelId="{C8191E3C-BB2C-409F-A286-E7033B6D2EDD}" type="presOf" srcId="{C24652C0-4CB4-44FC-B85E-E7FBB78E1673}" destId="{8236ECA5-CE48-40B0-BAD4-4FC30A52C187}" srcOrd="0" destOrd="0" presId="urn:microsoft.com/office/officeart/2005/8/layout/vList5"/>
    <dgm:cxn modelId="{0CD7ED5D-E20F-4E93-AE79-4507A42A17D9}" srcId="{3529C0EC-64D9-412E-9651-FD5B59FD77EB}" destId="{2B12AA77-A0ED-4493-A3C0-1A86B65D1250}" srcOrd="0" destOrd="0" parTransId="{D9592480-F125-4FCB-8AAE-A0F9F9AD86C5}" sibTransId="{8DB9DF8C-EFAB-4F84-992D-9623A508F956}"/>
    <dgm:cxn modelId="{6CA11B4C-8F76-4F66-9C28-EEB643B847E7}" type="presOf" srcId="{3529C0EC-64D9-412E-9651-FD5B59FD77EB}" destId="{66ABC41A-B2FC-4E7E-B76C-488E456EE788}" srcOrd="0" destOrd="0" presId="urn:microsoft.com/office/officeart/2005/8/layout/vList5"/>
    <dgm:cxn modelId="{699EEB6E-1B93-47C6-9BC6-FE84862F0CC6}" type="presOf" srcId="{2B12AA77-A0ED-4493-A3C0-1A86B65D1250}" destId="{E8B7675E-9890-40B9-BA7E-4A4A0582F532}" srcOrd="0" destOrd="0" presId="urn:microsoft.com/office/officeart/2005/8/layout/vList5"/>
    <dgm:cxn modelId="{1F008B56-B7D8-4A09-A817-6D356BA97F4A}" srcId="{C24652C0-4CB4-44FC-B85E-E7FBB78E1673}" destId="{7CAE93E0-ECF4-4433-AC9A-2949D4C75498}" srcOrd="2" destOrd="0" parTransId="{964B8D31-3864-4B1A-910D-9C3AF75E0463}" sibTransId="{B9DC9E6D-A42A-4273-BE4E-7B05C482CC40}"/>
    <dgm:cxn modelId="{A624BC78-69B2-471C-B5D0-10F0C7DF2302}" type="presOf" srcId="{9F09718F-0206-43D0-A04E-47B85E0C888E}" destId="{27462C9E-EF17-4BE5-A88D-B4ADF0F06518}" srcOrd="0" destOrd="0" presId="urn:microsoft.com/office/officeart/2005/8/layout/vList5"/>
    <dgm:cxn modelId="{E4050D8B-25F1-4453-8E58-48041C838345}" type="presOf" srcId="{739C15C5-1EA5-49F2-8A6E-628009DC3073}" destId="{0BAF249B-6EE5-4E4C-8813-501CC02B31C2}" srcOrd="0" destOrd="0" presId="urn:microsoft.com/office/officeart/2005/8/layout/vList5"/>
    <dgm:cxn modelId="{987688B2-6BA1-46E6-93AC-1EFE5A9D1BB4}" type="presOf" srcId="{F248A7C3-900E-4DCA-8411-0AFBEAD47743}" destId="{1588E570-5069-448A-A93C-DEA7E900F1B1}" srcOrd="0" destOrd="0" presId="urn:microsoft.com/office/officeart/2005/8/layout/vList5"/>
    <dgm:cxn modelId="{4BBF2BBF-3EEA-4F9F-A957-B5F24F4A571C}" srcId="{C24652C0-4CB4-44FC-B85E-E7FBB78E1673}" destId="{3529C0EC-64D9-412E-9651-FD5B59FD77EB}" srcOrd="3" destOrd="0" parTransId="{A9FCB657-6AB7-4EFD-B10C-D9FA6F62B4A3}" sibTransId="{8A18F02B-6342-4F64-8378-9BB46F19D4B1}"/>
    <dgm:cxn modelId="{F82C22D2-71C4-413B-9345-5128E6047B96}" type="presOf" srcId="{53438AD4-06AE-444D-9E37-37DC65F7ACF3}" destId="{D65F49A4-77B3-44A9-BD98-AEDBAFFB349F}" srcOrd="0" destOrd="0" presId="urn:microsoft.com/office/officeart/2005/8/layout/vList5"/>
    <dgm:cxn modelId="{F5BC4FD8-E616-4871-A665-18EFF10FB9F1}" srcId="{FD167254-07AA-4924-AEDE-7DDB401A4827}" destId="{27C1CB1D-0666-42DC-8BB0-33001368A938}" srcOrd="0" destOrd="0" parTransId="{7359E80B-A652-49A4-BD50-E8D255422B92}" sibTransId="{04042648-1936-47F6-9093-03A2C3AA3694}"/>
    <dgm:cxn modelId="{9644C7E8-0A80-46A6-BD89-38631FEDE1E8}" type="presOf" srcId="{1825F06D-27B5-4199-BA7E-97DD68C36656}" destId="{80F5B0C3-45C4-4341-AB6C-DE14A6454C4F}" srcOrd="0" destOrd="0" presId="urn:microsoft.com/office/officeart/2005/8/layout/vList5"/>
    <dgm:cxn modelId="{592E5583-CF22-4A24-A558-A63A3781BBB7}" type="presParOf" srcId="{8236ECA5-CE48-40B0-BAD4-4FC30A52C187}" destId="{068BB88A-E967-495D-828C-C4ECDF4B57D7}" srcOrd="0" destOrd="0" presId="urn:microsoft.com/office/officeart/2005/8/layout/vList5"/>
    <dgm:cxn modelId="{F53009AB-50B4-484C-9429-F46E3EB18402}" type="presParOf" srcId="{068BB88A-E967-495D-828C-C4ECDF4B57D7}" destId="{D65F49A4-77B3-44A9-BD98-AEDBAFFB349F}" srcOrd="0" destOrd="0" presId="urn:microsoft.com/office/officeart/2005/8/layout/vList5"/>
    <dgm:cxn modelId="{2892909B-371B-4B40-8F1E-AD1DBAC49470}" type="presParOf" srcId="{068BB88A-E967-495D-828C-C4ECDF4B57D7}" destId="{1588E570-5069-448A-A93C-DEA7E900F1B1}" srcOrd="1" destOrd="0" presId="urn:microsoft.com/office/officeart/2005/8/layout/vList5"/>
    <dgm:cxn modelId="{22D192EB-808C-459E-9D16-B8CC513F58A4}" type="presParOf" srcId="{8236ECA5-CE48-40B0-BAD4-4FC30A52C187}" destId="{43E6A8BE-2F85-4A86-B247-782D26155876}" srcOrd="1" destOrd="0" presId="urn:microsoft.com/office/officeart/2005/8/layout/vList5"/>
    <dgm:cxn modelId="{A8956848-E5E6-4D21-823E-5F12A805A4B0}" type="presParOf" srcId="{8236ECA5-CE48-40B0-BAD4-4FC30A52C187}" destId="{425401A0-ECE2-4527-BAB7-5671C8FDD899}" srcOrd="2" destOrd="0" presId="urn:microsoft.com/office/officeart/2005/8/layout/vList5"/>
    <dgm:cxn modelId="{741F68B3-0B07-46F6-9172-B2A36C1060F6}" type="presParOf" srcId="{425401A0-ECE2-4527-BAB7-5671C8FDD899}" destId="{6A54FDDE-9EBB-4A9E-80DE-2C6BB662E119}" srcOrd="0" destOrd="0" presId="urn:microsoft.com/office/officeart/2005/8/layout/vList5"/>
    <dgm:cxn modelId="{847C4C60-C879-4056-A804-E267853068CB}" type="presParOf" srcId="{425401A0-ECE2-4527-BAB7-5671C8FDD899}" destId="{744DFEEB-AC8D-4DAB-BE8B-1CD20425777C}" srcOrd="1" destOrd="0" presId="urn:microsoft.com/office/officeart/2005/8/layout/vList5"/>
    <dgm:cxn modelId="{957CF972-203D-4E68-92D4-F2F4D8081249}" type="presParOf" srcId="{8236ECA5-CE48-40B0-BAD4-4FC30A52C187}" destId="{19483D46-BDEC-47C0-896B-F5C8C4BA73C1}" srcOrd="3" destOrd="0" presId="urn:microsoft.com/office/officeart/2005/8/layout/vList5"/>
    <dgm:cxn modelId="{569CD044-171F-4821-9846-DD608CED0388}" type="presParOf" srcId="{8236ECA5-CE48-40B0-BAD4-4FC30A52C187}" destId="{2E69E174-3DE2-47C2-BB52-EEB866A39AFC}" srcOrd="4" destOrd="0" presId="urn:microsoft.com/office/officeart/2005/8/layout/vList5"/>
    <dgm:cxn modelId="{413A1A60-1A3F-4BDC-8D26-052FE34F1BEC}" type="presParOf" srcId="{2E69E174-3DE2-47C2-BB52-EEB866A39AFC}" destId="{059A07DF-F6C6-4977-926B-40F0360B3FDD}" srcOrd="0" destOrd="0" presId="urn:microsoft.com/office/officeart/2005/8/layout/vList5"/>
    <dgm:cxn modelId="{936CF1C0-BFE9-402B-AB68-45A2725A0DB8}" type="presParOf" srcId="{2E69E174-3DE2-47C2-BB52-EEB866A39AFC}" destId="{0BAF249B-6EE5-4E4C-8813-501CC02B31C2}" srcOrd="1" destOrd="0" presId="urn:microsoft.com/office/officeart/2005/8/layout/vList5"/>
    <dgm:cxn modelId="{9C0AABBE-6DBC-4A2E-B9DE-149E5923A6A2}" type="presParOf" srcId="{8236ECA5-CE48-40B0-BAD4-4FC30A52C187}" destId="{3D320CCC-E296-439A-85AB-8333C360628B}" srcOrd="5" destOrd="0" presId="urn:microsoft.com/office/officeart/2005/8/layout/vList5"/>
    <dgm:cxn modelId="{57B74024-099C-46F6-8F42-BED34561F5C5}" type="presParOf" srcId="{8236ECA5-CE48-40B0-BAD4-4FC30A52C187}" destId="{43D6C63B-6B47-43E9-A4E3-E3ADDAB2D9FE}" srcOrd="6" destOrd="0" presId="urn:microsoft.com/office/officeart/2005/8/layout/vList5"/>
    <dgm:cxn modelId="{C124B9DA-6BB2-48CE-BFF2-BD98EF5D51F8}" type="presParOf" srcId="{43D6C63B-6B47-43E9-A4E3-E3ADDAB2D9FE}" destId="{66ABC41A-B2FC-4E7E-B76C-488E456EE788}" srcOrd="0" destOrd="0" presId="urn:microsoft.com/office/officeart/2005/8/layout/vList5"/>
    <dgm:cxn modelId="{5AA53D9C-E075-48F9-83F5-C3A14C24E0E0}" type="presParOf" srcId="{43D6C63B-6B47-43E9-A4E3-E3ADDAB2D9FE}" destId="{E8B7675E-9890-40B9-BA7E-4A4A0582F532}" srcOrd="1" destOrd="0" presId="urn:microsoft.com/office/officeart/2005/8/layout/vList5"/>
    <dgm:cxn modelId="{C9F4EE42-26D0-41A3-BB46-A81882ED3F8E}" type="presParOf" srcId="{8236ECA5-CE48-40B0-BAD4-4FC30A52C187}" destId="{A8800D81-9662-44E3-B74A-864BE5F4E494}" srcOrd="7" destOrd="0" presId="urn:microsoft.com/office/officeart/2005/8/layout/vList5"/>
    <dgm:cxn modelId="{746A96B8-E69C-480D-86EF-2C17198BA000}" type="presParOf" srcId="{8236ECA5-CE48-40B0-BAD4-4FC30A52C187}" destId="{50C5B794-CA35-4107-92C6-47A5CCF842A4}" srcOrd="8" destOrd="0" presId="urn:microsoft.com/office/officeart/2005/8/layout/vList5"/>
    <dgm:cxn modelId="{2DFB2BDC-A728-4C44-A903-A74700A989A0}" type="presParOf" srcId="{50C5B794-CA35-4107-92C6-47A5CCF842A4}" destId="{27462C9E-EF17-4BE5-A88D-B4ADF0F06518}" srcOrd="0" destOrd="0" presId="urn:microsoft.com/office/officeart/2005/8/layout/vList5"/>
    <dgm:cxn modelId="{00547A5A-8959-46C3-8145-426FD2BB2925}" type="presParOf" srcId="{50C5B794-CA35-4107-92C6-47A5CCF842A4}" destId="{80F5B0C3-45C4-4341-AB6C-DE14A6454C4F}" srcOrd="1" destOrd="0" presId="urn:microsoft.com/office/officeart/2005/8/layout/vList5"/>
  </dgm:cxnLst>
  <dgm:bg/>
  <dgm:whole/>
  <dgm:extLst>
    <a:ext uri="http://schemas.microsoft.com/office/drawing/2008/diagram">
      <dsp:dataModelExt xmlns:dsp="http://schemas.microsoft.com/office/drawing/2008/diagram" relId="rId11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 xmlns:r="http://schemas.openxmlformats.org/officeDocument/2006/relationships">
  <dsp:spTree>
    <dsp:nvGrpSpPr>
      <dsp:cNvPr id="2" name="组合 1"/>
      <dsp:cNvGrpSpPr/>
    </dsp:nvGrpSpPr>
    <dsp:grpSpPr>
      <a:xfrm>
        <a:off x="0" y="0"/>
        <a:ext cx="5702300" cy="2357755"/>
        <a:chOff x="0" y="0"/>
        <a:chExt cx="5702300" cy="2357755"/>
      </a:xfrm>
    </dsp:grpSpPr>
    <dsp:sp modelId="{1588E570-5069-448A-A93C-DEA7E900F1B1}">
      <dsp:nvSpPr>
        <dsp:cNvPr id="4" name="同侧圆角矩形 3"/>
        <dsp:cNvSpPr/>
      </dsp:nvSpPr>
      <dsp:spPr bwMode="white">
        <a:xfrm rot="5400000">
          <a:off x="3696198" y="-1598029"/>
          <a:ext cx="362732" cy="3649472"/>
        </a:xfrm>
        <a:prstGeom prst="round2SameRect">
          <a:avLst/>
        </a:prstGeom>
      </dsp:spPr>
      <dsp:style>
        <a:lnRef idx="2">
          <a:schemeClr val="accent1">
            <a:alpha val="90000"/>
            <a:tint val="40000"/>
          </a:schemeClr>
        </a:lnRef>
        <a:fillRef idx="1">
          <a:schemeClr val="accent1">
            <a:alpha val="90000"/>
            <a:tint val="40000"/>
          </a:schemeClr>
        </a:fillRef>
        <a:effectRef idx="0">
          <a:scrgbClr r="0" g="0" b="0"/>
        </a:effectRef>
        <a:fontRef idx="minor"/>
      </dsp:style>
      <dsp:txBody>
        <a:bodyPr rot="-5400000" lIns="41910" tIns="20955" rIns="41910" bIns="20955" anchor="ctr"/>
        <a:lstStyle>
          <a:lvl1pPr algn="l">
            <a:defRPr sz="6500"/>
          </a:lvl1pPr>
          <a:lvl2pPr marL="285750" indent="-285750" algn="l">
            <a:defRPr sz="6500"/>
          </a:lvl2pPr>
          <a:lvl3pPr marL="571500" indent="-285750" algn="l">
            <a:defRPr sz="6500"/>
          </a:lvl3pPr>
          <a:lvl4pPr marL="857250" indent="-285750" algn="l">
            <a:defRPr sz="6500"/>
          </a:lvl4pPr>
          <a:lvl5pPr marL="1143000" indent="-285750" algn="l">
            <a:defRPr sz="6500"/>
          </a:lvl5pPr>
          <a:lvl6pPr marL="1428750" indent="-285750" algn="l">
            <a:defRPr sz="6500"/>
          </a:lvl6pPr>
          <a:lvl7pPr marL="1714500" indent="-285750" algn="l">
            <a:defRPr sz="6500"/>
          </a:lvl7pPr>
          <a:lvl8pPr marL="2000250" indent="-285750" algn="l">
            <a:defRPr sz="6500"/>
          </a:lvl8pPr>
          <a:lvl9pPr marL="2286000" indent="-285750" algn="l">
            <a:defRPr sz="6500"/>
          </a:lvl9pPr>
        </a:lstStyle>
        <a:p>
          <a:pPr marL="57150" lvl="1" indent="-57150" algn="l">
            <a:lnSpc>
              <a:spcPct val="10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zh-CN" altLang="en-US" sz="1100">
              <a:solidFill>
                <a:schemeClr val="dk1"/>
              </a:solidFill>
              <a:latin typeface="+mn-ea"/>
              <a:ea typeface="+mn-ea"/>
            </a:rPr>
            <a:t>用户对咨询受理环节的工作人员服务态度、业务水平、信息反馈等方面的评价。</a:t>
          </a:r>
          <a:endParaRPr>
            <a:solidFill>
              <a:schemeClr val="dk1"/>
            </a:solidFill>
          </a:endParaRPr>
        </a:p>
      </dsp:txBody>
      <dsp:txXfrm rot="5400000">
        <a:off x="3696198" y="-1598029"/>
        <a:ext cx="362732" cy="3649472"/>
      </dsp:txXfrm>
    </dsp:sp>
    <dsp:sp modelId="{D65F49A4-77B3-44A9-BD98-AEDBAFFB349F}">
      <dsp:nvSpPr>
        <dsp:cNvPr id="3" name="圆角矩形 2"/>
        <dsp:cNvSpPr/>
      </dsp:nvSpPr>
      <dsp:spPr bwMode="white">
        <a:xfrm>
          <a:off x="0" y="0"/>
          <a:ext cx="2052828" cy="453414"/>
        </a:xfrm>
        <a:prstGeom prst="roundRect">
          <a:avLst/>
        </a:prstGeom>
      </dsp:spPr>
      <dsp:style>
        <a:lnRef idx="2">
          <a:schemeClr val="lt1"/>
        </a:lnRef>
        <a:fillRef idx="1">
          <a:schemeClr val="accent1"/>
        </a:fillRef>
        <a:effectRef idx="0">
          <a:scrgbClr r="0" g="0" b="0"/>
        </a:effectRef>
        <a:fontRef idx="minor">
          <a:schemeClr val="lt1"/>
        </a:fontRef>
      </dsp:style>
      <dsp:txBody>
        <a:bodyPr lIns="45719" tIns="22859" rIns="45719" bIns="22859" anchor="ctr"/>
        <a:lstStyle>
          <a:lvl1pPr algn="ctr">
            <a:defRPr sz="6500"/>
          </a:lvl1pPr>
          <a:lvl2pPr marL="285750" indent="-285750" algn="ctr">
            <a:defRPr sz="5000"/>
          </a:lvl2pPr>
          <a:lvl3pPr marL="571500" indent="-285750" algn="ctr">
            <a:defRPr sz="5000"/>
          </a:lvl3pPr>
          <a:lvl4pPr marL="857250" indent="-285750" algn="ctr">
            <a:defRPr sz="5000"/>
          </a:lvl4pPr>
          <a:lvl5pPr marL="1143000" indent="-285750" algn="ctr">
            <a:defRPr sz="5000"/>
          </a:lvl5pPr>
          <a:lvl6pPr marL="1428750" indent="-285750" algn="ctr">
            <a:defRPr sz="5000"/>
          </a:lvl6pPr>
          <a:lvl7pPr marL="1714500" indent="-285750" algn="ctr">
            <a:defRPr sz="5000"/>
          </a:lvl7pPr>
          <a:lvl8pPr marL="2000250" indent="-285750" algn="ctr">
            <a:defRPr sz="5000"/>
          </a:lvl8pPr>
          <a:lvl9pPr marL="2286000" indent="-285750" algn="ctr">
            <a:defRPr sz="5000"/>
          </a:lvl9pPr>
        </a:lstStyle>
        <a:p>
          <a:pPr lvl="0" algn="l">
            <a:lnSpc>
              <a:spcPct val="100000"/>
            </a:lnSpc>
            <a:spcBef>
              <a:spcPct val="0"/>
            </a:spcBef>
            <a:spcAft>
              <a:spcPct val="35000"/>
            </a:spcAft>
          </a:pPr>
          <a:r>
            <a:rPr lang="en-US" altLang="zh-CN" sz="1200" b="1">
              <a:latin typeface="+mn-ea"/>
              <a:ea typeface="+mn-ea"/>
            </a:rPr>
            <a:t>1</a:t>
          </a:r>
          <a:r>
            <a:rPr lang="zh-CN" altLang="en-US" sz="1200" b="1">
              <a:latin typeface="+mn-ea"/>
              <a:ea typeface="+mn-ea"/>
            </a:rPr>
            <a:t>）前期咨询和申请受理</a:t>
          </a:r>
        </a:p>
      </dsp:txBody>
      <dsp:txXfrm>
        <a:off x="0" y="0"/>
        <a:ext cx="2052828" cy="453414"/>
      </dsp:txXfrm>
    </dsp:sp>
    <dsp:sp modelId="{744DFEEB-AC8D-4DAB-BE8B-1CD20425777C}">
      <dsp:nvSpPr>
        <dsp:cNvPr id="6" name="同侧圆角矩形 5"/>
        <dsp:cNvSpPr/>
      </dsp:nvSpPr>
      <dsp:spPr bwMode="white">
        <a:xfrm rot="5400000">
          <a:off x="3696198" y="-1121944"/>
          <a:ext cx="362732" cy="3649472"/>
        </a:xfrm>
        <a:prstGeom prst="round2SameRect">
          <a:avLst/>
        </a:prstGeom>
      </dsp:spPr>
      <dsp:style>
        <a:lnRef idx="2">
          <a:schemeClr val="accent1">
            <a:alpha val="90000"/>
            <a:tint val="40000"/>
          </a:schemeClr>
        </a:lnRef>
        <a:fillRef idx="1">
          <a:schemeClr val="accent1">
            <a:alpha val="90000"/>
            <a:tint val="40000"/>
          </a:schemeClr>
        </a:fillRef>
        <a:effectRef idx="0">
          <a:scrgbClr r="0" g="0" b="0"/>
        </a:effectRef>
        <a:fontRef idx="minor"/>
      </dsp:style>
      <dsp:txBody>
        <a:bodyPr rot="-5400000" lIns="41910" tIns="20955" rIns="41910" bIns="20955" anchor="ctr"/>
        <a:lstStyle>
          <a:lvl1pPr algn="l">
            <a:defRPr sz="6500"/>
          </a:lvl1pPr>
          <a:lvl2pPr marL="285750" indent="-285750" algn="l">
            <a:defRPr sz="6500"/>
          </a:lvl2pPr>
          <a:lvl3pPr marL="571500" indent="-285750" algn="l">
            <a:defRPr sz="6500"/>
          </a:lvl3pPr>
          <a:lvl4pPr marL="857250" indent="-285750" algn="l">
            <a:defRPr sz="6500"/>
          </a:lvl4pPr>
          <a:lvl5pPr marL="1143000" indent="-285750" algn="l">
            <a:defRPr sz="6500"/>
          </a:lvl5pPr>
          <a:lvl6pPr marL="1428750" indent="-285750" algn="l">
            <a:defRPr sz="6500"/>
          </a:lvl6pPr>
          <a:lvl7pPr marL="1714500" indent="-285750" algn="l">
            <a:defRPr sz="6500"/>
          </a:lvl7pPr>
          <a:lvl8pPr marL="2000250" indent="-285750" algn="l">
            <a:defRPr sz="6500"/>
          </a:lvl8pPr>
          <a:lvl9pPr marL="2286000" indent="-285750" algn="l">
            <a:defRPr sz="6500"/>
          </a:lvl9pPr>
        </a:lstStyle>
        <a:p>
          <a:pPr marL="57150" lvl="1" indent="-57150" algn="l">
            <a:lnSpc>
              <a:spcPct val="10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zh-CN" altLang="en-US" sz="1100">
              <a:solidFill>
                <a:schemeClr val="dk1"/>
              </a:solidFill>
              <a:latin typeface="+mn-ea"/>
              <a:ea typeface="+mn-ea"/>
            </a:rPr>
            <a:t>用户对查勘环节的现场踏勘、供水方案等方面的评价。</a:t>
          </a:r>
          <a:endParaRPr>
            <a:solidFill>
              <a:schemeClr val="dk1"/>
            </a:solidFill>
          </a:endParaRPr>
        </a:p>
      </dsp:txBody>
      <dsp:txXfrm rot="5400000">
        <a:off x="3696198" y="-1121944"/>
        <a:ext cx="362732" cy="3649472"/>
      </dsp:txXfrm>
    </dsp:sp>
    <dsp:sp modelId="{6A54FDDE-9EBB-4A9E-80DE-2C6BB662E119}">
      <dsp:nvSpPr>
        <dsp:cNvPr id="5" name="圆角矩形 4"/>
        <dsp:cNvSpPr/>
      </dsp:nvSpPr>
      <dsp:spPr bwMode="white">
        <a:xfrm>
          <a:off x="0" y="476085"/>
          <a:ext cx="2052828" cy="453414"/>
        </a:xfrm>
        <a:prstGeom prst="roundRect">
          <a:avLst/>
        </a:prstGeom>
      </dsp:spPr>
      <dsp:style>
        <a:lnRef idx="2">
          <a:schemeClr val="lt1"/>
        </a:lnRef>
        <a:fillRef idx="1">
          <a:schemeClr val="accent1"/>
        </a:fillRef>
        <a:effectRef idx="0">
          <a:scrgbClr r="0" g="0" b="0"/>
        </a:effectRef>
        <a:fontRef idx="minor">
          <a:schemeClr val="lt1"/>
        </a:fontRef>
      </dsp:style>
      <dsp:txBody>
        <a:bodyPr lIns="45719" tIns="22859" rIns="45719" bIns="22859" anchor="ctr"/>
        <a:lstStyle>
          <a:lvl1pPr algn="ctr">
            <a:defRPr sz="6500"/>
          </a:lvl1pPr>
          <a:lvl2pPr marL="285750" indent="-285750" algn="ctr">
            <a:defRPr sz="5000"/>
          </a:lvl2pPr>
          <a:lvl3pPr marL="571500" indent="-285750" algn="ctr">
            <a:defRPr sz="5000"/>
          </a:lvl3pPr>
          <a:lvl4pPr marL="857250" indent="-285750" algn="ctr">
            <a:defRPr sz="5000"/>
          </a:lvl4pPr>
          <a:lvl5pPr marL="1143000" indent="-285750" algn="ctr">
            <a:defRPr sz="5000"/>
          </a:lvl5pPr>
          <a:lvl6pPr marL="1428750" indent="-285750" algn="ctr">
            <a:defRPr sz="5000"/>
          </a:lvl6pPr>
          <a:lvl7pPr marL="1714500" indent="-285750" algn="ctr">
            <a:defRPr sz="5000"/>
          </a:lvl7pPr>
          <a:lvl8pPr marL="2000250" indent="-285750" algn="ctr">
            <a:defRPr sz="5000"/>
          </a:lvl8pPr>
          <a:lvl9pPr marL="2286000" indent="-285750" algn="ctr">
            <a:defRPr sz="5000"/>
          </a:lvl9pPr>
        </a:lstStyle>
        <a:p>
          <a:pPr lvl="0" algn="l">
            <a:lnSpc>
              <a:spcPct val="100000"/>
            </a:lnSpc>
            <a:spcBef>
              <a:spcPct val="0"/>
            </a:spcBef>
            <a:spcAft>
              <a:spcPct val="35000"/>
            </a:spcAft>
          </a:pPr>
          <a:r>
            <a:rPr lang="en-US" altLang="zh-CN" sz="1200" b="1">
              <a:latin typeface="+mn-ea"/>
              <a:ea typeface="+mn-ea"/>
            </a:rPr>
            <a:t>2</a:t>
          </a:r>
          <a:r>
            <a:rPr lang="zh-CN" altLang="en-US" sz="1200" b="1">
              <a:latin typeface="+mn-ea"/>
              <a:ea typeface="+mn-ea"/>
            </a:rPr>
            <a:t>）现场查勘和编制</a:t>
          </a:r>
          <a:r>
            <a:rPr lang="en-US" altLang="en-US" sz="1200" b="1">
              <a:latin typeface="+mn-ea"/>
              <a:ea typeface="+mn-ea"/>
            </a:rPr>
            <a:t>/</a:t>
          </a:r>
          <a:r>
            <a:rPr lang="zh-CN" altLang="en-US" sz="1200" b="1">
              <a:latin typeface="+mn-ea"/>
              <a:ea typeface="+mn-ea"/>
            </a:rPr>
            <a:t>复核供水方案</a:t>
          </a:r>
        </a:p>
      </dsp:txBody>
      <dsp:txXfrm>
        <a:off x="0" y="476085"/>
        <a:ext cx="2052828" cy="453414"/>
      </dsp:txXfrm>
    </dsp:sp>
    <dsp:sp modelId="{0BAF249B-6EE5-4E4C-8813-501CC02B31C2}">
      <dsp:nvSpPr>
        <dsp:cNvPr id="8" name="同侧圆角矩形 7"/>
        <dsp:cNvSpPr/>
      </dsp:nvSpPr>
      <dsp:spPr bwMode="white">
        <a:xfrm rot="5400000">
          <a:off x="3696198" y="-645858"/>
          <a:ext cx="362732" cy="3649472"/>
        </a:xfrm>
        <a:prstGeom prst="round2SameRect">
          <a:avLst/>
        </a:prstGeom>
      </dsp:spPr>
      <dsp:style>
        <a:lnRef idx="2">
          <a:schemeClr val="accent1">
            <a:alpha val="90000"/>
            <a:tint val="40000"/>
          </a:schemeClr>
        </a:lnRef>
        <a:fillRef idx="1">
          <a:schemeClr val="accent1">
            <a:alpha val="90000"/>
            <a:tint val="40000"/>
          </a:schemeClr>
        </a:fillRef>
        <a:effectRef idx="0">
          <a:scrgbClr r="0" g="0" b="0"/>
        </a:effectRef>
        <a:fontRef idx="minor"/>
      </dsp:style>
      <dsp:txBody>
        <a:bodyPr rot="-5400000" lIns="41910" tIns="20955" rIns="41910" bIns="20955" anchor="ctr"/>
        <a:lstStyle>
          <a:lvl1pPr algn="l">
            <a:defRPr sz="6500"/>
          </a:lvl1pPr>
          <a:lvl2pPr marL="285750" indent="-285750" algn="l">
            <a:defRPr sz="6500"/>
          </a:lvl2pPr>
          <a:lvl3pPr marL="571500" indent="-285750" algn="l">
            <a:defRPr sz="6500"/>
          </a:lvl3pPr>
          <a:lvl4pPr marL="857250" indent="-285750" algn="l">
            <a:defRPr sz="6500"/>
          </a:lvl4pPr>
          <a:lvl5pPr marL="1143000" indent="-285750" algn="l">
            <a:defRPr sz="6500"/>
          </a:lvl5pPr>
          <a:lvl6pPr marL="1428750" indent="-285750" algn="l">
            <a:defRPr sz="6500"/>
          </a:lvl6pPr>
          <a:lvl7pPr marL="1714500" indent="-285750" algn="l">
            <a:defRPr sz="6500"/>
          </a:lvl7pPr>
          <a:lvl8pPr marL="2000250" indent="-285750" algn="l">
            <a:defRPr sz="6500"/>
          </a:lvl8pPr>
          <a:lvl9pPr marL="2286000" indent="-285750" algn="l">
            <a:defRPr sz="6500"/>
          </a:lvl9pPr>
        </a:lstStyle>
        <a:p>
          <a:pPr marL="57150" lvl="1" indent="-57150" algn="l">
            <a:lnSpc>
              <a:spcPct val="10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zh-CN" altLang="en-US" sz="1100">
              <a:solidFill>
                <a:schemeClr val="dk1"/>
              </a:solidFill>
              <a:latin typeface="+mn-ea"/>
              <a:ea typeface="+mn-ea"/>
            </a:rPr>
            <a:t>用户对工程验收环节的施工质量、水表设施、接入后的水质水压等方面的评价。</a:t>
          </a:r>
          <a:endParaRPr>
            <a:solidFill>
              <a:schemeClr val="dk1"/>
            </a:solidFill>
          </a:endParaRPr>
        </a:p>
      </dsp:txBody>
      <dsp:txXfrm rot="5400000">
        <a:off x="3696198" y="-645858"/>
        <a:ext cx="362732" cy="3649472"/>
      </dsp:txXfrm>
    </dsp:sp>
    <dsp:sp modelId="{059A07DF-F6C6-4977-926B-40F0360B3FDD}">
      <dsp:nvSpPr>
        <dsp:cNvPr id="7" name="圆角矩形 6"/>
        <dsp:cNvSpPr/>
      </dsp:nvSpPr>
      <dsp:spPr bwMode="white">
        <a:xfrm>
          <a:off x="0" y="952170"/>
          <a:ext cx="2052828" cy="453414"/>
        </a:xfrm>
        <a:prstGeom prst="roundRect">
          <a:avLst/>
        </a:prstGeom>
      </dsp:spPr>
      <dsp:style>
        <a:lnRef idx="2">
          <a:schemeClr val="lt1"/>
        </a:lnRef>
        <a:fillRef idx="1">
          <a:schemeClr val="accent1"/>
        </a:fillRef>
        <a:effectRef idx="0">
          <a:scrgbClr r="0" g="0" b="0"/>
        </a:effectRef>
        <a:fontRef idx="minor">
          <a:schemeClr val="lt1"/>
        </a:fontRef>
      </dsp:style>
      <dsp:txBody>
        <a:bodyPr lIns="45719" tIns="22859" rIns="45719" bIns="22859" anchor="ctr"/>
        <a:lstStyle>
          <a:lvl1pPr algn="ctr">
            <a:defRPr sz="6500"/>
          </a:lvl1pPr>
          <a:lvl2pPr marL="285750" indent="-285750" algn="ctr">
            <a:defRPr sz="5000"/>
          </a:lvl2pPr>
          <a:lvl3pPr marL="571500" indent="-285750" algn="ctr">
            <a:defRPr sz="5000"/>
          </a:lvl3pPr>
          <a:lvl4pPr marL="857250" indent="-285750" algn="ctr">
            <a:defRPr sz="5000"/>
          </a:lvl4pPr>
          <a:lvl5pPr marL="1143000" indent="-285750" algn="ctr">
            <a:defRPr sz="5000"/>
          </a:lvl5pPr>
          <a:lvl6pPr marL="1428750" indent="-285750" algn="ctr">
            <a:defRPr sz="5000"/>
          </a:lvl6pPr>
          <a:lvl7pPr marL="1714500" indent="-285750" algn="ctr">
            <a:defRPr sz="5000"/>
          </a:lvl7pPr>
          <a:lvl8pPr marL="2000250" indent="-285750" algn="ctr">
            <a:defRPr sz="5000"/>
          </a:lvl8pPr>
          <a:lvl9pPr marL="2286000" indent="-285750" algn="ctr">
            <a:defRPr sz="5000"/>
          </a:lvl9pPr>
        </a:lstStyle>
        <a:p>
          <a:pPr lvl="0" algn="l">
            <a:lnSpc>
              <a:spcPct val="100000"/>
            </a:lnSpc>
            <a:spcBef>
              <a:spcPct val="0"/>
            </a:spcBef>
            <a:spcAft>
              <a:spcPct val="35000"/>
            </a:spcAft>
          </a:pPr>
          <a:r>
            <a:rPr lang="en-US" altLang="zh-CN" sz="1200" b="1">
              <a:latin typeface="+mn-ea"/>
              <a:ea typeface="+mn-ea"/>
            </a:rPr>
            <a:t>3</a:t>
          </a:r>
          <a:r>
            <a:rPr lang="zh-CN" altLang="en-US" sz="1200" b="1">
              <a:latin typeface="+mn-ea"/>
              <a:ea typeface="+mn-ea"/>
            </a:rPr>
            <a:t>）工程质量验收</a:t>
          </a:r>
        </a:p>
      </dsp:txBody>
      <dsp:txXfrm>
        <a:off x="0" y="952170"/>
        <a:ext cx="2052828" cy="453414"/>
      </dsp:txXfrm>
    </dsp:sp>
    <dsp:sp modelId="{E8B7675E-9890-40B9-BA7E-4A4A0582F532}">
      <dsp:nvSpPr>
        <dsp:cNvPr id="10" name="同侧圆角矩形 9"/>
        <dsp:cNvSpPr/>
      </dsp:nvSpPr>
      <dsp:spPr bwMode="white">
        <a:xfrm rot="5400000">
          <a:off x="3696198" y="-169773"/>
          <a:ext cx="362732" cy="3649472"/>
        </a:xfrm>
        <a:prstGeom prst="round2SameRect">
          <a:avLst/>
        </a:prstGeom>
      </dsp:spPr>
      <dsp:style>
        <a:lnRef idx="2">
          <a:schemeClr val="accent1">
            <a:alpha val="90000"/>
            <a:tint val="40000"/>
          </a:schemeClr>
        </a:lnRef>
        <a:fillRef idx="1">
          <a:schemeClr val="accent1">
            <a:alpha val="90000"/>
            <a:tint val="40000"/>
          </a:schemeClr>
        </a:fillRef>
        <a:effectRef idx="0">
          <a:scrgbClr r="0" g="0" b="0"/>
        </a:effectRef>
        <a:fontRef idx="minor"/>
      </dsp:style>
      <dsp:txBody>
        <a:bodyPr rot="-5400000" lIns="41910" tIns="20955" rIns="41910" bIns="20955" anchor="ctr"/>
        <a:lstStyle>
          <a:lvl1pPr algn="l">
            <a:defRPr sz="6500"/>
          </a:lvl1pPr>
          <a:lvl2pPr marL="285750" indent="-285750" algn="l">
            <a:defRPr sz="6500"/>
          </a:lvl2pPr>
          <a:lvl3pPr marL="571500" indent="-285750" algn="l">
            <a:defRPr sz="6500"/>
          </a:lvl3pPr>
          <a:lvl4pPr marL="857250" indent="-285750" algn="l">
            <a:defRPr sz="6500"/>
          </a:lvl4pPr>
          <a:lvl5pPr marL="1143000" indent="-285750" algn="l">
            <a:defRPr sz="6500"/>
          </a:lvl5pPr>
          <a:lvl6pPr marL="1428750" indent="-285750" algn="l">
            <a:defRPr sz="6500"/>
          </a:lvl6pPr>
          <a:lvl7pPr marL="1714500" indent="-285750" algn="l">
            <a:defRPr sz="6500"/>
          </a:lvl7pPr>
          <a:lvl8pPr marL="2000250" indent="-285750" algn="l">
            <a:defRPr sz="6500"/>
          </a:lvl8pPr>
          <a:lvl9pPr marL="2286000" indent="-285750" algn="l">
            <a:defRPr sz="6500"/>
          </a:lvl9pPr>
        </a:lstStyle>
        <a:p>
          <a:pPr marL="57150" lvl="1" indent="-57150" algn="l">
            <a:lnSpc>
              <a:spcPct val="10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zh-CN" altLang="en-US" sz="1100">
              <a:solidFill>
                <a:schemeClr val="dk1"/>
              </a:solidFill>
              <a:latin typeface="+mn-ea"/>
              <a:ea typeface="+mn-ea"/>
            </a:rPr>
            <a:t>用户对签订合同环节的移交材料质量、合同内容等方面的评价。</a:t>
          </a:r>
          <a:endParaRPr>
            <a:solidFill>
              <a:schemeClr val="dk1"/>
            </a:solidFill>
          </a:endParaRPr>
        </a:p>
      </dsp:txBody>
      <dsp:txXfrm rot="5400000">
        <a:off x="3696198" y="-169773"/>
        <a:ext cx="362732" cy="3649472"/>
      </dsp:txXfrm>
    </dsp:sp>
    <dsp:sp modelId="{66ABC41A-B2FC-4E7E-B76C-488E456EE788}">
      <dsp:nvSpPr>
        <dsp:cNvPr id="9" name="圆角矩形 8"/>
        <dsp:cNvSpPr/>
      </dsp:nvSpPr>
      <dsp:spPr bwMode="white">
        <a:xfrm>
          <a:off x="0" y="1428255"/>
          <a:ext cx="2052828" cy="453414"/>
        </a:xfrm>
        <a:prstGeom prst="roundRect">
          <a:avLst/>
        </a:prstGeom>
      </dsp:spPr>
      <dsp:style>
        <a:lnRef idx="2">
          <a:schemeClr val="lt1"/>
        </a:lnRef>
        <a:fillRef idx="1">
          <a:schemeClr val="accent1"/>
        </a:fillRef>
        <a:effectRef idx="0">
          <a:scrgbClr r="0" g="0" b="0"/>
        </a:effectRef>
        <a:fontRef idx="minor">
          <a:schemeClr val="lt1"/>
        </a:fontRef>
      </dsp:style>
      <dsp:txBody>
        <a:bodyPr lIns="45719" tIns="22859" rIns="45719" bIns="22859" anchor="ctr"/>
        <a:lstStyle>
          <a:lvl1pPr algn="ctr">
            <a:defRPr sz="6500"/>
          </a:lvl1pPr>
          <a:lvl2pPr marL="285750" indent="-285750" algn="ctr">
            <a:defRPr sz="5000"/>
          </a:lvl2pPr>
          <a:lvl3pPr marL="571500" indent="-285750" algn="ctr">
            <a:defRPr sz="5000"/>
          </a:lvl3pPr>
          <a:lvl4pPr marL="857250" indent="-285750" algn="ctr">
            <a:defRPr sz="5000"/>
          </a:lvl4pPr>
          <a:lvl5pPr marL="1143000" indent="-285750" algn="ctr">
            <a:defRPr sz="5000"/>
          </a:lvl5pPr>
          <a:lvl6pPr marL="1428750" indent="-285750" algn="ctr">
            <a:defRPr sz="5000"/>
          </a:lvl6pPr>
          <a:lvl7pPr marL="1714500" indent="-285750" algn="ctr">
            <a:defRPr sz="5000"/>
          </a:lvl7pPr>
          <a:lvl8pPr marL="2000250" indent="-285750" algn="ctr">
            <a:defRPr sz="5000"/>
          </a:lvl8pPr>
          <a:lvl9pPr marL="2286000" indent="-285750" algn="ctr">
            <a:defRPr sz="5000"/>
          </a:lvl9pPr>
        </a:lstStyle>
        <a:p>
          <a:pPr lvl="0" algn="l">
            <a:lnSpc>
              <a:spcPct val="100000"/>
            </a:lnSpc>
            <a:spcBef>
              <a:spcPct val="0"/>
            </a:spcBef>
            <a:spcAft>
              <a:spcPct val="35000"/>
            </a:spcAft>
          </a:pPr>
          <a:r>
            <a:rPr lang="en-US" altLang="zh-CN" sz="1200" b="1">
              <a:latin typeface="+mn-ea"/>
              <a:ea typeface="+mn-ea"/>
            </a:rPr>
            <a:t>4</a:t>
          </a:r>
          <a:r>
            <a:rPr lang="zh-CN" altLang="en-US" sz="1200" b="1">
              <a:latin typeface="+mn-ea"/>
              <a:ea typeface="+mn-ea"/>
            </a:rPr>
            <a:t>）签订供用水合同</a:t>
          </a:r>
        </a:p>
      </dsp:txBody>
      <dsp:txXfrm>
        <a:off x="0" y="1428255"/>
        <a:ext cx="2052828" cy="453414"/>
      </dsp:txXfrm>
    </dsp:sp>
    <dsp:sp modelId="{80F5B0C3-45C4-4341-AB6C-DE14A6454C4F}">
      <dsp:nvSpPr>
        <dsp:cNvPr id="12" name="同侧圆角矩形 11"/>
        <dsp:cNvSpPr/>
      </dsp:nvSpPr>
      <dsp:spPr bwMode="white">
        <a:xfrm rot="5400000">
          <a:off x="3696198" y="306312"/>
          <a:ext cx="362732" cy="3649472"/>
        </a:xfrm>
        <a:prstGeom prst="round2SameRect">
          <a:avLst/>
        </a:prstGeom>
      </dsp:spPr>
      <dsp:style>
        <a:lnRef idx="2">
          <a:schemeClr val="accent1">
            <a:alpha val="90000"/>
            <a:tint val="40000"/>
          </a:schemeClr>
        </a:lnRef>
        <a:fillRef idx="1">
          <a:schemeClr val="accent1">
            <a:alpha val="90000"/>
            <a:tint val="40000"/>
          </a:schemeClr>
        </a:fillRef>
        <a:effectRef idx="0">
          <a:scrgbClr r="0" g="0" b="0"/>
        </a:effectRef>
        <a:fontRef idx="minor"/>
      </dsp:style>
      <dsp:txBody>
        <a:bodyPr rot="-5400000" lIns="41910" tIns="20955" rIns="41910" bIns="20955" anchor="ctr"/>
        <a:lstStyle>
          <a:lvl1pPr algn="l">
            <a:defRPr sz="6500"/>
          </a:lvl1pPr>
          <a:lvl2pPr marL="285750" indent="-285750" algn="l">
            <a:defRPr sz="6500"/>
          </a:lvl2pPr>
          <a:lvl3pPr marL="571500" indent="-285750" algn="l">
            <a:defRPr sz="6500"/>
          </a:lvl3pPr>
          <a:lvl4pPr marL="857250" indent="-285750" algn="l">
            <a:defRPr sz="6500"/>
          </a:lvl4pPr>
          <a:lvl5pPr marL="1143000" indent="-285750" algn="l">
            <a:defRPr sz="6500"/>
          </a:lvl5pPr>
          <a:lvl6pPr marL="1428750" indent="-285750" algn="l">
            <a:defRPr sz="6500"/>
          </a:lvl6pPr>
          <a:lvl7pPr marL="1714500" indent="-285750" algn="l">
            <a:defRPr sz="6500"/>
          </a:lvl7pPr>
          <a:lvl8pPr marL="2000250" indent="-285750" algn="l">
            <a:defRPr sz="6500"/>
          </a:lvl8pPr>
          <a:lvl9pPr marL="2286000" indent="-285750" algn="l">
            <a:defRPr sz="6500"/>
          </a:lvl9pPr>
        </a:lstStyle>
        <a:p>
          <a:pPr marL="57150" lvl="1" indent="-57150" algn="l">
            <a:lnSpc>
              <a:spcPct val="10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zh-CN" altLang="en-US" sz="1100">
              <a:solidFill>
                <a:schemeClr val="dk1"/>
              </a:solidFill>
              <a:latin typeface="+mn-ea"/>
              <a:ea typeface="+mn-ea"/>
            </a:rPr>
            <a:t>用户对供水接入业务的整体感受，如接入耗时、接入费用等方面的评价。</a:t>
          </a:r>
          <a:endParaRPr>
            <a:solidFill>
              <a:schemeClr val="dk1"/>
            </a:solidFill>
          </a:endParaRPr>
        </a:p>
      </dsp:txBody>
      <dsp:txXfrm rot="5400000">
        <a:off x="3696198" y="306312"/>
        <a:ext cx="362732" cy="3649472"/>
      </dsp:txXfrm>
    </dsp:sp>
    <dsp:sp modelId="{27462C9E-EF17-4BE5-A88D-B4ADF0F06518}">
      <dsp:nvSpPr>
        <dsp:cNvPr id="11" name="圆角矩形 10"/>
        <dsp:cNvSpPr/>
      </dsp:nvSpPr>
      <dsp:spPr bwMode="white">
        <a:xfrm>
          <a:off x="0" y="1904341"/>
          <a:ext cx="2052828" cy="453414"/>
        </a:xfrm>
        <a:prstGeom prst="roundRect">
          <a:avLst/>
        </a:prstGeom>
      </dsp:spPr>
      <dsp:style>
        <a:lnRef idx="2">
          <a:schemeClr val="lt1"/>
        </a:lnRef>
        <a:fillRef idx="1">
          <a:schemeClr val="accent1"/>
        </a:fillRef>
        <a:effectRef idx="0">
          <a:scrgbClr r="0" g="0" b="0"/>
        </a:effectRef>
        <a:fontRef idx="minor">
          <a:schemeClr val="lt1"/>
        </a:fontRef>
      </dsp:style>
      <dsp:txBody>
        <a:bodyPr lIns="45719" tIns="22859" rIns="45719" bIns="22859" anchor="ctr"/>
        <a:lstStyle>
          <a:lvl1pPr algn="ctr">
            <a:defRPr sz="6500"/>
          </a:lvl1pPr>
          <a:lvl2pPr marL="285750" indent="-285750" algn="ctr">
            <a:defRPr sz="5000"/>
          </a:lvl2pPr>
          <a:lvl3pPr marL="571500" indent="-285750" algn="ctr">
            <a:defRPr sz="5000"/>
          </a:lvl3pPr>
          <a:lvl4pPr marL="857250" indent="-285750" algn="ctr">
            <a:defRPr sz="5000"/>
          </a:lvl4pPr>
          <a:lvl5pPr marL="1143000" indent="-285750" algn="ctr">
            <a:defRPr sz="5000"/>
          </a:lvl5pPr>
          <a:lvl6pPr marL="1428750" indent="-285750" algn="ctr">
            <a:defRPr sz="5000"/>
          </a:lvl6pPr>
          <a:lvl7pPr marL="1714500" indent="-285750" algn="ctr">
            <a:defRPr sz="5000"/>
          </a:lvl7pPr>
          <a:lvl8pPr marL="2000250" indent="-285750" algn="ctr">
            <a:defRPr sz="5000"/>
          </a:lvl8pPr>
          <a:lvl9pPr marL="2286000" indent="-285750" algn="ctr">
            <a:defRPr sz="5000"/>
          </a:lvl9pPr>
        </a:lstStyle>
        <a:p>
          <a:pPr lvl="0" algn="l">
            <a:lnSpc>
              <a:spcPct val="100000"/>
            </a:lnSpc>
            <a:spcBef>
              <a:spcPct val="0"/>
            </a:spcBef>
            <a:spcAft>
              <a:spcPct val="35000"/>
            </a:spcAft>
          </a:pPr>
          <a:r>
            <a:rPr lang="en-US" altLang="zh-CN" sz="1200" b="1">
              <a:latin typeface="+mn-ea"/>
              <a:ea typeface="+mn-ea"/>
            </a:rPr>
            <a:t>5</a:t>
          </a:r>
          <a:r>
            <a:rPr lang="zh-CN" altLang="en-US" sz="1200" b="1">
              <a:latin typeface="+mn-ea"/>
              <a:ea typeface="+mn-ea"/>
            </a:rPr>
            <a:t>）总体服务</a:t>
          </a:r>
        </a:p>
      </dsp:txBody>
      <dsp:txXfrm>
        <a:off x="0" y="1904341"/>
        <a:ext cx="2052828" cy="453414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vList5">
  <dgm:title val=""/>
  <dgm:desc val=""/>
  <dgm:catLst>
    <dgm:cat type="list" pri="15000"/>
    <dgm:cat type="convert" pri="2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2"/>
        <dgm:pt modelId="21"/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23" srcId="2" destId="2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lin">
          <dgm:param type="linDir" val="fromT"/>
          <dgm:param type="nodeHorzAlign" val="l"/>
        </dgm:alg>
      </dgm:if>
      <dgm:else name="Name3">
        <dgm:alg type="lin">
          <dgm:param type="linDir" val="fromT"/>
          <dgm:param type="nodeHorzAlign" val="r"/>
        </dgm:alg>
      </dgm:else>
    </dgm:choose>
    <dgm:shape xmlns:r="http://schemas.openxmlformats.org/officeDocument/2006/relationships" r:blip="">
      <dgm:adjLst/>
    </dgm:shape>
    <dgm:presOf/>
    <dgm:constrLst>
      <dgm:constr type="h" for="ch" forName="linNode" refType="h"/>
      <dgm:constr type="w" for="ch" forName="linNode" refType="w"/>
      <dgm:constr type="h" for="ch" forName="sp" refType="h" fact="0.05"/>
      <dgm:constr type="primFontSz" for="des" forName="parentText" op="equ" val="65"/>
      <dgm:constr type="secFontSz" for="des" forName="descendantText" op="equ"/>
    </dgm:constrLst>
    <dgm:ruleLst/>
    <dgm:forEach name="Name4" axis="ch" ptType="node">
      <dgm:layoutNode name="linNode">
        <dgm:choose name="Name5">
          <dgm:if name="Name6" func="var" arg="dir" op="equ" val="norm">
            <dgm:alg type="lin">
              <dgm:param type="linDir" val="fromL"/>
            </dgm:alg>
          </dgm:if>
          <dgm:else name="Name7">
            <dgm:alg type="lin">
              <dgm:param type="linDir" val="fromR"/>
            </dgm:alg>
          </dgm:else>
        </dgm:choose>
        <dgm:shape xmlns:r="http://schemas.openxmlformats.org/officeDocument/2006/relationships" r:blip="">
          <dgm:adjLst/>
        </dgm:shape>
        <dgm:presOf/>
        <dgm:constrLst>
          <dgm:constr type="w" for="ch" forName="parentText" refType="w" fact="0.36"/>
          <dgm:constr type="w" for="ch" forName="descendantText" refType="w" fact="0.64"/>
          <dgm:constr type="h" for="ch" forName="parentText" refType="h"/>
          <dgm:constr type="h" for="ch" forName="descendantText" refType="h" refFor="ch" refForName="parentText" fact="0.8"/>
        </dgm:constrLst>
        <dgm:ruleLst/>
        <dgm:layoutNode name="parentText">
          <dgm:varLst>
            <dgm:chMax val="1"/>
            <dgm:bulletEnabled val="1"/>
          </dgm:varLst>
          <dgm:alg type="tx"/>
          <dgm:shape xmlns:r="http://schemas.openxmlformats.org/officeDocument/2006/relationships" type="roundRect" r:blip="" zOrderOff="3">
            <dgm:adjLst/>
          </dgm:shape>
          <dgm:presOf axis="self" ptType="node"/>
          <dgm:constrLst>
            <dgm:constr type="tMarg" refType="primFontSz" fact="0.15"/>
            <dgm:constr type="bMarg" refType="primFontSz" fact="0.15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choose name="Name8">
          <dgm:if name="Name9" axis="ch" ptType="node" func="cnt" op="gte" val="1">
            <dgm:layoutNode name="descendantText" styleLbl="alignAccFollowNode1">
              <dgm:varLst>
                <dgm:bulletEnabled val="1"/>
              </dgm:varLst>
              <dgm:alg type="tx">
                <dgm:param type="stBulletLvl" val="1"/>
                <dgm:param type="txAnchorVertCh" val="mid"/>
              </dgm:alg>
              <dgm:choose name="Name10">
                <dgm:if name="Name11" func="var" arg="dir" op="equ" val="norm">
                  <dgm:shape xmlns:r="http://schemas.openxmlformats.org/officeDocument/2006/relationships" type="round2SameRect" r:blip="" rot="90">
                    <dgm:adjLst/>
                  </dgm:shape>
                </dgm:if>
                <dgm:else name="Name12">
                  <dgm:shape xmlns:r="http://schemas.openxmlformats.org/officeDocument/2006/relationships" type="round2SameRect" r:blip="" rot="-90">
                    <dgm:adjLst/>
                  </dgm:shape>
                </dgm:else>
              </dgm:choose>
              <dgm:presOf axis="des" ptType="node"/>
              <dgm:constrLst>
                <dgm:constr type="secFontSz" val="65"/>
                <dgm:constr type="primFontSz" refType="secFontSz"/>
                <dgm:constr type="lMarg" refType="secFontSz" fact="0.3"/>
                <dgm:constr type="rMarg" refType="secFontSz" fact="0.3"/>
                <dgm:constr type="tMarg" refType="secFontSz" fact="0.15"/>
                <dgm:constr type="bMarg" refType="secFontSz" fact="0.15"/>
              </dgm:constrLst>
              <dgm:ruleLst>
                <dgm:rule type="secFontSz" val="5" fact="NaN" max="NaN"/>
              </dgm:ruleLst>
            </dgm:layoutNode>
          </dgm:if>
          <dgm:else name="Name13"/>
        </dgm:choose>
      </dgm:layoutNode>
      <dgm:forEach name="Name14" axis="followSib" ptType="sibTrans" cnt="1">
        <dgm:layoutNode name="sp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alignAcc1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Node1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0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Acc1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ibTrans2D1">
    <dgm:scene3d>
      <a:camera prst="orthographicFront"/>
      <a:lightRig rig="threePt" dir="t"/>
    </dgm:scene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callout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ImgPlace1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ibTrans2D1">
    <dgm:scene3d>
      <a:camera prst="orthographicFront"/>
      <a:lightRig rig="threePt" dir="t"/>
    </dgm:scene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0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2D1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revTx">
    <dgm:scene3d>
      <a:camera prst="orthographicFront"/>
      <a:lightRig rig="threePt" dir="t"/>
    </dgm:scene3d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sibTrans1D1">
    <dgm:scene3d>
      <a:camera prst="orthographicFront"/>
      <a:lightRig rig="threePt" dir="t"/>
    </dgm:scene3d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olidAlignAcc1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vennNode1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</dgm:styleDef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0.04422</cdr:x>
      <cdr:y>0.2872</cdr:y>
    </cdr:from>
    <cdr:to>
      <cdr:x>0.96145</cdr:x>
      <cdr:y>0.34305</cdr:y>
    </cdr:to>
    <cdr:sp>
      <cdr:nvSpPr>
        <cdr:cNvPr id="2" name="左大括号 1"/>
        <cdr:cNvSpPr/>
      </cdr:nvSpPr>
      <cdr:spPr xmlns:a="http://schemas.openxmlformats.org/drawingml/2006/main">
        <a:xfrm xmlns:a="http://schemas.openxmlformats.org/drawingml/2006/main" rot="5400000">
          <a:off x="223080" y="960024"/>
          <a:ext cx="4626802" cy="186688"/>
        </a:xfrm>
        <a:prstGeom xmlns:a="http://schemas.openxmlformats.org/drawingml/2006/main" prst="leftBrace">
          <a:avLst/>
        </a:prstGeom>
        <a:noFill/>
        <a:ln w="19050">
          <a:solidFill>
            <a:schemeClr val="accent1"/>
          </a:solidFill>
        </a:ln>
      </cdr:spPr>
      <cdr:style>
        <a:lnRef xmlns:a="http://schemas.openxmlformats.org/drawingml/2006/main" idx="1">
          <a:schemeClr val="accent1"/>
        </a:lnRef>
        <a:fillRef xmlns:a="http://schemas.openxmlformats.org/drawingml/2006/main" idx="0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tx1"/>
        </a:fontRef>
      </cdr:style>
      <cdr:txBody xmlns:a="http://schemas.openxmlformats.org/drawingml/2006/main">
        <a:bodyPr vertOverflow="clip" vert="horz" wrap="none" lIns="45720" tIns="45720" rIns="45720" bIns="45720" anchor="t" anchorCtr="0">
          <a:normAutofit/>
        </a:bodyPr>
        <a:lstStyle/>
        <a:p>
          <a:endParaRPr lang="zh-CN"/>
        </a:p>
      </cdr:txBody>
    </cdr:sp>
  </cdr:relSizeAnchor>
</c:userShape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word/theme/themeOverride1.xml><?xml version="1.0" encoding="utf-8"?>
<a:themeOverride xmlns:a="http://schemas.openxmlformats.org/drawingml/2006/main">
  <a:clrScheme name="质朴">
    <a:dk1>
      <a:sysClr val="windowText" lastClr="000000"/>
    </a:dk1>
    <a:lt1>
      <a:sysClr val="window" lastClr="FFFFFF"/>
    </a:lt1>
    <a:dk2>
      <a:srgbClr val="464653"/>
    </a:dk2>
    <a:lt2>
      <a:srgbClr val="DDE9EC"/>
    </a:lt2>
    <a:accent1>
      <a:srgbClr val="727CA3"/>
    </a:accent1>
    <a:accent2>
      <a:srgbClr val="9FB8CD"/>
    </a:accent2>
    <a:accent3>
      <a:srgbClr val="D2DA7A"/>
    </a:accent3>
    <a:accent4>
      <a:srgbClr val="FADA7A"/>
    </a:accent4>
    <a:accent5>
      <a:srgbClr val="B88472"/>
    </a:accent5>
    <a:accent6>
      <a:srgbClr val="8E736A"/>
    </a:accent6>
    <a:hlink>
      <a:srgbClr val="B292CA"/>
    </a:hlink>
    <a:folHlink>
      <a:srgbClr val="6B5680"/>
    </a:folHlink>
  </a:clrScheme>
  <a:fontScheme name="Office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质朴">
    <a:dk1>
      <a:sysClr val="windowText" lastClr="000000"/>
    </a:dk1>
    <a:lt1>
      <a:sysClr val="window" lastClr="FFFFFF"/>
    </a:lt1>
    <a:dk2>
      <a:srgbClr val="464653"/>
    </a:dk2>
    <a:lt2>
      <a:srgbClr val="DDE9EC"/>
    </a:lt2>
    <a:accent1>
      <a:srgbClr val="727CA3"/>
    </a:accent1>
    <a:accent2>
      <a:srgbClr val="9FB8CD"/>
    </a:accent2>
    <a:accent3>
      <a:srgbClr val="D2DA7A"/>
    </a:accent3>
    <a:accent4>
      <a:srgbClr val="FADA7A"/>
    </a:accent4>
    <a:accent5>
      <a:srgbClr val="B88472"/>
    </a:accent5>
    <a:accent6>
      <a:srgbClr val="8E736A"/>
    </a:accent6>
    <a:hlink>
      <a:srgbClr val="B292CA"/>
    </a:hlink>
    <a:folHlink>
      <a:srgbClr val="6B5680"/>
    </a:folHlink>
  </a:clrScheme>
  <a:fontScheme name="Office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质朴">
    <a:dk1>
      <a:sysClr val="windowText" lastClr="000000"/>
    </a:dk1>
    <a:lt1>
      <a:sysClr val="window" lastClr="FFFFFF"/>
    </a:lt1>
    <a:dk2>
      <a:srgbClr val="464653"/>
    </a:dk2>
    <a:lt2>
      <a:srgbClr val="DDE9EC"/>
    </a:lt2>
    <a:accent1>
      <a:srgbClr val="727CA3"/>
    </a:accent1>
    <a:accent2>
      <a:srgbClr val="9FB8CD"/>
    </a:accent2>
    <a:accent3>
      <a:srgbClr val="D2DA7A"/>
    </a:accent3>
    <a:accent4>
      <a:srgbClr val="FADA7A"/>
    </a:accent4>
    <a:accent5>
      <a:srgbClr val="B88472"/>
    </a:accent5>
    <a:accent6>
      <a:srgbClr val="8E736A"/>
    </a:accent6>
    <a:hlink>
      <a:srgbClr val="B292CA"/>
    </a:hlink>
    <a:folHlink>
      <a:srgbClr val="6B5680"/>
    </a:folHlink>
  </a:clrScheme>
  <a:fontScheme name="Office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质朴">
    <a:dk1>
      <a:sysClr val="windowText" lastClr="000000"/>
    </a:dk1>
    <a:lt1>
      <a:sysClr val="window" lastClr="FFFFFF"/>
    </a:lt1>
    <a:dk2>
      <a:srgbClr val="464653"/>
    </a:dk2>
    <a:lt2>
      <a:srgbClr val="DDE9EC"/>
    </a:lt2>
    <a:accent1>
      <a:srgbClr val="727CA3"/>
    </a:accent1>
    <a:accent2>
      <a:srgbClr val="9FB8CD"/>
    </a:accent2>
    <a:accent3>
      <a:srgbClr val="D2DA7A"/>
    </a:accent3>
    <a:accent4>
      <a:srgbClr val="FADA7A"/>
    </a:accent4>
    <a:accent5>
      <a:srgbClr val="B88472"/>
    </a:accent5>
    <a:accent6>
      <a:srgbClr val="8E736A"/>
    </a:accent6>
    <a:hlink>
      <a:srgbClr val="B292CA"/>
    </a:hlink>
    <a:folHlink>
      <a:srgbClr val="6B5680"/>
    </a:folHlink>
  </a:clrScheme>
  <a:fontScheme name="Office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5.xml><?xml version="1.0" encoding="utf-8"?>
<a:themeOverride xmlns:a="http://schemas.openxmlformats.org/drawingml/2006/main">
  <a:clrScheme name="质朴">
    <a:dk1>
      <a:sysClr val="windowText" lastClr="000000"/>
    </a:dk1>
    <a:lt1>
      <a:sysClr val="window" lastClr="FFFFFF"/>
    </a:lt1>
    <a:dk2>
      <a:srgbClr val="464653"/>
    </a:dk2>
    <a:lt2>
      <a:srgbClr val="DDE9EC"/>
    </a:lt2>
    <a:accent1>
      <a:srgbClr val="727CA3"/>
    </a:accent1>
    <a:accent2>
      <a:srgbClr val="9FB8CD"/>
    </a:accent2>
    <a:accent3>
      <a:srgbClr val="D2DA7A"/>
    </a:accent3>
    <a:accent4>
      <a:srgbClr val="FADA7A"/>
    </a:accent4>
    <a:accent5>
      <a:srgbClr val="B88472"/>
    </a:accent5>
    <a:accent6>
      <a:srgbClr val="8E736A"/>
    </a:accent6>
    <a:hlink>
      <a:srgbClr val="B292CA"/>
    </a:hlink>
    <a:folHlink>
      <a:srgbClr val="6B5680"/>
    </a:folHlink>
  </a:clrScheme>
  <a:fontScheme name="Office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6.xml><?xml version="1.0" encoding="utf-8"?>
<a:themeOverride xmlns:a="http://schemas.openxmlformats.org/drawingml/2006/main">
  <a:clrScheme name="质朴">
    <a:dk1>
      <a:sysClr val="windowText" lastClr="000000"/>
    </a:dk1>
    <a:lt1>
      <a:sysClr val="window" lastClr="FFFFFF"/>
    </a:lt1>
    <a:dk2>
      <a:srgbClr val="464653"/>
    </a:dk2>
    <a:lt2>
      <a:srgbClr val="DDE9EC"/>
    </a:lt2>
    <a:accent1>
      <a:srgbClr val="727CA3"/>
    </a:accent1>
    <a:accent2>
      <a:srgbClr val="9FB8CD"/>
    </a:accent2>
    <a:accent3>
      <a:srgbClr val="D2DA7A"/>
    </a:accent3>
    <a:accent4>
      <a:srgbClr val="FADA7A"/>
    </a:accent4>
    <a:accent5>
      <a:srgbClr val="B88472"/>
    </a:accent5>
    <a:accent6>
      <a:srgbClr val="8E736A"/>
    </a:accent6>
    <a:hlink>
      <a:srgbClr val="B292CA"/>
    </a:hlink>
    <a:folHlink>
      <a:srgbClr val="6B5680"/>
    </a:folHlink>
  </a:clrScheme>
  <a:fontScheme name="Office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7.xml><?xml version="1.0" encoding="utf-8"?>
<a:themeOverride xmlns:a="http://schemas.openxmlformats.org/drawingml/2006/main">
  <a:clrScheme name="质朴">
    <a:dk1>
      <a:sysClr val="windowText" lastClr="000000"/>
    </a:dk1>
    <a:lt1>
      <a:sysClr val="window" lastClr="FFFFFF"/>
    </a:lt1>
    <a:dk2>
      <a:srgbClr val="464653"/>
    </a:dk2>
    <a:lt2>
      <a:srgbClr val="DDE9EC"/>
    </a:lt2>
    <a:accent1>
      <a:srgbClr val="727CA3"/>
    </a:accent1>
    <a:accent2>
      <a:srgbClr val="9FB8CD"/>
    </a:accent2>
    <a:accent3>
      <a:srgbClr val="D2DA7A"/>
    </a:accent3>
    <a:accent4>
      <a:srgbClr val="FADA7A"/>
    </a:accent4>
    <a:accent5>
      <a:srgbClr val="B88472"/>
    </a:accent5>
    <a:accent6>
      <a:srgbClr val="8E736A"/>
    </a:accent6>
    <a:hlink>
      <a:srgbClr val="B292CA"/>
    </a:hlink>
    <a:folHlink>
      <a:srgbClr val="6B5680"/>
    </a:folHlink>
  </a:clrScheme>
  <a:fontScheme name="Office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7641CC-9B2B-4B2C-8701-3F4707E1819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WGA</Company>
  <Pages>19</Pages>
  <Words>817</Words>
  <Characters>915</Characters>
  <Lines>60</Lines>
  <Paragraphs>16</Paragraphs>
  <TotalTime>0</TotalTime>
  <ScaleCrop>false</ScaleCrop>
  <LinksUpToDate>false</LinksUpToDate>
  <CharactersWithSpaces>928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2023-08-22T07:46:00Z</dcterms:created>
  <dc:creator>Administrator</dc:creator>
  <cp:lastModifiedBy>Chris</cp:lastModifiedBy>
  <cp:lastPrinted>2024-09-27T07:01:00Z</cp:lastPrinted>
  <dcterms:modified xsi:type="dcterms:W3CDTF">2026-10-21T01:50:11Z</dcterms:modified>
  <cp:revision>175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eyJoZGlkIjoiMWQwNTkzMGRmMWE4NjM5OTcwOGMyZDY3YTg0NWUzYmEiLCJ1c2VySWQiOiIxMTU5MjgwNTQ1In0=</vt:lpwstr>
  </property>
  <property fmtid="{D5CDD505-2E9C-101B-9397-08002B2CF9AE}" pid="3" name="KSOProductBuildVer">
    <vt:lpwstr>2052-12.1.0.28802</vt:lpwstr>
  </property>
  <property fmtid="{D5CDD505-2E9C-101B-9397-08002B2CF9AE}" pid="4" name="ICV">
    <vt:lpwstr>2CFB00845BBE40828A4C3932160BCEA2_12</vt:lpwstr>
  </property>
</Properties>
</file>