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黑体" w:hAnsi="仿宋" w:eastAsia="黑体"/>
          <w:bCs/>
          <w:sz w:val="32"/>
          <w:szCs w:val="30"/>
        </w:rPr>
      </w:pPr>
      <w:r>
        <w:rPr>
          <w:rFonts w:hint="eastAsia" w:ascii="黑体" w:hAnsi="仿宋" w:eastAsia="黑体"/>
          <w:bCs/>
          <w:sz w:val="32"/>
          <w:szCs w:val="30"/>
        </w:rPr>
        <w:t>附件1</w:t>
      </w:r>
    </w:p>
    <w:p>
      <w:pPr>
        <w:adjustRightInd w:val="0"/>
        <w:snapToGrid w:val="0"/>
        <w:spacing w:line="560" w:lineRule="exact"/>
        <w:jc w:val="left"/>
        <w:rPr>
          <w:rFonts w:hint="eastAsia" w:ascii="方正小标宋简体" w:hAnsi="仿宋" w:eastAsia="方正小标宋简体"/>
          <w:bCs/>
          <w:sz w:val="36"/>
          <w:szCs w:val="30"/>
        </w:rPr>
      </w:pPr>
    </w:p>
    <w:p>
      <w:pPr>
        <w:adjustRightInd w:val="0"/>
        <w:snapToGrid w:val="0"/>
        <w:spacing w:line="560" w:lineRule="exact"/>
        <w:jc w:val="center"/>
        <w:rPr>
          <w:rFonts w:hint="default" w:ascii="方正小标宋简体" w:hAnsi="仿宋" w:eastAsia="方正小标宋简体"/>
          <w:bCs/>
          <w:sz w:val="36"/>
          <w:szCs w:val="30"/>
          <w:lang w:val="en-US" w:eastAsia="zh-CN"/>
        </w:rPr>
      </w:pPr>
      <w:r>
        <w:rPr>
          <w:rFonts w:hint="eastAsia" w:ascii="方正小标宋简体" w:hAnsi="仿宋" w:eastAsia="方正小标宋简体"/>
          <w:bCs/>
          <w:sz w:val="36"/>
          <w:szCs w:val="30"/>
        </w:rPr>
        <w:t>上海市</w:t>
      </w:r>
      <w:r>
        <w:rPr>
          <w:rFonts w:hint="eastAsia" w:ascii="方正小标宋简体" w:hAnsi="仿宋" w:eastAsia="方正小标宋简体"/>
          <w:bCs/>
          <w:sz w:val="36"/>
          <w:szCs w:val="30"/>
          <w:lang w:val="en-US" w:eastAsia="zh-CN"/>
        </w:rPr>
        <w:t>水体清澈度提升试点建设技术指导意见</w:t>
      </w:r>
    </w:p>
    <w:p>
      <w:pPr>
        <w:adjustRightInd w:val="0"/>
        <w:snapToGrid w:val="0"/>
        <w:spacing w:line="560" w:lineRule="exact"/>
        <w:jc w:val="center"/>
        <w:rPr>
          <w:rFonts w:hint="eastAsia" w:ascii="仿宋_GB2312" w:hAnsi="仿宋" w:eastAsia="仿宋_GB2312"/>
          <w:sz w:val="30"/>
          <w:szCs w:val="30"/>
        </w:rPr>
      </w:pPr>
      <w:r>
        <w:rPr>
          <w:rFonts w:hint="eastAsia" w:ascii="楷体_GB2312" w:hAnsi="仿宋" w:eastAsia="楷体_GB2312"/>
          <w:sz w:val="30"/>
          <w:szCs w:val="30"/>
        </w:rPr>
        <w:t>（草案征求意见稿）</w:t>
      </w:r>
    </w:p>
    <w:p>
      <w:pPr>
        <w:adjustRightInd w:val="0"/>
        <w:snapToGrid w:val="0"/>
        <w:spacing w:line="580" w:lineRule="exact"/>
        <w:ind w:firstLine="640" w:firstLineChars="200"/>
        <w:rPr>
          <w:rFonts w:hint="eastAsia" w:eastAsia="仿宋_GB2312" w:cs="仿宋_GB2312"/>
          <w:sz w:val="32"/>
          <w:szCs w:val="32"/>
        </w:rPr>
      </w:pPr>
    </w:p>
    <w:p>
      <w:pPr>
        <w:adjustRightInd w:val="0"/>
        <w:snapToGrid w:val="0"/>
        <w:spacing w:line="580" w:lineRule="exact"/>
        <w:ind w:firstLine="640" w:firstLineChars="200"/>
        <w:rPr>
          <w:rFonts w:hint="eastAsia" w:eastAsia="仿宋_GB2312" w:cs="仿宋_GB2312"/>
          <w:sz w:val="32"/>
          <w:szCs w:val="32"/>
        </w:rPr>
      </w:pPr>
      <w:r>
        <w:rPr>
          <w:rFonts w:hint="eastAsia" w:eastAsia="仿宋_GB2312" w:cs="仿宋_GB2312"/>
          <w:sz w:val="32"/>
          <w:szCs w:val="32"/>
          <w:lang w:val="en-US" w:eastAsia="zh-CN"/>
        </w:rPr>
        <w:t>为深入贯彻落实</w:t>
      </w:r>
      <w:r>
        <w:rPr>
          <w:rFonts w:hint="eastAsia" w:eastAsia="仿宋_GB2312" w:cs="仿宋_GB2312"/>
          <w:sz w:val="32"/>
          <w:szCs w:val="32"/>
        </w:rPr>
        <w:t>习近平生态文明思想</w:t>
      </w:r>
      <w:r>
        <w:rPr>
          <w:rFonts w:hint="eastAsia" w:eastAsia="仿宋_GB2312" w:cs="仿宋_GB2312"/>
          <w:sz w:val="32"/>
          <w:szCs w:val="32"/>
          <w:lang w:val="en-US" w:eastAsia="zh-CN"/>
        </w:rPr>
        <w:t>和关于</w:t>
      </w:r>
      <w:r>
        <w:rPr>
          <w:rFonts w:hint="eastAsia" w:eastAsia="仿宋_GB2312" w:cs="仿宋_GB2312"/>
          <w:sz w:val="32"/>
          <w:szCs w:val="32"/>
        </w:rPr>
        <w:t>治水</w:t>
      </w:r>
      <w:r>
        <w:rPr>
          <w:rFonts w:hint="eastAsia" w:eastAsia="仿宋_GB2312" w:cs="仿宋_GB2312"/>
          <w:sz w:val="32"/>
          <w:szCs w:val="32"/>
          <w:lang w:val="en-US" w:eastAsia="zh-CN"/>
        </w:rPr>
        <w:t>的</w:t>
      </w:r>
      <w:r>
        <w:rPr>
          <w:rFonts w:hint="eastAsia" w:eastAsia="仿宋_GB2312" w:cs="仿宋_GB2312"/>
          <w:sz w:val="32"/>
          <w:szCs w:val="32"/>
        </w:rPr>
        <w:t>重要论述，践行</w:t>
      </w:r>
      <w:r>
        <w:rPr>
          <w:rFonts w:hint="eastAsia" w:eastAsia="仿宋_GB2312" w:cs="仿宋_GB2312"/>
          <w:sz w:val="32"/>
          <w:szCs w:val="32"/>
          <w:lang w:eastAsia="zh-CN"/>
        </w:rPr>
        <w:t>“</w:t>
      </w:r>
      <w:r>
        <w:rPr>
          <w:rFonts w:hint="eastAsia" w:eastAsia="仿宋_GB2312" w:cs="仿宋_GB2312"/>
          <w:sz w:val="32"/>
          <w:szCs w:val="32"/>
        </w:rPr>
        <w:t>人民城市</w:t>
      </w:r>
      <w:r>
        <w:rPr>
          <w:rFonts w:hint="eastAsia" w:eastAsia="仿宋_GB2312" w:cs="仿宋_GB2312"/>
          <w:sz w:val="32"/>
          <w:szCs w:val="32"/>
          <w:lang w:eastAsia="zh-CN"/>
        </w:rPr>
        <w:t>”</w:t>
      </w:r>
      <w:r>
        <w:rPr>
          <w:rFonts w:hint="eastAsia" w:eastAsia="仿宋_GB2312" w:cs="仿宋_GB2312"/>
          <w:sz w:val="32"/>
          <w:szCs w:val="32"/>
        </w:rPr>
        <w:t>理念，服务“美丽上海”建设</w:t>
      </w:r>
      <w:r>
        <w:rPr>
          <w:rFonts w:hint="eastAsia" w:eastAsia="仿宋_GB2312" w:cs="仿宋_GB2312"/>
          <w:sz w:val="32"/>
          <w:szCs w:val="32"/>
          <w:lang w:eastAsia="zh-CN"/>
        </w:rPr>
        <w:t>，</w:t>
      </w:r>
      <w:r>
        <w:rPr>
          <w:rFonts w:hint="eastAsia" w:eastAsia="仿宋_GB2312" w:cs="仿宋_GB2312"/>
          <w:sz w:val="32"/>
          <w:szCs w:val="32"/>
        </w:rPr>
        <w:t>高质量推进水体清澈度提升试点工作，规范和指导试点建设，提</w:t>
      </w:r>
      <w:r>
        <w:rPr>
          <w:rFonts w:hint="eastAsia" w:eastAsia="仿宋_GB2312" w:cs="仿宋_GB2312"/>
          <w:sz w:val="32"/>
          <w:szCs w:val="32"/>
          <w:lang w:val="en-US" w:eastAsia="zh-CN"/>
        </w:rPr>
        <w:t>高</w:t>
      </w:r>
      <w:r>
        <w:rPr>
          <w:rFonts w:hint="eastAsia" w:eastAsia="仿宋_GB2312" w:cs="仿宋_GB2312"/>
          <w:sz w:val="32"/>
          <w:szCs w:val="32"/>
        </w:rPr>
        <w:t>清澈度提升治理水平，提出本市河湖水体清澈度提升技术指导意见。</w:t>
      </w:r>
    </w:p>
    <w:p>
      <w:pPr>
        <w:spacing w:line="580" w:lineRule="exact"/>
        <w:ind w:firstLine="640" w:firstLineChars="200"/>
        <w:outlineLvl w:val="1"/>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一、总体要求</w:t>
      </w:r>
    </w:p>
    <w:p>
      <w:pPr>
        <w:adjustRightInd w:val="0"/>
        <w:snapToGrid w:val="0"/>
        <w:spacing w:line="580" w:lineRule="exact"/>
        <w:ind w:firstLine="640" w:firstLineChars="200"/>
        <w:rPr>
          <w:rFonts w:eastAsia="黑体"/>
          <w:sz w:val="32"/>
          <w:szCs w:val="32"/>
        </w:rPr>
      </w:pPr>
      <w:r>
        <w:rPr>
          <w:rFonts w:hint="eastAsia" w:eastAsia="仿宋_GB2312" w:cs="仿宋_GB2312"/>
          <w:sz w:val="32"/>
          <w:szCs w:val="32"/>
        </w:rPr>
        <w:t>坚持“</w:t>
      </w:r>
      <w:r>
        <w:rPr>
          <w:rFonts w:eastAsia="仿宋_GB2312" w:cs="仿宋_GB2312"/>
          <w:sz w:val="32"/>
          <w:szCs w:val="32"/>
        </w:rPr>
        <w:t>生态优先</w:t>
      </w:r>
      <w:r>
        <w:rPr>
          <w:rFonts w:hint="eastAsia" w:eastAsia="仿宋_GB2312" w:cs="仿宋_GB2312"/>
          <w:sz w:val="32"/>
          <w:szCs w:val="32"/>
        </w:rPr>
        <w:t>、系统治理，目标导向、</w:t>
      </w:r>
      <w:r>
        <w:rPr>
          <w:rFonts w:eastAsia="仿宋_GB2312" w:cs="仿宋_GB2312"/>
          <w:sz w:val="32"/>
          <w:szCs w:val="32"/>
        </w:rPr>
        <w:t>因地制宜</w:t>
      </w:r>
      <w:r>
        <w:rPr>
          <w:rFonts w:hint="eastAsia" w:eastAsia="仿宋_GB2312" w:cs="仿宋_GB2312"/>
          <w:sz w:val="32"/>
          <w:szCs w:val="32"/>
        </w:rPr>
        <w:t>，以人为本、</w:t>
      </w:r>
      <w:r>
        <w:rPr>
          <w:rFonts w:eastAsia="仿宋_GB2312" w:cs="仿宋_GB2312"/>
          <w:sz w:val="32"/>
          <w:szCs w:val="32"/>
        </w:rPr>
        <w:t>循序渐进</w:t>
      </w:r>
      <w:r>
        <w:rPr>
          <w:rFonts w:hint="eastAsia" w:eastAsia="仿宋_GB2312" w:cs="仿宋_GB2312"/>
          <w:sz w:val="32"/>
          <w:szCs w:val="32"/>
        </w:rPr>
        <w:t>”</w:t>
      </w:r>
      <w:r>
        <w:rPr>
          <w:rFonts w:hint="eastAsia" w:eastAsia="仿宋_GB2312" w:cs="仿宋_GB2312"/>
          <w:sz w:val="32"/>
          <w:szCs w:val="32"/>
          <w:lang w:val="en-US" w:eastAsia="zh-CN"/>
        </w:rPr>
        <w:t>的</w:t>
      </w:r>
      <w:r>
        <w:rPr>
          <w:rFonts w:hint="eastAsia" w:eastAsia="仿宋_GB2312" w:cs="仿宋_GB2312"/>
          <w:sz w:val="32"/>
          <w:szCs w:val="32"/>
        </w:rPr>
        <w:t>原则</w:t>
      </w:r>
      <w:r>
        <w:rPr>
          <w:rFonts w:hint="eastAsia" w:eastAsia="仿宋_GB2312" w:cs="仿宋_GB2312"/>
          <w:sz w:val="32"/>
          <w:szCs w:val="32"/>
          <w:lang w:eastAsia="zh-CN"/>
        </w:rPr>
        <w:t>。</w:t>
      </w:r>
      <w:r>
        <w:rPr>
          <w:rFonts w:hint="eastAsia" w:eastAsia="仿宋_GB2312" w:cs="仿宋_GB2312"/>
          <w:sz w:val="32"/>
          <w:szCs w:val="32"/>
        </w:rPr>
        <w:t>围绕</w:t>
      </w:r>
      <w:r>
        <w:rPr>
          <w:rFonts w:hint="eastAsia" w:eastAsia="仿宋_GB2312" w:cs="仿宋_GB2312"/>
          <w:sz w:val="32"/>
          <w:szCs w:val="32"/>
          <w:lang w:eastAsia="zh-CN"/>
        </w:rPr>
        <w:t>“</w:t>
      </w:r>
      <w:r>
        <w:rPr>
          <w:rFonts w:hint="eastAsia" w:eastAsia="仿宋_GB2312" w:cs="仿宋_GB2312"/>
          <w:sz w:val="32"/>
          <w:szCs w:val="32"/>
        </w:rPr>
        <w:t>提升水体清澈度</w:t>
      </w:r>
      <w:r>
        <w:rPr>
          <w:rFonts w:hint="eastAsia" w:eastAsia="仿宋_GB2312" w:cs="仿宋_GB2312"/>
          <w:sz w:val="32"/>
          <w:szCs w:val="32"/>
          <w:lang w:eastAsia="zh-CN"/>
        </w:rPr>
        <w:t>”</w:t>
      </w:r>
      <w:r>
        <w:rPr>
          <w:rFonts w:hint="eastAsia" w:eastAsia="仿宋_GB2312" w:cs="仿宋_GB2312"/>
          <w:sz w:val="32"/>
          <w:szCs w:val="32"/>
        </w:rPr>
        <w:t>这一核心目标，统筹河湖水网与湿地修复整治，与各部门现有工作联动推进，聚焦老百姓身边的中小河道，科学确定治理目标任务</w:t>
      </w:r>
      <w:r>
        <w:rPr>
          <w:rFonts w:hint="eastAsia" w:eastAsia="仿宋_GB2312" w:cs="仿宋_GB2312"/>
          <w:sz w:val="32"/>
          <w:szCs w:val="32"/>
          <w:lang w:eastAsia="zh-CN"/>
        </w:rPr>
        <w:t>，</w:t>
      </w:r>
      <w:r>
        <w:rPr>
          <w:rFonts w:hint="eastAsia" w:eastAsia="仿宋_GB2312" w:cs="仿宋_GB2312"/>
          <w:sz w:val="32"/>
          <w:szCs w:val="32"/>
          <w:lang w:val="en-US" w:eastAsia="zh-CN"/>
        </w:rPr>
        <w:t>分区</w:t>
      </w:r>
      <w:r>
        <w:rPr>
          <w:rFonts w:hint="eastAsia" w:eastAsia="仿宋_GB2312" w:cs="仿宋_GB2312"/>
          <w:sz w:val="32"/>
          <w:szCs w:val="32"/>
        </w:rPr>
        <w:t>分类</w:t>
      </w:r>
      <w:r>
        <w:rPr>
          <w:rFonts w:hint="eastAsia" w:eastAsia="仿宋_GB2312" w:cs="仿宋_GB2312"/>
          <w:sz w:val="32"/>
          <w:szCs w:val="32"/>
          <w:lang w:val="en-US" w:eastAsia="zh-CN"/>
        </w:rPr>
        <w:t>进行综合</w:t>
      </w:r>
      <w:r>
        <w:rPr>
          <w:rFonts w:hint="eastAsia" w:eastAsia="仿宋_GB2312" w:cs="仿宋_GB2312"/>
          <w:sz w:val="32"/>
          <w:szCs w:val="32"/>
        </w:rPr>
        <w:t>施策</w:t>
      </w:r>
      <w:r>
        <w:rPr>
          <w:rFonts w:hint="eastAsia" w:eastAsia="仿宋_GB2312" w:cs="仿宋_GB2312"/>
          <w:sz w:val="32"/>
          <w:szCs w:val="32"/>
          <w:lang w:eastAsia="zh-CN"/>
        </w:rPr>
        <w:t>。</w:t>
      </w:r>
      <w:r>
        <w:rPr>
          <w:rFonts w:hint="eastAsia" w:eastAsia="仿宋_GB2312" w:cs="仿宋_GB2312"/>
          <w:sz w:val="32"/>
          <w:szCs w:val="32"/>
        </w:rPr>
        <w:t>由点及面</w:t>
      </w:r>
      <w:r>
        <w:rPr>
          <w:rFonts w:hint="eastAsia" w:eastAsia="仿宋_GB2312" w:cs="仿宋_GB2312"/>
          <w:sz w:val="32"/>
          <w:szCs w:val="32"/>
          <w:lang w:eastAsia="zh-CN"/>
        </w:rPr>
        <w:t>、</w:t>
      </w:r>
      <w:r>
        <w:rPr>
          <w:rFonts w:hint="eastAsia" w:eastAsia="仿宋_GB2312" w:cs="仿宋_GB2312"/>
          <w:sz w:val="32"/>
          <w:szCs w:val="32"/>
          <w:lang w:val="en-US" w:eastAsia="zh-CN"/>
        </w:rPr>
        <w:t>集中连片，</w:t>
      </w:r>
      <w:r>
        <w:rPr>
          <w:rFonts w:hint="eastAsia" w:eastAsia="仿宋_GB2312" w:cs="仿宋_GB2312"/>
          <w:sz w:val="32"/>
          <w:szCs w:val="32"/>
        </w:rPr>
        <w:t>形成适合上海水体清澈度提升的低碳、绿色、生态、经济的技术体系和系统治理模式，打造</w:t>
      </w:r>
      <w:r>
        <w:rPr>
          <w:rFonts w:hint="eastAsia" w:eastAsia="仿宋_GB2312" w:cs="仿宋_GB2312"/>
          <w:sz w:val="32"/>
          <w:szCs w:val="32"/>
          <w:lang w:val="en-US" w:eastAsia="zh-CN"/>
        </w:rPr>
        <w:t>水</w:t>
      </w:r>
      <w:r>
        <w:rPr>
          <w:rFonts w:hint="eastAsia" w:eastAsia="仿宋_GB2312" w:cs="仿宋_GB2312"/>
          <w:sz w:val="32"/>
          <w:szCs w:val="32"/>
        </w:rPr>
        <w:t>生态治理新质生产力，提升水体清澈度治理水平。</w:t>
      </w:r>
    </w:p>
    <w:p>
      <w:pPr>
        <w:spacing w:line="580" w:lineRule="exact"/>
        <w:ind w:firstLine="640" w:firstLineChars="200"/>
        <w:outlineLvl w:val="1"/>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工作流程与技术路线</w:t>
      </w:r>
    </w:p>
    <w:p>
      <w:pPr>
        <w:spacing w:line="580" w:lineRule="exact"/>
        <w:ind w:firstLine="643" w:firstLineChars="200"/>
        <w:rPr>
          <w:rFonts w:hint="eastAsia" w:eastAsia="仿宋_GB2312" w:cs="仿宋_GB2312"/>
          <w:sz w:val="32"/>
          <w:szCs w:val="32"/>
        </w:rPr>
      </w:pPr>
      <w:r>
        <w:rPr>
          <w:rFonts w:hint="eastAsia" w:eastAsia="仿宋_GB2312" w:cs="仿宋_GB2312"/>
          <w:b/>
          <w:bCs/>
          <w:sz w:val="32"/>
          <w:szCs w:val="32"/>
        </w:rPr>
        <w:t>1. 精心组织试点筛选</w:t>
      </w:r>
      <w:r>
        <w:rPr>
          <w:rFonts w:hint="eastAsia" w:eastAsia="仿宋_GB2312" w:cs="仿宋_GB2312"/>
          <w:b/>
          <w:bCs/>
          <w:sz w:val="32"/>
          <w:szCs w:val="32"/>
          <w:lang w:eastAsia="zh-CN"/>
        </w:rPr>
        <w:t>。</w:t>
      </w:r>
      <w:r>
        <w:rPr>
          <w:rFonts w:hint="eastAsia" w:eastAsia="仿宋_GB2312" w:cs="仿宋_GB2312"/>
          <w:sz w:val="32"/>
          <w:szCs w:val="32"/>
        </w:rPr>
        <w:t>清澈度提升试点应与各部门现有工作联动推进，</w:t>
      </w:r>
      <w:r>
        <w:rPr>
          <w:rFonts w:hint="eastAsia" w:eastAsia="仿宋_GB2312" w:cs="仿宋_GB2312"/>
          <w:sz w:val="32"/>
          <w:szCs w:val="32"/>
          <w:lang w:val="en-US" w:eastAsia="zh-CN"/>
        </w:rPr>
        <w:t>应</w:t>
      </w:r>
      <w:r>
        <w:rPr>
          <w:rFonts w:hint="eastAsia" w:eastAsia="仿宋_GB2312" w:cs="仿宋_GB2312"/>
          <w:sz w:val="32"/>
          <w:szCs w:val="32"/>
        </w:rPr>
        <w:t>依据《关于印发上海市河湖水体清澈度提升试点方案的通知》（沪水务﹝2024﹞250号）和各类型试点的建设要求，</w:t>
      </w:r>
      <w:r>
        <w:rPr>
          <w:rFonts w:hint="eastAsia" w:eastAsia="仿宋_GB2312" w:cs="仿宋_GB2312"/>
          <w:sz w:val="32"/>
          <w:szCs w:val="32"/>
          <w:lang w:val="en-US" w:eastAsia="zh-CN"/>
        </w:rPr>
        <w:t>应</w:t>
      </w:r>
      <w:r>
        <w:rPr>
          <w:rFonts w:hint="eastAsia" w:eastAsia="仿宋_GB2312" w:cs="仿宋_GB2312"/>
          <w:sz w:val="32"/>
          <w:szCs w:val="32"/>
        </w:rPr>
        <w:t>聚焦老百姓身边的水体，应避免骨干河道、通航河道及承担片区排涝功能的河道。点位应参照附件1原则进行筛选。</w:t>
      </w:r>
    </w:p>
    <w:p>
      <w:pPr>
        <w:numPr>
          <w:ilvl w:val="0"/>
          <w:numId w:val="3"/>
        </w:numPr>
        <w:adjustRightInd w:val="0"/>
        <w:snapToGrid w:val="0"/>
        <w:spacing w:line="560" w:lineRule="exact"/>
        <w:ind w:firstLine="643" w:firstLineChars="200"/>
        <w:rPr>
          <w:rFonts w:eastAsia="仿宋_GB2312" w:cs="仿宋_GB2312"/>
          <w:sz w:val="32"/>
          <w:szCs w:val="32"/>
        </w:rPr>
      </w:pPr>
      <w:r>
        <w:rPr>
          <w:rFonts w:hint="eastAsia" w:eastAsia="仿宋_GB2312" w:cs="仿宋_GB2312"/>
          <w:b/>
          <w:bCs/>
          <w:sz w:val="32"/>
          <w:szCs w:val="32"/>
        </w:rPr>
        <w:t>高度重视调查分析</w:t>
      </w:r>
      <w:r>
        <w:rPr>
          <w:rFonts w:hint="eastAsia" w:eastAsia="仿宋_GB2312" w:cs="仿宋_GB2312"/>
          <w:b/>
          <w:bCs/>
          <w:sz w:val="32"/>
          <w:szCs w:val="32"/>
          <w:lang w:eastAsia="zh-CN"/>
        </w:rPr>
        <w:t>。</w:t>
      </w:r>
      <w:r>
        <w:rPr>
          <w:rFonts w:hint="eastAsia" w:eastAsia="仿宋_GB2312" w:cs="仿宋_GB2312"/>
          <w:sz w:val="32"/>
          <w:szCs w:val="32"/>
        </w:rPr>
        <w:t>试点建设前应收集、调查试点及周边区域的自然地理、社会环境、水文水资源、水环境、水生态等方面的基础资料及相关规划资料，同时应收集整理区域涉水管理、养护管理、跟踪监测等相关规章制度等方面的资料。水文水资源重点调查试点区域河道水系的水位、水深、流速、流向、槽蓄量、水下地形、主要水利控制构筑物、引排调度模式；水环境重点调查涵盖汛期、非汛期及不同季节的悬浮物含量、浮游植物种类和数量、溶解性有机物含量等指标；水生态重点调查水生植物群落种类组成、分布面积，底栖动物及鱼类的种类组成和数量，有害入侵物种的种类及分布。</w:t>
      </w:r>
    </w:p>
    <w:p>
      <w:pPr>
        <w:numPr>
          <w:ilvl w:val="0"/>
          <w:numId w:val="0"/>
        </w:numPr>
        <w:adjustRightInd w:val="0"/>
        <w:snapToGrid w:val="0"/>
        <w:spacing w:line="560" w:lineRule="exact"/>
        <w:ind w:firstLine="640" w:firstLineChars="200"/>
        <w:rPr>
          <w:rFonts w:eastAsia="仿宋_GB2312" w:cs="仿宋_GB2312"/>
          <w:sz w:val="32"/>
          <w:szCs w:val="32"/>
        </w:rPr>
      </w:pPr>
      <w:r>
        <w:rPr>
          <w:rFonts w:hint="eastAsia" w:eastAsia="仿宋_GB2312" w:cs="仿宋_GB2312"/>
          <w:sz w:val="32"/>
          <w:szCs w:val="32"/>
        </w:rPr>
        <w:t>应在详尽调查的基础上开展河湖清澈度现状诊断分析，结合区域引排调度，分析外水输入、区域内部产生、排水输出的致浊物质量，算清“水账”，分析区域引排调度对泥沙沉降及再悬浮的影响，分析河湖水体的水生动植物等生态因子对水体清澈度的影响，识别主要致浊因子，按照问题导向、目标导向、系统治理的原则确定清澈度提升的主要策略。</w:t>
      </w:r>
    </w:p>
    <w:p>
      <w:pPr>
        <w:numPr>
          <w:ilvl w:val="0"/>
          <w:numId w:val="3"/>
        </w:numPr>
        <w:spacing w:line="580" w:lineRule="exact"/>
        <w:ind w:firstLine="643" w:firstLineChars="200"/>
        <w:rPr>
          <w:rFonts w:eastAsia="仿宋_GB2312" w:cs="仿宋_GB2312"/>
          <w:sz w:val="32"/>
          <w:szCs w:val="32"/>
        </w:rPr>
      </w:pPr>
      <w:r>
        <w:rPr>
          <w:rFonts w:hint="eastAsia" w:eastAsia="仿宋_GB2312" w:cs="仿宋_GB2312"/>
          <w:b/>
          <w:bCs/>
          <w:sz w:val="32"/>
          <w:szCs w:val="32"/>
        </w:rPr>
        <w:t>合理确定目标任务</w:t>
      </w:r>
      <w:r>
        <w:rPr>
          <w:rFonts w:hint="eastAsia" w:eastAsia="仿宋_GB2312" w:cs="仿宋_GB2312"/>
          <w:b/>
          <w:bCs/>
          <w:sz w:val="32"/>
          <w:szCs w:val="32"/>
          <w:lang w:eastAsia="zh-CN"/>
        </w:rPr>
        <w:t>。</w:t>
      </w:r>
      <w:r>
        <w:rPr>
          <w:rFonts w:hint="eastAsia" w:eastAsia="仿宋_GB2312" w:cs="仿宋_GB2312"/>
          <w:sz w:val="32"/>
          <w:szCs w:val="32"/>
        </w:rPr>
        <w:t>应结合区域的自然、经济社会、文化特点，根据水土资源管控的约束性条件和诊断分析结果，以构建健康稳定可持续水生态系统为总体目标，提出水质，透明度、浊度、藻类（密度或叶绿素a含量）、悬浮物等清澈度具体目标，并明确试点建设的具体任务。</w:t>
      </w:r>
    </w:p>
    <w:p>
      <w:pPr>
        <w:numPr>
          <w:ilvl w:val="0"/>
          <w:numId w:val="3"/>
        </w:numPr>
        <w:spacing w:line="580" w:lineRule="exact"/>
        <w:ind w:firstLine="643" w:firstLineChars="200"/>
        <w:rPr>
          <w:rFonts w:eastAsia="仿宋_GB2312" w:cs="仿宋_GB2312"/>
          <w:sz w:val="32"/>
          <w:szCs w:val="32"/>
        </w:rPr>
      </w:pPr>
      <w:r>
        <w:rPr>
          <w:rFonts w:hint="eastAsia" w:eastAsia="仿宋_GB2312" w:cs="仿宋_GB2312"/>
          <w:b/>
          <w:bCs/>
          <w:sz w:val="32"/>
          <w:szCs w:val="32"/>
        </w:rPr>
        <w:t>科学谋划规模布局</w:t>
      </w:r>
      <w:r>
        <w:rPr>
          <w:rFonts w:hint="eastAsia" w:eastAsia="仿宋_GB2312" w:cs="仿宋_GB2312"/>
          <w:b/>
          <w:bCs/>
          <w:sz w:val="32"/>
          <w:szCs w:val="32"/>
          <w:lang w:eastAsia="zh-CN"/>
        </w:rPr>
        <w:t>。</w:t>
      </w:r>
      <w:r>
        <w:rPr>
          <w:rFonts w:hint="eastAsia" w:eastAsia="仿宋_GB2312" w:cs="仿宋_GB2312"/>
          <w:sz w:val="32"/>
          <w:szCs w:val="32"/>
        </w:rPr>
        <w:t>应在综合考虑区域自然沉降、水流条件、调度模式等基础上，结合诊断分析情况，进行规模论证。规模论证需结合相关研究、现场观测、数值模拟、小试模拟等技术方法，开展定量化论证，相关措施的设置和规模需分析论证说明其实施必要性，论证水质和清澈度等相关目标的可达性。应结合相关区划与规划，统筹考虑试点区域干支流、上下游、左右岸及生态需求，依据区域水文水资源特征、河湖生态功能定位以及水土资源管控要求，对应诊断分析的主要胁迫因子和成因，从工程措施空间布局、实施时序等方面提出总体布局。</w:t>
      </w:r>
    </w:p>
    <w:p>
      <w:pPr>
        <w:adjustRightInd w:val="0"/>
        <w:snapToGrid w:val="0"/>
        <w:spacing w:line="580" w:lineRule="exact"/>
        <w:ind w:firstLine="643" w:firstLineChars="200"/>
        <w:rPr>
          <w:rFonts w:eastAsia="仿宋_GB2312" w:cs="仿宋_GB2312"/>
          <w:sz w:val="32"/>
          <w:szCs w:val="32"/>
        </w:rPr>
      </w:pPr>
      <w:r>
        <w:rPr>
          <w:rFonts w:hint="eastAsia" w:eastAsia="仿宋_GB2312" w:cs="仿宋_GB2312"/>
          <w:b/>
          <w:bCs/>
          <w:sz w:val="32"/>
          <w:szCs w:val="32"/>
        </w:rPr>
        <w:t>5．精细组织建设施工</w:t>
      </w:r>
      <w:r>
        <w:rPr>
          <w:rFonts w:hint="eastAsia" w:eastAsia="仿宋_GB2312" w:cs="仿宋_GB2312"/>
          <w:b/>
          <w:bCs/>
          <w:sz w:val="32"/>
          <w:szCs w:val="32"/>
          <w:lang w:eastAsia="zh-CN"/>
        </w:rPr>
        <w:t>。</w:t>
      </w:r>
      <w:r>
        <w:rPr>
          <w:rFonts w:hint="eastAsia" w:eastAsia="仿宋_GB2312" w:cs="仿宋_GB2312"/>
          <w:sz w:val="32"/>
          <w:szCs w:val="32"/>
        </w:rPr>
        <w:t>试点建设施工前应编制详尽的施工组织设计方案。施工组织设计方案应选择具有专业经验的施工单位，遵循生态学规律和生物习性设置合理、可行的施工工序和具体施工技术方法，控制环境及生态影响。对于技术参数不明确的措施，应开展必要的现场试验，并在实际使用时定期监测评估其使用情况，必要时应补充必要的技术措施，以保障工程效果达到目标要求。</w:t>
      </w:r>
    </w:p>
    <w:p>
      <w:pPr>
        <w:spacing w:line="580" w:lineRule="exact"/>
        <w:ind w:firstLine="643" w:firstLineChars="200"/>
        <w:rPr>
          <w:rFonts w:eastAsia="仿宋_GB2312" w:cs="仿宋_GB2312"/>
          <w:sz w:val="32"/>
          <w:szCs w:val="32"/>
        </w:rPr>
      </w:pPr>
      <w:r>
        <w:rPr>
          <w:rFonts w:hint="eastAsia" w:eastAsia="仿宋_GB2312" w:cs="仿宋_GB2312"/>
          <w:b/>
          <w:bCs/>
          <w:sz w:val="32"/>
          <w:szCs w:val="32"/>
        </w:rPr>
        <w:t>6．持续保障长效运维</w:t>
      </w:r>
      <w:r>
        <w:rPr>
          <w:rFonts w:hint="eastAsia" w:eastAsia="仿宋_GB2312" w:cs="仿宋_GB2312"/>
          <w:b/>
          <w:bCs/>
          <w:sz w:val="32"/>
          <w:szCs w:val="32"/>
          <w:lang w:eastAsia="zh-CN"/>
        </w:rPr>
        <w:t>。</w:t>
      </w:r>
      <w:r>
        <w:rPr>
          <w:rFonts w:hint="eastAsia" w:eastAsia="仿宋_GB2312" w:cs="仿宋_GB2312"/>
          <w:sz w:val="32"/>
          <w:szCs w:val="32"/>
        </w:rPr>
        <w:t>应保障长效运维资金投入。应针对工程新增生物措施及净化设备制定详尽的一般工况和应急工况的长效运维方案。一般工况的长效运维方案应按月明确养护要点，指导养护交接后的一般养护管理；应急工况长效运维方案应针对台风、暴雨、连续阴雨、有害生物入侵、病虫害等突发情况制定应急预案和措施。</w:t>
      </w:r>
    </w:p>
    <w:p>
      <w:p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运维养护阶段应开展试点河湖的水生态监测，适时评估水生态系统状况，必要时进行人工干预，引导水生态系统向良性、健康系统演替。</w:t>
      </w:r>
    </w:p>
    <w:p>
      <w:pPr>
        <w:jc w:val="center"/>
        <w:outlineLvl w:val="1"/>
        <w:rPr>
          <w:rFonts w:eastAsia="方正仿宋_GB2312"/>
          <w:sz w:val="32"/>
          <w:szCs w:val="32"/>
        </w:rPr>
      </w:pPr>
      <w:r>
        <w:drawing>
          <wp:inline distT="0" distB="0" distL="114300" distR="114300">
            <wp:extent cx="5269865" cy="7235190"/>
            <wp:effectExtent l="0" t="0" r="0" b="0"/>
            <wp:docPr id="2" name="图片 2" descr="清澈度提升技术路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清澈度提升技术路线图"/>
                    <pic:cNvPicPr>
                      <a:picLocks noChangeAspect="1"/>
                    </pic:cNvPicPr>
                  </pic:nvPicPr>
                  <pic:blipFill>
                    <a:blip r:embed="rId5"/>
                    <a:stretch>
                      <a:fillRect/>
                    </a:stretch>
                  </pic:blipFill>
                  <pic:spPr>
                    <a:xfrm>
                      <a:off x="0" y="0"/>
                      <a:ext cx="5269865" cy="7235190"/>
                    </a:xfrm>
                    <a:prstGeom prst="rect">
                      <a:avLst/>
                    </a:prstGeom>
                  </pic:spPr>
                </pic:pic>
              </a:graphicData>
            </a:graphic>
          </wp:inline>
        </w:drawing>
      </w:r>
    </w:p>
    <w:p>
      <w:pPr>
        <w:spacing w:line="580" w:lineRule="exact"/>
        <w:jc w:val="center"/>
        <w:outlineLvl w:val="1"/>
        <w:rPr>
          <w:rFonts w:eastAsia="方正仿宋_GB2312"/>
          <w:b/>
          <w:bCs/>
          <w:sz w:val="28"/>
          <w:szCs w:val="28"/>
        </w:rPr>
      </w:pPr>
      <w:r>
        <w:rPr>
          <w:rFonts w:hint="eastAsia" w:eastAsia="方正仿宋_GB2312"/>
          <w:b/>
          <w:bCs/>
          <w:sz w:val="28"/>
          <w:szCs w:val="28"/>
        </w:rPr>
        <w:t>图1 技术路线图</w:t>
      </w:r>
    </w:p>
    <w:p>
      <w:pPr>
        <w:spacing w:line="580" w:lineRule="exact"/>
        <w:ind w:firstLine="640" w:firstLineChars="200"/>
        <w:outlineLvl w:val="1"/>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三、技术体系</w:t>
      </w:r>
    </w:p>
    <w:p>
      <w:p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根据上海及周边地区的工程实例调研，上海河湖水体清澈度提升主要技术措施可归结为隔离、治污、净化、调控和养护五类。</w:t>
      </w:r>
    </w:p>
    <w:p>
      <w:pPr>
        <w:numPr>
          <w:ilvl w:val="0"/>
          <w:numId w:val="4"/>
        </w:numPr>
        <w:adjustRightInd w:val="0"/>
        <w:snapToGrid w:val="0"/>
        <w:spacing w:line="580" w:lineRule="exact"/>
        <w:ind w:left="-13" w:leftChars="0" w:firstLine="643" w:firstLineChars="0"/>
        <w:rPr>
          <w:rFonts w:eastAsia="仿宋_GB2312" w:cs="仿宋_GB2312"/>
          <w:sz w:val="32"/>
          <w:szCs w:val="32"/>
        </w:rPr>
      </w:pPr>
      <w:r>
        <w:rPr>
          <w:rFonts w:hint="eastAsia" w:eastAsia="仿宋_GB2312" w:cs="仿宋_GB2312"/>
          <w:b/>
          <w:bCs/>
          <w:sz w:val="32"/>
          <w:szCs w:val="32"/>
        </w:rPr>
        <w:t>隔离</w:t>
      </w:r>
      <w:r>
        <w:rPr>
          <w:rFonts w:hint="eastAsia" w:eastAsia="仿宋_GB2312" w:cs="仿宋_GB2312"/>
          <w:b/>
          <w:bCs/>
          <w:sz w:val="32"/>
          <w:szCs w:val="32"/>
          <w:lang w:eastAsia="zh-CN"/>
        </w:rPr>
        <w:t>。</w:t>
      </w:r>
      <w:r>
        <w:rPr>
          <w:rFonts w:hint="eastAsia" w:eastAsia="仿宋_GB2312" w:cs="仿宋_GB2312"/>
          <w:sz w:val="32"/>
          <w:szCs w:val="32"/>
        </w:rPr>
        <w:t>主要指通过工程措施将治理水体进行隔离，控制内外部水体交换、降低风浪扰动、减缓水体流速、减少外部因素干扰，一般可分为硬隔离、软隔离。隔离措施需确保区域防汛除涝安全，同时需满足行业管理、水利规划及引排调度需求。</w:t>
      </w:r>
    </w:p>
    <w:p>
      <w:p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硬隔离主要通过闸、坝、堰等设施，隔离水体，实现水体清澈度提升，一般包括临时围堰、溢流堰、活动堰、生态透水坝等。临时围堰需充分考虑汛期排涝工况，复核区域排涝能力，确保排涝安全；溢流堰、活动堰等永久性硬隔离水利构筑物应尽量利用现有设施，生态透水坝除控制内外部水体交换的功能外，还具有过滤、吸附净化功能，其对悬浮物的去除率可达20%-60%。新建硬隔离设施需具与水利、水务规划相符，在保障片区防汛除涝安全，对流域汛期引排调度无不利影响的条件下进行设置。</w:t>
      </w:r>
    </w:p>
    <w:p>
      <w:p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软隔离主要进行缓冲、消能、拦截、导流等作用，一般包括生态围隔、生态滤床、植物消浪带等。生态围隔可分为不透水软围隔和透水软围隔。不透水软围隔主要是HDPE等材质软围隔，主要适用于隔离内外部水体交换或内部水体导流等场景，宜配套设置可升降措施，以便汛期排涝和养护船只通过。透水软围隔具体规格以1平方英寸内的孔洞数量为主（目），40目以下软围隔主要用于拦截漂浮垃圾，40目-80目一般用于拦截浮游植物、较大粒径的悬浮泥沙，80目以上一般用于前置拦截净化，维生物膜附着后，其透水性会大幅下降。</w:t>
      </w:r>
    </w:p>
    <w:p>
      <w:p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生态滤床为生态浮床、生态透水软围隔、生态填料组合工艺，适用于前置拦截净化。生态滤床主要净化工艺环节为生态填料，具体填料可选择火山石、沸石、炉渣、贝类、螺类、生物绳等。</w:t>
      </w:r>
    </w:p>
    <w:p>
      <w:pPr>
        <w:numPr>
          <w:ilvl w:val="0"/>
          <w:numId w:val="4"/>
        </w:numPr>
        <w:adjustRightInd w:val="0"/>
        <w:snapToGrid w:val="0"/>
        <w:spacing w:line="580" w:lineRule="exact"/>
        <w:ind w:left="-13" w:leftChars="0" w:firstLine="643" w:firstLineChars="0"/>
        <w:rPr>
          <w:rFonts w:eastAsia="仿宋_GB2312" w:cs="仿宋_GB2312"/>
          <w:b/>
          <w:bCs/>
          <w:sz w:val="32"/>
          <w:szCs w:val="32"/>
        </w:rPr>
      </w:pPr>
      <w:r>
        <w:rPr>
          <w:rFonts w:hint="eastAsia" w:eastAsia="仿宋_GB2312" w:cs="仿宋_GB2312"/>
          <w:b/>
          <w:bCs/>
          <w:sz w:val="32"/>
          <w:szCs w:val="32"/>
        </w:rPr>
        <w:t>治污</w:t>
      </w:r>
      <w:r>
        <w:rPr>
          <w:rFonts w:hint="eastAsia" w:eastAsia="仿宋_GB2312" w:cs="仿宋_GB2312"/>
          <w:b/>
          <w:bCs/>
          <w:sz w:val="32"/>
          <w:szCs w:val="32"/>
          <w:lang w:eastAsia="zh-CN"/>
        </w:rPr>
        <w:t>。</w:t>
      </w:r>
      <w:r>
        <w:rPr>
          <w:rFonts w:hint="eastAsia" w:eastAsia="仿宋_GB2312" w:cs="仿宋_GB2312"/>
          <w:b/>
          <w:bCs/>
          <w:sz w:val="32"/>
          <w:szCs w:val="32"/>
        </w:rPr>
        <w:t>清澈度提升试点应在城建、水务、农业农村等相关部门基本完成控源截污的基础上开展，以下治理技术重点聚焦清澈度提升需求，进一步针对试点水体周边的点源、面源、内源污染进行系统治理。</w:t>
      </w:r>
    </w:p>
    <w:p>
      <w:p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点源治理重点针对分散式生活污水处理设施排口、雨水排口、农田排口等排口展开治理。分散式生活污水处理设施排口，一般采用生态净化屏障、湿地净化、稳定塘等技术。雨水排口的处理，一般重点针对初期雨水，可采用尾水湿地、生态化排口改造等技术。针对农田排口，一般集中于氮磷去除以及水体降浊，常用的技术有三池两坝、旋流沉砂池等。</w:t>
      </w:r>
    </w:p>
    <w:p>
      <w:p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面源治理重点针对散排污水、地表径流和农田面源展开治理。针对散排污水，一般可采用截污纳管、稳定塘、滨岸缓冲带等技术。针对地表径流，一般采用滨岸缓冲带、生物滞留塘、海绵措施等技术。针对农田面源，一般依据农田建设条件，选择采用生态沟渠、高效除磷模块等技术。</w:t>
      </w:r>
    </w:p>
    <w:p>
      <w:pPr>
        <w:numPr>
          <w:ilvl w:val="255"/>
          <w:numId w:val="0"/>
        </w:num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内源治理应重点是针对河湖水体自身的污染，一般对水体底部淤泥进行处理，常用原位治理或异位治理措施。原位底质改良治理技术一般包括原位覆盖、原位钝化、生物修复。异位处理技术主要为清淤疏浚技术。</w:t>
      </w:r>
    </w:p>
    <w:p>
      <w:pPr>
        <w:numPr>
          <w:ilvl w:val="255"/>
          <w:numId w:val="0"/>
        </w:num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点、面、内源相关措施应参照《人工湿地污水处理工程技术规范》（HJ2005）、《污水自然处理工程技术规程》（CJJ/T 54）、《湖泊流域入湖河流河道生态修复技术指南》、《上海市海绵城市规划建设管理办法》（沪住建规范〔2023〕11号）、《海绵城市建设技术指南》、《湖泊河流环保疏浚工程技术指南》、《疏浚与吹填工程技术规范》（SL17）等相关标准规范开展规划、设计、建设，以上标准规范均应以最新有效版本为准。</w:t>
      </w:r>
    </w:p>
    <w:p>
      <w:pPr>
        <w:numPr>
          <w:ilvl w:val="0"/>
          <w:numId w:val="4"/>
        </w:numPr>
        <w:adjustRightInd w:val="0"/>
        <w:snapToGrid w:val="0"/>
        <w:spacing w:line="600" w:lineRule="exact"/>
        <w:ind w:left="-13" w:leftChars="0" w:firstLine="643" w:firstLineChars="0"/>
        <w:rPr>
          <w:rFonts w:eastAsia="仿宋_GB2312" w:cs="仿宋_GB2312"/>
          <w:sz w:val="32"/>
          <w:szCs w:val="32"/>
        </w:rPr>
      </w:pPr>
      <w:r>
        <w:rPr>
          <w:rFonts w:hint="eastAsia" w:eastAsia="仿宋_GB2312" w:cs="仿宋_GB2312"/>
          <w:b/>
          <w:bCs/>
          <w:sz w:val="32"/>
          <w:szCs w:val="32"/>
        </w:rPr>
        <w:t>净化</w:t>
      </w:r>
      <w:r>
        <w:rPr>
          <w:rFonts w:hint="eastAsia" w:eastAsia="仿宋_GB2312" w:cs="仿宋_GB2312"/>
          <w:b/>
          <w:bCs/>
          <w:sz w:val="32"/>
          <w:szCs w:val="32"/>
          <w:lang w:eastAsia="zh-CN"/>
        </w:rPr>
        <w:t>。</w:t>
      </w:r>
      <w:r>
        <w:rPr>
          <w:rFonts w:hint="eastAsia" w:eastAsia="仿宋_GB2312" w:cs="仿宋_GB2312"/>
          <w:sz w:val="32"/>
          <w:szCs w:val="32"/>
        </w:rPr>
        <w:t>主要指通过生态的技术手段对水体进行过滤净化，实现水体中污染物去除的目的。技术措施主要包括水生植物群落净化、水生动物净化、曝气净化，以及其他生态净化技术。</w:t>
      </w:r>
    </w:p>
    <w:p>
      <w:p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水生植物净化一般包括挺水植物群落构建、沉水植物群落构建、浮叶植物群落构建技术，具体植物种类可根据净化需求及试点的景观风貌进行选择，挺水植物一般适宜水深条件为0-50厘米，浮叶植物一般适宜水深为80厘米-120厘米，沉水植物适宜水深一般为80厘米-150厘米。水生植物净化前应适度评估河湖底质生境，沉水植物可种植水深一般为水体透明度的1-1.5倍，必要时应开展底质改良和生境营造，为水生植物群落构建提供基础条件。水生植物净化设计时覆盖率应避免全覆盖，其覆盖率以30%-60%为宜，上海地区常见水生植物种类及生长特性见附表2。</w:t>
      </w:r>
    </w:p>
    <w:p>
      <w:p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水生动物净化一般包括浮游动物净化、底栖动物净化、生物操纵。浮游动物净化主要投放大型枝角类浮游动物，通过浮游动物摄食浮游植物提升水体透明度。底栖动物净化一般为投放贝类、螺类、青虾类，通过底栖动物的滤食、刮食来去除水体悬浮物。生物操纵可采用鲢鱼、鳙鱼来控制浮游植物群落，也可通过投放乌鳢、鲈鱼、鳜鱼等掠食性鱼类控制食草、杂食性鱼类数量，不宜大量投放鲤鱼、草鱼等种类。</w:t>
      </w:r>
    </w:p>
    <w:p>
      <w:p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曝气净化一般包括跌水曝气、机械曝气。其他生态净化技术有前置库、生态浮床技术、人工湿地旁路净化等。</w:t>
      </w:r>
    </w:p>
    <w:p>
      <w:pPr>
        <w:numPr>
          <w:ilvl w:val="0"/>
          <w:numId w:val="4"/>
        </w:numPr>
        <w:adjustRightInd w:val="0"/>
        <w:snapToGrid w:val="0"/>
        <w:spacing w:line="580" w:lineRule="exact"/>
        <w:ind w:left="-13" w:leftChars="0" w:firstLine="643" w:firstLineChars="0"/>
        <w:rPr>
          <w:rFonts w:eastAsia="仿宋_GB2312" w:cs="仿宋_GB2312"/>
          <w:sz w:val="32"/>
          <w:szCs w:val="32"/>
        </w:rPr>
      </w:pPr>
      <w:r>
        <w:rPr>
          <w:rFonts w:hint="eastAsia" w:eastAsia="仿宋_GB2312" w:cs="仿宋_GB2312"/>
          <w:b/>
          <w:bCs/>
          <w:sz w:val="32"/>
          <w:szCs w:val="32"/>
        </w:rPr>
        <w:t>调控</w:t>
      </w:r>
      <w:r>
        <w:rPr>
          <w:rFonts w:hint="eastAsia" w:eastAsia="仿宋_GB2312" w:cs="仿宋_GB2312"/>
          <w:b/>
          <w:bCs/>
          <w:sz w:val="32"/>
          <w:szCs w:val="32"/>
          <w:lang w:eastAsia="zh-CN"/>
        </w:rPr>
        <w:t>。</w:t>
      </w:r>
      <w:r>
        <w:rPr>
          <w:rFonts w:hint="eastAsia" w:eastAsia="仿宋_GB2312" w:cs="仿宋_GB2312"/>
          <w:sz w:val="32"/>
          <w:szCs w:val="32"/>
        </w:rPr>
        <w:t>主要通过水系调度以及设备调控水体水位、流量、流向，构建水位适宜、动静相宜、有序流动的调度格局，改善末梢水体或滞缓区域的水动力条件。一般包括区域水动力调控、局部动力调控。</w:t>
      </w:r>
    </w:p>
    <w:p>
      <w:p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区域动力调控一般包括泵闸调度、引清补水等技术，动力调控后，主要过水通道流速需结合现场观测、数值模型等技术方法，将流速控制在适宜范围，避免流速过大造成水体底泥再悬浮。</w:t>
      </w:r>
    </w:p>
    <w:p>
      <w:p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局部动力调控主要目的为改善缓滞流区域流态，避免溶解氧不足，藻类聚集，一般包括循环活水、推流活水、曝气等技术，局部动力调控后溶解氧含量应不低于3毫克/升。</w:t>
      </w:r>
    </w:p>
    <w:p>
      <w:pPr>
        <w:numPr>
          <w:ilvl w:val="0"/>
          <w:numId w:val="4"/>
        </w:numPr>
        <w:adjustRightInd w:val="0"/>
        <w:snapToGrid w:val="0"/>
        <w:spacing w:line="580" w:lineRule="exact"/>
        <w:ind w:left="-13" w:leftChars="0" w:firstLine="643" w:firstLineChars="0"/>
        <w:rPr>
          <w:rFonts w:eastAsia="仿宋_GB2312" w:cs="仿宋_GB2312"/>
          <w:sz w:val="32"/>
          <w:szCs w:val="32"/>
        </w:rPr>
      </w:pPr>
      <w:r>
        <w:rPr>
          <w:rFonts w:hint="eastAsia" w:eastAsia="仿宋_GB2312" w:cs="仿宋_GB2312"/>
          <w:b/>
          <w:bCs/>
          <w:sz w:val="32"/>
          <w:szCs w:val="32"/>
        </w:rPr>
        <w:t>养护</w:t>
      </w:r>
      <w:r>
        <w:rPr>
          <w:rFonts w:hint="eastAsia" w:eastAsia="仿宋_GB2312" w:cs="仿宋_GB2312"/>
          <w:b/>
          <w:bCs/>
          <w:sz w:val="32"/>
          <w:szCs w:val="32"/>
          <w:lang w:eastAsia="zh-CN"/>
        </w:rPr>
        <w:t>。</w:t>
      </w:r>
      <w:r>
        <w:rPr>
          <w:rFonts w:hint="eastAsia" w:eastAsia="仿宋_GB2312" w:cs="仿宋_GB2312"/>
          <w:sz w:val="32"/>
          <w:szCs w:val="32"/>
        </w:rPr>
        <w:t>指对水体环境或相关设施、技术采取持续、系统的维护和管理措施，以确保其长期稳定地发挥良好的生态、环境和功能效益。一般包括水生植物养护、水生动物养护、设施设备养护、应急措施和跟踪监测。</w:t>
      </w:r>
    </w:p>
    <w:p>
      <w:pPr>
        <w:spacing w:line="580" w:lineRule="exact"/>
        <w:ind w:firstLine="640" w:firstLineChars="200"/>
        <w:rPr>
          <w:rFonts w:eastAsia="方正仿宋_GB2312"/>
          <w:sz w:val="32"/>
          <w:szCs w:val="32"/>
        </w:rPr>
      </w:pPr>
      <w:r>
        <w:rPr>
          <w:rFonts w:hint="eastAsia" w:eastAsia="仿宋_GB2312" w:cs="仿宋_GB2312"/>
          <w:sz w:val="32"/>
          <w:szCs w:val="32"/>
        </w:rPr>
        <w:t>养护工作应选择具有生态、水务等养护资质或经验的专业单位执行。应根据不同水生植物的生长特性与生境打造需求，差异化养护水生植物，及时修剪、收割及补种，保护优势物种。应定期开展水生动物群落结构调查，及时通过捕捞、投放等措施调整鱼类、底栖等动物群落状态。养护过程中应按照“预防为主，联合治理”的理念，提高养护在生态系统中的能效。应针对已经完成建设的试点开展透明度、浊度、色度、悬浮物及常规水质指标与水生动植物生态指标的跟踪监测，适时复核评估水生态系统状况，必要时通过收割、补种、捕捞、增殖放流等措施，确保水生态系统健康稳定。</w:t>
      </w:r>
    </w:p>
    <w:p>
      <w:pPr>
        <w:spacing w:line="580" w:lineRule="exact"/>
        <w:ind w:firstLine="640" w:firstLineChars="200"/>
        <w:outlineLvl w:val="1"/>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四、分类技术指引</w:t>
      </w:r>
    </w:p>
    <w:p>
      <w:pPr>
        <w:widowControl/>
        <w:adjustRightInd w:val="0"/>
        <w:snapToGrid w:val="0"/>
        <w:spacing w:line="600" w:lineRule="exact"/>
        <w:ind w:firstLine="643" w:firstLineChars="200"/>
        <w:rPr>
          <w:rFonts w:eastAsia="仿宋_GB2312" w:cs="仿宋_GB2312"/>
          <w:sz w:val="32"/>
          <w:szCs w:val="32"/>
        </w:rPr>
      </w:pPr>
      <w:r>
        <w:rPr>
          <w:rFonts w:hint="eastAsia" w:eastAsia="仿宋_GB2312" w:cs="仿宋_GB2312"/>
          <w:b/>
          <w:bCs/>
          <w:sz w:val="32"/>
          <w:szCs w:val="32"/>
        </w:rPr>
        <w:t>1. 水体分类</w:t>
      </w:r>
      <w:r>
        <w:rPr>
          <w:rFonts w:hint="eastAsia" w:eastAsia="仿宋_GB2312" w:cs="仿宋_GB2312"/>
          <w:b/>
          <w:bCs/>
          <w:sz w:val="32"/>
          <w:szCs w:val="32"/>
          <w:lang w:eastAsia="zh-CN"/>
        </w:rPr>
        <w:t>。</w:t>
      </w:r>
      <w:r>
        <w:rPr>
          <w:rFonts w:hint="eastAsia" w:eastAsia="仿宋_GB2312" w:cs="仿宋_GB2312"/>
          <w:sz w:val="32"/>
          <w:szCs w:val="32"/>
        </w:rPr>
        <w:t>清澈度提升试点聚焦老百姓身边的中小河道，中心城区以不承担引排、通航功能的区级及以下河道为主，郊区以非骨干河道的镇、村级河道为主。</w:t>
      </w:r>
    </w:p>
    <w:p>
      <w:pPr>
        <w:widowControl/>
        <w:numPr>
          <w:ilvl w:val="255"/>
          <w:numId w:val="0"/>
        </w:num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针对上述水体，依据水体类型、连通情况，可将清澈度提升的目标水体分为封闭水体、一端连通河道、开放河道、河网水系、湖泊水体等5类，其中一端连通河道、开放河道、连片水系、湖泊水体按照人工调控情况，可进一步细化为设控、不设控水体。</w:t>
      </w:r>
    </w:p>
    <w:p>
      <w:pPr>
        <w:widowControl/>
        <w:numPr>
          <w:ilvl w:val="255"/>
          <w:numId w:val="0"/>
        </w:num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封闭水体是指水体两端与周边水系均不自然连通的水体，主要以小微水体、社区及公园景观水体为主。</w:t>
      </w:r>
    </w:p>
    <w:p>
      <w:pPr>
        <w:widowControl/>
        <w:numPr>
          <w:ilvl w:val="255"/>
          <w:numId w:val="0"/>
        </w:num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一端连通河道，是指仅一端与外河自然连通或受水利设施控制连通的河道。</w:t>
      </w:r>
    </w:p>
    <w:p>
      <w:pPr>
        <w:widowControl/>
        <w:numPr>
          <w:ilvl w:val="255"/>
          <w:numId w:val="0"/>
        </w:num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开放河道，是指河道两端与外河自然连通或受水利设施控制连通的河道。</w:t>
      </w:r>
    </w:p>
    <w:p>
      <w:pPr>
        <w:widowControl/>
        <w:numPr>
          <w:ilvl w:val="255"/>
          <w:numId w:val="0"/>
        </w:num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河网水系，是指一定区域范围内的连片水系。</w:t>
      </w:r>
    </w:p>
    <w:p>
      <w:pPr>
        <w:widowControl/>
        <w:numPr>
          <w:ilvl w:val="255"/>
          <w:numId w:val="0"/>
        </w:num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湖泊水体，是指纳入上海河湖报告的湖泊水体。</w:t>
      </w:r>
    </w:p>
    <w:p>
      <w:pPr>
        <w:widowControl/>
        <w:numPr>
          <w:ilvl w:val="255"/>
          <w:numId w:val="0"/>
        </w:numPr>
        <w:adjustRightInd w:val="0"/>
        <w:snapToGrid w:val="0"/>
        <w:spacing w:line="600" w:lineRule="exact"/>
        <w:ind w:firstLine="640" w:firstLineChars="200"/>
        <w:rPr>
          <w:rFonts w:eastAsia="仿宋_GB2312" w:cs="仿宋_GB2312"/>
          <w:sz w:val="32"/>
          <w:szCs w:val="32"/>
        </w:rPr>
      </w:pPr>
      <w:r>
        <w:rPr>
          <w:rFonts w:hint="eastAsia" w:eastAsia="仿宋_GB2312" w:cs="仿宋_GB2312"/>
          <w:sz w:val="32"/>
          <w:szCs w:val="32"/>
        </w:rPr>
        <w:t>不设控水体是指与外河连通端无水利控制设施，可与外河自由交换的水体；设控水体是指与外河连通端有人工水利控制设施的河道。</w:t>
      </w:r>
    </w:p>
    <w:p>
      <w:pPr>
        <w:widowControl/>
        <w:numPr>
          <w:ilvl w:val="0"/>
          <w:numId w:val="5"/>
        </w:numPr>
        <w:adjustRightInd w:val="0"/>
        <w:snapToGrid w:val="0"/>
        <w:spacing w:line="600" w:lineRule="exact"/>
        <w:ind w:firstLine="643"/>
        <w:rPr>
          <w:rFonts w:hint="eastAsia" w:cs="仿宋_GB2312" w:eastAsiaTheme="minorEastAsia"/>
          <w:sz w:val="32"/>
          <w:szCs w:val="32"/>
        </w:rPr>
        <w:sectPr>
          <w:footerReference r:id="rId3" w:type="default"/>
          <w:pgSz w:w="11907" w:h="16839"/>
          <w:pgMar w:top="1440" w:right="1797" w:bottom="1440" w:left="1797" w:header="851" w:footer="992" w:gutter="0"/>
          <w:pgNumType w:start="1"/>
          <w:cols w:space="720" w:num="1"/>
          <w:docGrid w:type="lines" w:linePitch="312" w:charSpace="0"/>
        </w:sectPr>
      </w:pPr>
      <w:r>
        <w:rPr>
          <w:rFonts w:hint="eastAsia" w:eastAsia="仿宋_GB2312" w:cs="仿宋_GB2312"/>
          <w:b/>
          <w:bCs/>
          <w:sz w:val="32"/>
          <w:szCs w:val="32"/>
        </w:rPr>
        <w:t>技术指引</w:t>
      </w:r>
      <w:r>
        <w:rPr>
          <w:rFonts w:hint="eastAsia" w:eastAsia="仿宋_GB2312" w:cs="仿宋_GB2312"/>
          <w:b/>
          <w:bCs/>
          <w:sz w:val="32"/>
          <w:szCs w:val="32"/>
          <w:lang w:eastAsia="zh-CN"/>
        </w:rPr>
        <w:t>。</w:t>
      </w:r>
      <w:r>
        <w:rPr>
          <w:rFonts w:hint="eastAsia" w:eastAsia="仿宋_GB2312" w:cs="仿宋_GB2312"/>
          <w:sz w:val="32"/>
          <w:szCs w:val="32"/>
        </w:rPr>
        <w:t>各类水体清澈度提升优先采用本指引提出的成熟度较高技术，鼓励各区使用新技术、新材料、新方法、新设备，上述“四新”技术使用应开展必要的试验和效果测试。各类水体的推荐技术指引如</w:t>
      </w:r>
      <w:r>
        <w:rPr>
          <w:rFonts w:hint="eastAsia" w:cs="仿宋_GB2312" w:asciiTheme="minorEastAsia" w:hAnsiTheme="minorEastAsia" w:eastAsiaTheme="minorEastAsia"/>
          <w:sz w:val="32"/>
          <w:szCs w:val="32"/>
        </w:rPr>
        <w:t>附件</w:t>
      </w:r>
      <w:r>
        <w:rPr>
          <w:rFonts w:hint="eastAsia" w:eastAsia="仿宋_GB2312" w:cs="仿宋_GB2312"/>
          <w:sz w:val="32"/>
          <w:szCs w:val="32"/>
        </w:rPr>
        <w:t>2所示。</w:t>
      </w:r>
    </w:p>
    <w:p>
      <w:pPr>
        <w:spacing w:line="580" w:lineRule="exact"/>
        <w:ind w:firstLine="640" w:firstLineChars="200"/>
        <w:outlineLvl w:val="1"/>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五、试点建设要点</w:t>
      </w:r>
    </w:p>
    <w:p>
      <w:pPr>
        <w:widowControl/>
        <w:adjustRightInd w:val="0"/>
        <w:snapToGrid w:val="0"/>
        <w:spacing w:line="580" w:lineRule="exact"/>
        <w:ind w:firstLine="643" w:firstLineChars="200"/>
        <w:rPr>
          <w:rFonts w:eastAsia="仿宋_GB2312" w:cs="仿宋_GB2312"/>
          <w:sz w:val="32"/>
          <w:szCs w:val="32"/>
        </w:rPr>
      </w:pPr>
      <w:r>
        <w:rPr>
          <w:rFonts w:hint="eastAsia" w:eastAsia="仿宋_GB2312" w:cs="仿宋_GB2312"/>
          <w:b/>
          <w:bCs/>
          <w:sz w:val="32"/>
          <w:szCs w:val="32"/>
        </w:rPr>
        <w:t>1. 沪派江南水乡保护试点</w:t>
      </w:r>
      <w:r>
        <w:rPr>
          <w:rFonts w:hint="eastAsia" w:eastAsia="仿宋_GB2312" w:cs="仿宋_GB2312"/>
          <w:b/>
          <w:bCs/>
          <w:sz w:val="32"/>
          <w:szCs w:val="32"/>
          <w:lang w:eastAsia="zh-CN"/>
        </w:rPr>
        <w:t>。</w:t>
      </w:r>
      <w:r>
        <w:rPr>
          <w:rFonts w:hint="eastAsia" w:eastAsia="仿宋_GB2312" w:cs="仿宋_GB2312"/>
          <w:sz w:val="32"/>
          <w:szCs w:val="32"/>
        </w:rPr>
        <w:t>沪派江南水乡保护试点应以</w:t>
      </w:r>
      <w:r>
        <w:rPr>
          <w:rFonts w:eastAsia="仿宋_GB2312" w:cs="仿宋_GB2312"/>
          <w:sz w:val="32"/>
          <w:szCs w:val="32"/>
        </w:rPr>
        <w:t>《沪派江南特色村落风貌保护传承专项规划》</w:t>
      </w:r>
      <w:r>
        <w:rPr>
          <w:rFonts w:hint="eastAsia" w:eastAsia="仿宋_GB2312" w:cs="仿宋_GB2312"/>
          <w:sz w:val="32"/>
          <w:szCs w:val="32"/>
        </w:rPr>
        <w:t>为指引，保护和传承好上海水乡特色的自然肌理，集中连片推进水乡河湖清澈度提升，促进“滩水田林湖草荡”蓝绿空间和谐共生，为市民提供更多休闲休憩空间。</w:t>
      </w:r>
    </w:p>
    <w:p>
      <w:pPr>
        <w:widowControl/>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试点应重点关注农村地表径流、农田面源污染治理和生态净化，相关技术措施应以自然、生态为主，避免植物景观、人工痕迹影响试点景观风貌。</w:t>
      </w:r>
    </w:p>
    <w:p>
      <w:pPr>
        <w:widowControl/>
        <w:adjustRightInd w:val="0"/>
        <w:snapToGrid w:val="0"/>
        <w:spacing w:line="580" w:lineRule="exact"/>
        <w:ind w:firstLine="643" w:firstLineChars="200"/>
        <w:rPr>
          <w:rFonts w:eastAsia="仿宋_GB2312" w:cs="仿宋_GB2312"/>
          <w:sz w:val="32"/>
          <w:szCs w:val="32"/>
        </w:rPr>
      </w:pPr>
      <w:r>
        <w:rPr>
          <w:rFonts w:hint="eastAsia" w:eastAsia="仿宋_GB2312" w:cs="仿宋_GB2312"/>
          <w:b/>
          <w:bCs/>
          <w:sz w:val="32"/>
          <w:szCs w:val="32"/>
        </w:rPr>
        <w:t>2. 水美村庄清澈提升试点</w:t>
      </w:r>
      <w:r>
        <w:rPr>
          <w:rFonts w:hint="eastAsia" w:eastAsia="仿宋_GB2312" w:cs="仿宋_GB2312"/>
          <w:b/>
          <w:bCs/>
          <w:sz w:val="32"/>
          <w:szCs w:val="32"/>
          <w:lang w:eastAsia="zh-CN"/>
        </w:rPr>
        <w:t>。</w:t>
      </w:r>
      <w:r>
        <w:rPr>
          <w:rFonts w:hint="eastAsia" w:eastAsia="仿宋_GB2312" w:cs="仿宋_GB2312"/>
          <w:sz w:val="32"/>
          <w:szCs w:val="32"/>
        </w:rPr>
        <w:t>水美村庄清澈试点以生态清洁小流域和乡村振兴示范村建设为支撑，重点围绕老百姓居住的村庄段河道，水域岸线同治、集中连片推进，恢复和维护乡村湿地生态功能，打造环境优美、群众满意、人水和谐的农村人居环境。</w:t>
      </w:r>
    </w:p>
    <w:p>
      <w:pPr>
        <w:numPr>
          <w:ilvl w:val="255"/>
          <w:numId w:val="0"/>
        </w:num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试点应重点关注农村地表径流、农田面源污染治理和生态净化，河道风貌应与村落文化特色、景观风貌相协调，植物群落搭配应整体以郊野型，维护需求低的种类为主。避免使用高维护需求的设施设备。</w:t>
      </w:r>
    </w:p>
    <w:p>
      <w:pPr>
        <w:widowControl/>
        <w:numPr>
          <w:ilvl w:val="0"/>
          <w:numId w:val="5"/>
        </w:numPr>
        <w:adjustRightInd w:val="0"/>
        <w:snapToGrid w:val="0"/>
        <w:spacing w:line="580" w:lineRule="exact"/>
        <w:ind w:firstLine="643"/>
        <w:rPr>
          <w:rFonts w:eastAsia="仿宋_GB2312" w:cs="仿宋_GB2312"/>
          <w:sz w:val="32"/>
          <w:szCs w:val="32"/>
        </w:rPr>
      </w:pPr>
      <w:r>
        <w:rPr>
          <w:rFonts w:hint="eastAsia" w:eastAsia="仿宋_GB2312" w:cs="仿宋_GB2312"/>
          <w:b/>
          <w:bCs/>
          <w:sz w:val="32"/>
          <w:szCs w:val="32"/>
        </w:rPr>
        <w:t>水美社区清澈提升试点</w:t>
      </w:r>
      <w:r>
        <w:rPr>
          <w:rFonts w:hint="eastAsia" w:eastAsia="仿宋_GB2312" w:cs="仿宋_GB2312"/>
          <w:b/>
          <w:bCs/>
          <w:sz w:val="32"/>
          <w:szCs w:val="32"/>
          <w:lang w:eastAsia="zh-CN"/>
        </w:rPr>
        <w:t>。</w:t>
      </w:r>
      <w:r>
        <w:rPr>
          <w:rFonts w:hint="eastAsia" w:eastAsia="仿宋_GB2312" w:cs="仿宋_GB2312"/>
          <w:sz w:val="32"/>
          <w:szCs w:val="32"/>
        </w:rPr>
        <w:t>水美社区以建成区范围内河湖及其周边滨水空间建设为主体，聚焦滨水亲水休憩空间营造、水生态系统修复、水生态价值实现，恢复和发展城市自然生境，打造优良、岸绿景美、人水和谐的社区人居环境。</w:t>
      </w:r>
    </w:p>
    <w:p>
      <w:pPr>
        <w:numPr>
          <w:ilvl w:val="255"/>
          <w:numId w:val="0"/>
        </w:num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试点主要服务中心城区和建成区社区居民生活，需结合海绵城市建设拦截净化地表径流，强化雨污混错接改造、排口生态化改造等技术加强泵站放江排污治理，还应重点聚焦滨水空间开放、沿河步道贯通和亲水设施完善，构建宜居、宜业、宜乐、宜游的人水和谐社区。</w:t>
      </w:r>
    </w:p>
    <w:p>
      <w:pPr>
        <w:widowControl/>
        <w:numPr>
          <w:ilvl w:val="0"/>
          <w:numId w:val="5"/>
        </w:numPr>
        <w:adjustRightInd w:val="0"/>
        <w:snapToGrid w:val="0"/>
        <w:spacing w:line="580" w:lineRule="exact"/>
        <w:ind w:firstLine="643"/>
        <w:rPr>
          <w:rFonts w:eastAsia="仿宋_GB2312" w:cs="仿宋_GB2312"/>
          <w:sz w:val="32"/>
          <w:szCs w:val="32"/>
        </w:rPr>
      </w:pPr>
      <w:r>
        <w:rPr>
          <w:rFonts w:hint="eastAsia" w:eastAsia="仿宋_GB2312" w:cs="仿宋_GB2312"/>
          <w:b/>
          <w:bCs/>
          <w:sz w:val="32"/>
          <w:szCs w:val="32"/>
        </w:rPr>
        <w:t>公园水体品质提升试点</w:t>
      </w:r>
      <w:r>
        <w:rPr>
          <w:rFonts w:hint="eastAsia" w:eastAsia="仿宋_GB2312" w:cs="仿宋_GB2312"/>
          <w:b/>
          <w:bCs/>
          <w:sz w:val="32"/>
          <w:szCs w:val="32"/>
          <w:lang w:eastAsia="zh-CN"/>
        </w:rPr>
        <w:t>。</w:t>
      </w:r>
      <w:r>
        <w:rPr>
          <w:rFonts w:hint="eastAsia" w:eastAsia="仿宋_GB2312" w:cs="仿宋_GB2312"/>
          <w:sz w:val="32"/>
          <w:szCs w:val="32"/>
        </w:rPr>
        <w:t>公园水体品质提升试点以环城生态公园带和千座公园为抓手，结合外环绿带功能提升、楔形绿地和新城绿环建设，促进林地、田地、水系、湿地等生态空间组合，打造水岸联动、功能复合、适宜亲水的优良生态公园水体。</w:t>
      </w:r>
    </w:p>
    <w:p>
      <w:pPr>
        <w:numPr>
          <w:ilvl w:val="255"/>
          <w:numId w:val="0"/>
        </w:num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试点是上海城市生态系统重要的生态系统节点或廊道，应结合公园游憩、景观以及生物多样性保育的需求开展试点建设。</w:t>
      </w:r>
    </w:p>
    <w:p>
      <w:pPr>
        <w:widowControl/>
        <w:numPr>
          <w:ilvl w:val="0"/>
          <w:numId w:val="5"/>
        </w:numPr>
        <w:adjustRightInd w:val="0"/>
        <w:snapToGrid w:val="0"/>
        <w:spacing w:line="580" w:lineRule="exact"/>
        <w:ind w:firstLine="643"/>
        <w:rPr>
          <w:rFonts w:eastAsia="仿宋_GB2312" w:cs="仿宋_GB2312"/>
          <w:sz w:val="32"/>
          <w:szCs w:val="32"/>
        </w:rPr>
      </w:pPr>
      <w:r>
        <w:rPr>
          <w:rFonts w:hint="eastAsia" w:eastAsia="方正仿宋_GB2312" w:cs="方正仿宋_GB2312"/>
          <w:b/>
          <w:bCs/>
          <w:sz w:val="32"/>
          <w:szCs w:val="32"/>
        </w:rPr>
        <w:t>重要区域水体保障试点</w:t>
      </w:r>
      <w:r>
        <w:rPr>
          <w:rFonts w:hint="eastAsia" w:eastAsia="方正仿宋_GB2312" w:cs="方正仿宋_GB2312"/>
          <w:b/>
          <w:bCs/>
          <w:sz w:val="32"/>
          <w:szCs w:val="32"/>
          <w:lang w:eastAsia="zh-CN"/>
        </w:rPr>
        <w:t>。</w:t>
      </w:r>
      <w:r>
        <w:rPr>
          <w:rFonts w:hint="eastAsia" w:eastAsia="仿宋_GB2312" w:cs="仿宋_GB2312"/>
          <w:sz w:val="32"/>
          <w:szCs w:val="32"/>
        </w:rPr>
        <w:t>重要区域水体主要包括长三角生态绿色一体化发展示范区、中国国际进口博览会重点保障区、上海国际旅游度假区、饮用水水源保护区等周边水域，保护和恢复水生态系统，提升河</w:t>
      </w:r>
      <w:bookmarkStart w:id="2" w:name="_GoBack"/>
      <w:bookmarkEnd w:id="2"/>
      <w:r>
        <w:rPr>
          <w:rFonts w:hint="eastAsia" w:eastAsia="仿宋_GB2312" w:cs="仿宋_GB2312"/>
          <w:sz w:val="32"/>
          <w:szCs w:val="32"/>
        </w:rPr>
        <w:t>湖水体清澈度，提供优质生态产品。</w:t>
      </w:r>
    </w:p>
    <w:p>
      <w:pPr>
        <w:numPr>
          <w:ilvl w:val="255"/>
          <w:numId w:val="0"/>
        </w:numPr>
        <w:adjustRightInd w:val="0"/>
        <w:snapToGrid w:val="0"/>
        <w:spacing w:line="580" w:lineRule="exact"/>
        <w:ind w:firstLine="640" w:firstLineChars="200"/>
        <w:rPr>
          <w:rFonts w:eastAsia="仿宋_GB2312" w:cs="仿宋_GB2312"/>
          <w:sz w:val="32"/>
          <w:szCs w:val="32"/>
        </w:rPr>
      </w:pPr>
      <w:r>
        <w:rPr>
          <w:rFonts w:hint="eastAsia" w:eastAsia="仿宋_GB2312" w:cs="仿宋_GB2312"/>
          <w:sz w:val="32"/>
          <w:szCs w:val="32"/>
        </w:rPr>
        <w:t>重要区域水体需持续加强长效养护，充分利用智能化设备、数字孪生、数字化管理平台等创新技术，提升河湖水体养护精细化水平和养护效率，保障重要区域水体清澈度效果。</w:t>
      </w:r>
    </w:p>
    <w:p>
      <w:pPr>
        <w:numPr>
          <w:ilvl w:val="0"/>
          <w:numId w:val="5"/>
        </w:numPr>
        <w:adjustRightInd w:val="0"/>
        <w:snapToGrid w:val="0"/>
        <w:spacing w:line="580" w:lineRule="exact"/>
        <w:ind w:firstLine="643"/>
        <w:rPr>
          <w:rFonts w:eastAsia="仿宋_GB2312" w:cs="仿宋_GB2312"/>
          <w:sz w:val="32"/>
          <w:szCs w:val="32"/>
        </w:rPr>
      </w:pPr>
      <w:r>
        <w:rPr>
          <w:rFonts w:hint="eastAsia" w:eastAsia="仿宋_GB2312" w:cs="仿宋_GB2312"/>
          <w:b/>
          <w:bCs/>
          <w:sz w:val="32"/>
          <w:szCs w:val="32"/>
        </w:rPr>
        <w:t>“水美+”试点建设</w:t>
      </w:r>
      <w:r>
        <w:rPr>
          <w:rFonts w:hint="eastAsia" w:eastAsia="仿宋_GB2312" w:cs="仿宋_GB2312"/>
          <w:b/>
          <w:bCs/>
          <w:sz w:val="32"/>
          <w:szCs w:val="32"/>
          <w:lang w:eastAsia="zh-CN"/>
        </w:rPr>
        <w:t>。</w:t>
      </w:r>
      <w:r>
        <w:rPr>
          <w:rFonts w:hint="eastAsia" w:eastAsia="仿宋_GB2312" w:cs="仿宋_GB2312"/>
          <w:sz w:val="32"/>
          <w:szCs w:val="32"/>
        </w:rPr>
        <w:t>后续提出的“水美+”试点建设的清澈度提升技术可参照本意见技术指引执行。</w:t>
      </w:r>
    </w:p>
    <w:p>
      <w:pPr>
        <w:pStyle w:val="96"/>
        <w:adjustRightInd w:val="0"/>
        <w:snapToGrid w:val="0"/>
        <w:ind w:firstLine="640"/>
        <w:rPr>
          <w:rFonts w:ascii="Times New Roman" w:hAnsi="Times New Roman" w:eastAsia="黑体"/>
        </w:rPr>
      </w:pPr>
      <w:r>
        <w:rPr>
          <w:rFonts w:hint="eastAsia" w:ascii="Times New Roman" w:hAnsi="Times New Roman" w:eastAsia="黑体"/>
          <w:lang w:val="en-US" w:eastAsia="zh-CN"/>
        </w:rPr>
        <w:t>六</w:t>
      </w:r>
      <w:r>
        <w:rPr>
          <w:rFonts w:ascii="Times New Roman" w:hAnsi="Times New Roman" w:eastAsia="黑体"/>
        </w:rPr>
        <w:t>、保障措施</w:t>
      </w:r>
    </w:p>
    <w:p>
      <w:pPr>
        <w:pStyle w:val="96"/>
        <w:adjustRightInd w:val="0"/>
        <w:snapToGrid w:val="0"/>
        <w:ind w:firstLine="640"/>
        <w:rPr>
          <w:rFonts w:ascii="Times New Roman" w:hAnsi="Times New Roman" w:eastAsia="黑体"/>
          <w:highlight w:val="none"/>
        </w:rPr>
      </w:pPr>
      <w:r>
        <w:rPr>
          <w:rFonts w:ascii="Times New Roman" w:hAnsi="Times New Roman" w:eastAsia="仿宋_GB2312" w:cs="仿宋_GB2312"/>
          <w:highlight w:val="none"/>
        </w:rPr>
        <w:t>各试点</w:t>
      </w:r>
      <w:r>
        <w:rPr>
          <w:rFonts w:hint="eastAsia" w:ascii="Times New Roman" w:hAnsi="Times New Roman" w:eastAsia="仿宋_GB2312" w:cs="仿宋_GB2312"/>
          <w:highlight w:val="none"/>
        </w:rPr>
        <w:t>应积极</w:t>
      </w:r>
      <w:r>
        <w:rPr>
          <w:rFonts w:ascii="Times New Roman" w:hAnsi="Times New Roman" w:eastAsia="仿宋_GB2312" w:cs="仿宋_GB2312"/>
          <w:highlight w:val="none"/>
        </w:rPr>
        <w:t>整合涉农、水利、乡村振兴</w:t>
      </w:r>
      <w:r>
        <w:rPr>
          <w:rFonts w:hint="eastAsia" w:ascii="Times New Roman" w:hAnsi="Times New Roman" w:eastAsia="仿宋_GB2312" w:cs="仿宋_GB2312"/>
          <w:highlight w:val="none"/>
        </w:rPr>
        <w:t>、全域土地综合整治、中央水污染防治</w:t>
      </w:r>
      <w:r>
        <w:rPr>
          <w:rFonts w:ascii="Times New Roman" w:hAnsi="Times New Roman" w:eastAsia="仿宋_GB2312" w:cs="仿宋_GB2312"/>
          <w:highlight w:val="none"/>
        </w:rPr>
        <w:t>等各类资金，探索生态产品价值转化机制，吸引社会资本参与</w:t>
      </w:r>
      <w:r>
        <w:rPr>
          <w:rFonts w:hint="eastAsia" w:ascii="Times New Roman" w:hAnsi="Times New Roman" w:eastAsia="仿宋_GB2312" w:cs="仿宋_GB2312"/>
          <w:highlight w:val="none"/>
        </w:rPr>
        <w:t>其中</w:t>
      </w:r>
      <w:r>
        <w:rPr>
          <w:rFonts w:ascii="Times New Roman" w:hAnsi="Times New Roman" w:eastAsia="仿宋_GB2312" w:cs="仿宋_GB2312"/>
          <w:highlight w:val="none"/>
        </w:rPr>
        <w:t>；应分级分类施策，根据不同河流特点、行业导向以及区域污染源和调度管控状况，选择低碳绿色生态的治理模式；</w:t>
      </w:r>
      <w:r>
        <w:rPr>
          <w:rFonts w:hint="eastAsia" w:ascii="Times New Roman" w:hAnsi="Times New Roman" w:eastAsia="仿宋_GB2312" w:cs="仿宋_GB2312"/>
          <w:highlight w:val="none"/>
        </w:rPr>
        <w:t>应</w:t>
      </w:r>
      <w:r>
        <w:rPr>
          <w:rFonts w:ascii="Times New Roman" w:hAnsi="Times New Roman" w:eastAsia="仿宋_GB2312" w:cs="仿宋_GB2312"/>
          <w:highlight w:val="none"/>
        </w:rPr>
        <w:t>加强长效养护，创新养护技术，应对青苔暴发等问题，定期生态监测并适时人工干预；应注重总结提升，及时梳理经验做法，形成可复制、可推广的治理技术模式、验收标准、管护要求等规范性文件，以典型示范带动整体提升。</w:t>
      </w:r>
    </w:p>
    <w:p>
      <w:pPr>
        <w:adjustRightInd w:val="0"/>
        <w:snapToGrid w:val="0"/>
        <w:spacing w:line="580" w:lineRule="exact"/>
        <w:ind w:firstLine="640" w:firstLineChars="200"/>
        <w:rPr>
          <w:rFonts w:cs="仿宋_GB2312" w:eastAsiaTheme="minorEastAsia"/>
          <w:sz w:val="32"/>
          <w:szCs w:val="32"/>
        </w:rPr>
      </w:pPr>
      <w:bookmarkStart w:id="0" w:name="OLE_LINK1"/>
    </w:p>
    <w:p>
      <w:pPr>
        <w:adjustRightInd w:val="0"/>
        <w:snapToGrid w:val="0"/>
        <w:spacing w:line="580" w:lineRule="exact"/>
        <w:ind w:firstLine="640" w:firstLineChars="200"/>
        <w:rPr>
          <w:rFonts w:cs="仿宋_GB2312" w:eastAsiaTheme="minorEastAsia"/>
          <w:sz w:val="32"/>
          <w:szCs w:val="32"/>
        </w:rPr>
      </w:pPr>
    </w:p>
    <w:p>
      <w:pPr>
        <w:adjustRightInd w:val="0"/>
        <w:snapToGrid w:val="0"/>
        <w:spacing w:line="580" w:lineRule="exact"/>
        <w:ind w:firstLine="640" w:firstLineChars="200"/>
        <w:rPr>
          <w:rFonts w:eastAsiaTheme="minorEastAsia"/>
          <w:sz w:val="32"/>
          <w:szCs w:val="32"/>
        </w:rPr>
      </w:pPr>
      <w:r>
        <w:rPr>
          <w:rFonts w:eastAsiaTheme="minorEastAsia"/>
          <w:sz w:val="32"/>
          <w:szCs w:val="32"/>
        </w:rPr>
        <w:br w:type="page"/>
      </w:r>
    </w:p>
    <w:p>
      <w:pPr>
        <w:keepNext w:val="0"/>
        <w:keepLines w:val="0"/>
        <w:pageBreakBefore w:val="0"/>
        <w:widowControl w:val="0"/>
        <w:kinsoku/>
        <w:wordWrap/>
        <w:overflowPunct/>
        <w:topLinePunct w:val="0"/>
        <w:autoSpaceDE/>
        <w:autoSpaceDN/>
        <w:bidi w:val="0"/>
        <w:adjustRightInd w:val="0"/>
        <w:snapToGrid w:val="0"/>
        <w:spacing w:after="157" w:afterLines="50" w:line="580" w:lineRule="exact"/>
        <w:jc w:val="center"/>
        <w:textAlignment w:val="auto"/>
        <w:rPr>
          <w:rFonts w:hint="eastAsia" w:eastAsia="仿宋_GB2312" w:cs="仿宋_GB2312"/>
          <w:b/>
          <w:bCs/>
          <w:sz w:val="32"/>
          <w:szCs w:val="32"/>
        </w:rPr>
      </w:pPr>
      <w:r>
        <w:rPr>
          <w:rFonts w:hint="eastAsia" w:eastAsia="仿宋_GB2312" w:cs="仿宋_GB2312"/>
          <w:b/>
          <w:bCs/>
          <w:sz w:val="32"/>
          <w:szCs w:val="32"/>
        </w:rPr>
        <w:t>附件1</w:t>
      </w:r>
      <w:r>
        <w:rPr>
          <w:rFonts w:hint="eastAsia" w:cs="仿宋_GB2312" w:eastAsiaTheme="minorEastAsia"/>
          <w:b/>
          <w:bCs/>
          <w:sz w:val="32"/>
          <w:szCs w:val="32"/>
        </w:rPr>
        <w:t xml:space="preserve"> </w:t>
      </w:r>
      <w:r>
        <w:rPr>
          <w:rFonts w:hint="eastAsia" w:eastAsia="仿宋_GB2312" w:cs="仿宋_GB2312"/>
          <w:b/>
          <w:bCs/>
          <w:sz w:val="32"/>
          <w:szCs w:val="32"/>
        </w:rPr>
        <w:t>清澈度提升试点筛选原则</w:t>
      </w:r>
    </w:p>
    <w:tbl>
      <w:tblPr>
        <w:tblStyle w:val="28"/>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451"/>
        <w:gridCol w:w="6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5" w:type="dxa"/>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序号</w:t>
            </w:r>
          </w:p>
        </w:tc>
        <w:tc>
          <w:tcPr>
            <w:tcW w:w="1451" w:type="dxa"/>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分类</w:t>
            </w:r>
          </w:p>
        </w:tc>
        <w:tc>
          <w:tcPr>
            <w:tcW w:w="6281" w:type="dxa"/>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选点条件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5" w:type="dxa"/>
            <w:vAlign w:val="center"/>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1</w:t>
            </w:r>
          </w:p>
        </w:tc>
        <w:tc>
          <w:tcPr>
            <w:tcW w:w="1451" w:type="dxa"/>
            <w:vMerge w:val="restart"/>
            <w:vAlign w:val="center"/>
          </w:tcPr>
          <w:p>
            <w:pPr>
              <w:adjustRightInd w:val="0"/>
              <w:snapToGrid w:val="0"/>
              <w:spacing w:line="400" w:lineRule="exact"/>
              <w:jc w:val="center"/>
              <w:rPr>
                <w:rFonts w:eastAsia="仿宋_GB2312" w:cs="仿宋_GB2312"/>
                <w:sz w:val="24"/>
              </w:rPr>
            </w:pPr>
            <w:r>
              <w:rPr>
                <w:rFonts w:hint="eastAsia" w:eastAsia="仿宋_GB2312" w:cs="仿宋_GB2312"/>
                <w:sz w:val="24"/>
              </w:rPr>
              <w:t>必要条件</w:t>
            </w:r>
          </w:p>
        </w:tc>
        <w:tc>
          <w:tcPr>
            <w:tcW w:w="6281" w:type="dxa"/>
          </w:tcPr>
          <w:p>
            <w:pPr>
              <w:adjustRightInd w:val="0"/>
              <w:snapToGrid w:val="0"/>
              <w:spacing w:line="400" w:lineRule="exact"/>
              <w:rPr>
                <w:rFonts w:eastAsia="仿宋_GB2312" w:cs="仿宋_GB2312"/>
                <w:sz w:val="24"/>
              </w:rPr>
            </w:pPr>
            <w:r>
              <w:rPr>
                <w:rFonts w:hint="eastAsia" w:eastAsia="仿宋_GB2312" w:cs="仿宋_GB2312"/>
                <w:sz w:val="24"/>
              </w:rPr>
              <w:t>应选择防汛除涝达标，已完成河湖治理，沿河截污基本完成的河湖水体。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5" w:type="dxa"/>
            <w:vAlign w:val="center"/>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2</w:t>
            </w:r>
          </w:p>
        </w:tc>
        <w:tc>
          <w:tcPr>
            <w:tcW w:w="1451" w:type="dxa"/>
            <w:vMerge w:val="continue"/>
            <w:vAlign w:val="center"/>
          </w:tcPr>
          <w:p>
            <w:pPr>
              <w:adjustRightInd w:val="0"/>
              <w:snapToGrid w:val="0"/>
              <w:spacing w:line="400" w:lineRule="exact"/>
              <w:jc w:val="center"/>
              <w:rPr>
                <w:rFonts w:eastAsia="仿宋_GB2312" w:cs="仿宋_GB2312"/>
                <w:sz w:val="24"/>
              </w:rPr>
            </w:pPr>
          </w:p>
        </w:tc>
        <w:tc>
          <w:tcPr>
            <w:tcW w:w="6281" w:type="dxa"/>
          </w:tcPr>
          <w:p>
            <w:pPr>
              <w:adjustRightInd w:val="0"/>
              <w:snapToGrid w:val="0"/>
              <w:spacing w:line="400" w:lineRule="exact"/>
              <w:rPr>
                <w:rFonts w:eastAsia="仿宋_GB2312" w:cs="仿宋_GB2312"/>
                <w:sz w:val="24"/>
              </w:rPr>
            </w:pPr>
            <w:r>
              <w:rPr>
                <w:rFonts w:hint="eastAsia" w:eastAsia="仿宋_GB2312" w:cs="仿宋_GB2312"/>
                <w:sz w:val="24"/>
              </w:rPr>
              <w:t>应选择社区、村庄聚居区、校园、景观公园及绿地、重要场所周边滨水活动聚集、展示度较高的河湖水体。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5" w:type="dxa"/>
            <w:vAlign w:val="center"/>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3</w:t>
            </w:r>
          </w:p>
        </w:tc>
        <w:tc>
          <w:tcPr>
            <w:tcW w:w="1451" w:type="dxa"/>
            <w:vMerge w:val="continue"/>
            <w:vAlign w:val="center"/>
          </w:tcPr>
          <w:p>
            <w:pPr>
              <w:adjustRightInd w:val="0"/>
              <w:snapToGrid w:val="0"/>
              <w:spacing w:line="400" w:lineRule="exact"/>
              <w:jc w:val="center"/>
              <w:rPr>
                <w:rFonts w:eastAsia="仿宋_GB2312" w:cs="仿宋_GB2312"/>
                <w:sz w:val="24"/>
              </w:rPr>
            </w:pPr>
          </w:p>
        </w:tc>
        <w:tc>
          <w:tcPr>
            <w:tcW w:w="6281" w:type="dxa"/>
          </w:tcPr>
          <w:p>
            <w:pPr>
              <w:adjustRightInd w:val="0"/>
              <w:snapToGrid w:val="0"/>
              <w:spacing w:line="400" w:lineRule="exact"/>
              <w:rPr>
                <w:rFonts w:eastAsia="仿宋_GB2312" w:cs="仿宋_GB2312"/>
                <w:sz w:val="24"/>
              </w:rPr>
            </w:pPr>
            <w:r>
              <w:rPr>
                <w:rFonts w:hint="eastAsia" w:eastAsia="仿宋_GB2312" w:cs="仿宋_GB2312"/>
                <w:sz w:val="24"/>
              </w:rPr>
              <w:t>应选择开展清澈度提升对区域防汛除涝、引排调度无明显负面影响的河湖水体。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95" w:type="dxa"/>
            <w:vAlign w:val="center"/>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4</w:t>
            </w:r>
          </w:p>
        </w:tc>
        <w:tc>
          <w:tcPr>
            <w:tcW w:w="1451" w:type="dxa"/>
            <w:vMerge w:val="continue"/>
            <w:vAlign w:val="center"/>
          </w:tcPr>
          <w:p>
            <w:pPr>
              <w:adjustRightInd w:val="0"/>
              <w:snapToGrid w:val="0"/>
              <w:spacing w:line="400" w:lineRule="exact"/>
              <w:jc w:val="center"/>
              <w:rPr>
                <w:rFonts w:eastAsia="仿宋_GB2312" w:cs="仿宋_GB2312"/>
                <w:sz w:val="24"/>
              </w:rPr>
            </w:pPr>
          </w:p>
        </w:tc>
        <w:tc>
          <w:tcPr>
            <w:tcW w:w="6281" w:type="dxa"/>
            <w:shd w:val="clear" w:color="auto" w:fill="auto"/>
          </w:tcPr>
          <w:p>
            <w:pPr>
              <w:adjustRightInd w:val="0"/>
              <w:snapToGrid w:val="0"/>
              <w:spacing w:line="400" w:lineRule="exact"/>
              <w:rPr>
                <w:rFonts w:eastAsia="仿宋_GB2312" w:cs="仿宋_GB2312"/>
                <w:sz w:val="24"/>
              </w:rPr>
            </w:pPr>
            <w:r>
              <w:rPr>
                <w:rFonts w:hint="eastAsia" w:eastAsia="仿宋_GB2312" w:cs="仿宋_GB2312"/>
                <w:sz w:val="24"/>
              </w:rPr>
              <w:t>应选择不承担航运、农田灌排功能，非区域主要引排通道的河湖水体。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5" w:type="dxa"/>
            <w:vAlign w:val="center"/>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5</w:t>
            </w:r>
          </w:p>
        </w:tc>
        <w:tc>
          <w:tcPr>
            <w:tcW w:w="1451" w:type="dxa"/>
            <w:vMerge w:val="continue"/>
            <w:vAlign w:val="center"/>
          </w:tcPr>
          <w:p>
            <w:pPr>
              <w:adjustRightInd w:val="0"/>
              <w:snapToGrid w:val="0"/>
              <w:spacing w:line="400" w:lineRule="exact"/>
              <w:jc w:val="center"/>
              <w:rPr>
                <w:rFonts w:eastAsia="仿宋_GB2312" w:cs="仿宋_GB2312"/>
                <w:sz w:val="24"/>
              </w:rPr>
            </w:pPr>
          </w:p>
        </w:tc>
        <w:tc>
          <w:tcPr>
            <w:tcW w:w="6281" w:type="dxa"/>
            <w:shd w:val="clear" w:color="auto" w:fill="auto"/>
          </w:tcPr>
          <w:p>
            <w:pPr>
              <w:adjustRightInd w:val="0"/>
              <w:snapToGrid w:val="0"/>
              <w:spacing w:line="400" w:lineRule="exact"/>
              <w:rPr>
                <w:rFonts w:eastAsia="仿宋_GB2312" w:cs="仿宋_GB2312"/>
                <w:sz w:val="24"/>
              </w:rPr>
            </w:pPr>
            <w:r>
              <w:rPr>
                <w:rFonts w:hint="eastAsia" w:eastAsia="仿宋_GB2312" w:cs="仿宋_GB2312"/>
                <w:sz w:val="24"/>
              </w:rPr>
              <w:t>应选择区域内无泵站放江的河湖水体。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5" w:type="dxa"/>
            <w:vAlign w:val="center"/>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6</w:t>
            </w:r>
          </w:p>
        </w:tc>
        <w:tc>
          <w:tcPr>
            <w:tcW w:w="1451" w:type="dxa"/>
            <w:vMerge w:val="restart"/>
            <w:vAlign w:val="center"/>
          </w:tcPr>
          <w:p>
            <w:pPr>
              <w:adjustRightInd w:val="0"/>
              <w:snapToGrid w:val="0"/>
              <w:spacing w:line="400" w:lineRule="exact"/>
              <w:jc w:val="center"/>
              <w:rPr>
                <w:rFonts w:eastAsia="仿宋_GB2312" w:cs="仿宋_GB2312"/>
                <w:sz w:val="24"/>
              </w:rPr>
            </w:pPr>
            <w:r>
              <w:rPr>
                <w:rFonts w:hint="eastAsia" w:eastAsia="仿宋_GB2312" w:cs="仿宋_GB2312"/>
                <w:sz w:val="24"/>
              </w:rPr>
              <w:t>优选条件</w:t>
            </w:r>
          </w:p>
        </w:tc>
        <w:tc>
          <w:tcPr>
            <w:tcW w:w="6281" w:type="dxa"/>
            <w:shd w:val="clear" w:color="auto" w:fill="auto"/>
          </w:tcPr>
          <w:p>
            <w:pPr>
              <w:adjustRightInd w:val="0"/>
              <w:snapToGrid w:val="0"/>
              <w:spacing w:line="400" w:lineRule="exact"/>
              <w:rPr>
                <w:rFonts w:eastAsia="仿宋_GB2312" w:cs="仿宋_GB2312"/>
                <w:sz w:val="24"/>
              </w:rPr>
            </w:pPr>
            <w:r>
              <w:rPr>
                <w:rFonts w:hint="eastAsia" w:eastAsia="仿宋_GB2312" w:cs="仿宋_GB2312"/>
                <w:sz w:val="24"/>
              </w:rPr>
              <w:t>应优先选择已实施或计划实施美丽乡村、乡村振兴创建，全域土地综合整治，生态清洁小流域，新城绿环水脉，滨水空间开放，滨水岸线贯通等区域的河湖水体。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5" w:type="dxa"/>
            <w:vAlign w:val="center"/>
          </w:tcPr>
          <w:p>
            <w:pPr>
              <w:adjustRightInd w:val="0"/>
              <w:snapToGrid w:val="0"/>
              <w:spacing w:line="400" w:lineRule="exact"/>
              <w:jc w:val="center"/>
              <w:rPr>
                <w:rFonts w:eastAsia="仿宋_GB2312" w:cs="仿宋_GB2312"/>
                <w:b/>
                <w:bCs/>
                <w:sz w:val="24"/>
              </w:rPr>
            </w:pPr>
            <w:r>
              <w:rPr>
                <w:rFonts w:hint="eastAsia" w:eastAsia="仿宋_GB2312" w:cs="仿宋_GB2312"/>
                <w:b/>
                <w:bCs/>
                <w:sz w:val="24"/>
              </w:rPr>
              <w:t>7</w:t>
            </w:r>
          </w:p>
        </w:tc>
        <w:tc>
          <w:tcPr>
            <w:tcW w:w="1451" w:type="dxa"/>
            <w:vMerge w:val="continue"/>
            <w:vAlign w:val="center"/>
          </w:tcPr>
          <w:p>
            <w:pPr>
              <w:adjustRightInd w:val="0"/>
              <w:snapToGrid w:val="0"/>
              <w:spacing w:line="400" w:lineRule="exact"/>
              <w:jc w:val="center"/>
              <w:rPr>
                <w:rFonts w:eastAsia="仿宋_GB2312" w:cs="仿宋_GB2312"/>
                <w:sz w:val="24"/>
              </w:rPr>
            </w:pPr>
          </w:p>
        </w:tc>
        <w:tc>
          <w:tcPr>
            <w:tcW w:w="6281" w:type="dxa"/>
            <w:shd w:val="clear" w:color="auto" w:fill="auto"/>
          </w:tcPr>
          <w:p>
            <w:pPr>
              <w:adjustRightInd w:val="0"/>
              <w:snapToGrid w:val="0"/>
              <w:spacing w:line="400" w:lineRule="exact"/>
              <w:rPr>
                <w:rFonts w:eastAsia="仿宋_GB2312" w:cs="仿宋_GB2312"/>
                <w:sz w:val="24"/>
              </w:rPr>
            </w:pPr>
            <w:r>
              <w:rPr>
                <w:rFonts w:hint="eastAsia" w:eastAsia="仿宋_GB2312" w:cs="仿宋_GB2312"/>
                <w:sz w:val="24"/>
              </w:rPr>
              <w:t>应优先选择有条件独立调控水动力的水系。</w:t>
            </w:r>
          </w:p>
        </w:tc>
      </w:tr>
    </w:tbl>
    <w:p>
      <w:pPr>
        <w:keepNext w:val="0"/>
        <w:keepLines w:val="0"/>
        <w:pageBreakBefore w:val="0"/>
        <w:widowControl w:val="0"/>
        <w:kinsoku/>
        <w:wordWrap/>
        <w:overflowPunct/>
        <w:topLinePunct w:val="0"/>
        <w:autoSpaceDE/>
        <w:autoSpaceDN/>
        <w:bidi w:val="0"/>
        <w:adjustRightInd w:val="0"/>
        <w:snapToGrid w:val="0"/>
        <w:spacing w:before="157" w:beforeLines="50" w:line="400" w:lineRule="exact"/>
        <w:ind w:firstLine="482" w:firstLineChars="200"/>
        <w:textAlignment w:val="auto"/>
        <w:rPr>
          <w:rFonts w:hint="eastAsia" w:ascii="仿宋_GB2312" w:hAnsi="仿宋_GB2312" w:eastAsia="仿宋_GB2312" w:cs="仿宋_GB2312"/>
          <w:b/>
          <w:bCs/>
          <w:sz w:val="32"/>
          <w:szCs w:val="32"/>
        </w:rPr>
        <w:sectPr>
          <w:pgSz w:w="11907" w:h="16839"/>
          <w:pgMar w:top="1440" w:right="1797" w:bottom="1440" w:left="1797" w:header="851" w:footer="992" w:gutter="0"/>
          <w:cols w:space="720" w:num="1"/>
          <w:docGrid w:type="lines" w:linePitch="312" w:charSpace="0"/>
        </w:sectPr>
      </w:pPr>
      <w:r>
        <w:rPr>
          <w:rFonts w:hint="eastAsia" w:ascii="仿宋_GB2312" w:hAnsi="仿宋_GB2312" w:eastAsia="仿宋_GB2312" w:cs="仿宋_GB2312"/>
          <w:b/>
          <w:bCs/>
          <w:sz w:val="24"/>
        </w:rPr>
        <w:t>注：必要条件是清澈度试点筛选的必要条件；优先条件是优先选择具备这些条件的河湖试点开展清澈度提升试点建设。</w:t>
      </w:r>
    </w:p>
    <w:bookmarkEnd w:id="0"/>
    <w:p>
      <w:pPr>
        <w:keepNext w:val="0"/>
        <w:keepLines w:val="0"/>
        <w:pageBreakBefore w:val="0"/>
        <w:widowControl w:val="0"/>
        <w:numPr>
          <w:ilvl w:val="255"/>
          <w:numId w:val="0"/>
        </w:numPr>
        <w:kinsoku/>
        <w:wordWrap/>
        <w:overflowPunct/>
        <w:topLinePunct w:val="0"/>
        <w:autoSpaceDE/>
        <w:autoSpaceDN/>
        <w:bidi w:val="0"/>
        <w:adjustRightInd/>
        <w:snapToGrid/>
        <w:spacing w:after="157" w:afterLines="50" w:line="580" w:lineRule="exact"/>
        <w:jc w:val="center"/>
        <w:textAlignment w:val="auto"/>
        <w:outlineLvl w:val="1"/>
        <w:rPr>
          <w:rFonts w:eastAsia="仿宋_GB2312" w:cs="方正仿宋_GB2312"/>
          <w:b/>
          <w:bCs/>
          <w:sz w:val="32"/>
          <w:szCs w:val="32"/>
        </w:rPr>
      </w:pPr>
      <w:r>
        <w:rPr>
          <w:rFonts w:hint="eastAsia" w:cs="方正仿宋_GB2312" w:asciiTheme="minorEastAsia" w:hAnsiTheme="minorEastAsia" w:eastAsiaTheme="minorEastAsia"/>
          <w:b/>
          <w:bCs/>
          <w:sz w:val="32"/>
          <w:szCs w:val="32"/>
        </w:rPr>
        <w:t>附件</w:t>
      </w:r>
      <w:r>
        <w:rPr>
          <w:rFonts w:hint="eastAsia" w:cs="方正仿宋_GB2312" w:eastAsiaTheme="minorEastAsia"/>
          <w:b/>
          <w:bCs/>
          <w:sz w:val="32"/>
          <w:szCs w:val="32"/>
        </w:rPr>
        <w:t>2</w:t>
      </w:r>
      <w:r>
        <w:rPr>
          <w:rFonts w:hint="eastAsia" w:eastAsia="仿宋_GB2312" w:cs="方正仿宋_GB2312"/>
          <w:b/>
          <w:bCs/>
          <w:sz w:val="32"/>
          <w:szCs w:val="32"/>
        </w:rPr>
        <w:t xml:space="preserve"> 分类水体技术指引</w:t>
      </w:r>
    </w:p>
    <w:tbl>
      <w:tblPr>
        <w:tblStyle w:val="27"/>
        <w:tblW w:w="14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
        <w:gridCol w:w="969"/>
        <w:gridCol w:w="1202"/>
        <w:gridCol w:w="2302"/>
        <w:gridCol w:w="969"/>
        <w:gridCol w:w="825"/>
        <w:gridCol w:w="1114"/>
        <w:gridCol w:w="825"/>
        <w:gridCol w:w="1114"/>
        <w:gridCol w:w="825"/>
        <w:gridCol w:w="1114"/>
        <w:gridCol w:w="825"/>
        <w:gridCol w:w="1114"/>
      </w:tblGrid>
      <w:tr>
        <w:tblPrEx>
          <w:tblLayout w:type="fixed"/>
          <w:tblCellMar>
            <w:top w:w="0" w:type="dxa"/>
            <w:left w:w="108" w:type="dxa"/>
            <w:bottom w:w="0" w:type="dxa"/>
            <w:right w:w="108" w:type="dxa"/>
          </w:tblCellMar>
        </w:tblPrEx>
        <w:trPr>
          <w:trHeight w:val="400" w:hRule="atLeast"/>
          <w:tblHeader/>
        </w:trPr>
        <w:tc>
          <w:tcPr>
            <w:tcW w:w="96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方正仿宋_GB2312"/>
                <w:b/>
                <w:bCs/>
                <w:kern w:val="0"/>
                <w:sz w:val="24"/>
                <w:lang w:bidi="ar"/>
              </w:rPr>
            </w:pPr>
            <w:r>
              <w:rPr>
                <w:rFonts w:hint="eastAsia" w:eastAsia="仿宋_GB2312" w:cs="方正仿宋_GB2312"/>
                <w:b/>
                <w:bCs/>
                <w:kern w:val="0"/>
                <w:sz w:val="24"/>
                <w:lang w:bidi="ar"/>
              </w:rPr>
              <w:t>序号</w:t>
            </w:r>
          </w:p>
        </w:tc>
        <w:tc>
          <w:tcPr>
            <w:tcW w:w="96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方正仿宋_GB2312"/>
                <w:b/>
                <w:bCs/>
                <w:kern w:val="0"/>
                <w:sz w:val="24"/>
                <w:lang w:bidi="ar"/>
              </w:rPr>
            </w:pPr>
            <w:r>
              <w:rPr>
                <w:rFonts w:hint="eastAsia" w:eastAsia="仿宋_GB2312" w:cs="方正仿宋_GB2312"/>
                <w:b/>
                <w:bCs/>
                <w:kern w:val="0"/>
                <w:sz w:val="24"/>
                <w:lang w:bidi="ar"/>
              </w:rPr>
              <w:t>技术</w:t>
            </w:r>
          </w:p>
          <w:p>
            <w:pPr>
              <w:widowControl/>
              <w:jc w:val="center"/>
              <w:textAlignment w:val="center"/>
              <w:rPr>
                <w:rFonts w:eastAsia="仿宋_GB2312" w:cs="方正仿宋_GB2312"/>
                <w:b/>
                <w:bCs/>
                <w:sz w:val="24"/>
              </w:rPr>
            </w:pPr>
            <w:r>
              <w:rPr>
                <w:rFonts w:hint="eastAsia" w:eastAsia="仿宋_GB2312" w:cs="方正仿宋_GB2312"/>
                <w:b/>
                <w:bCs/>
                <w:kern w:val="0"/>
                <w:sz w:val="24"/>
                <w:lang w:bidi="ar"/>
              </w:rPr>
              <w:t>类型</w:t>
            </w:r>
          </w:p>
        </w:tc>
        <w:tc>
          <w:tcPr>
            <w:tcW w:w="350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eastAsia="仿宋_GB2312" w:cs="方正仿宋_GB2312"/>
                <w:b/>
                <w:bCs/>
                <w:sz w:val="24"/>
              </w:rPr>
            </w:pPr>
            <w:r>
              <w:rPr>
                <w:rFonts w:hint="eastAsia" w:eastAsia="仿宋_GB2312" w:cs="方正仿宋_GB2312"/>
                <w:b/>
                <w:bCs/>
                <w:kern w:val="0"/>
                <w:sz w:val="24"/>
                <w:lang w:bidi="ar"/>
              </w:rPr>
              <w:t>技术名称</w:t>
            </w:r>
          </w:p>
        </w:tc>
        <w:tc>
          <w:tcPr>
            <w:tcW w:w="96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方正仿宋_GB2312"/>
                <w:b/>
                <w:bCs/>
                <w:kern w:val="0"/>
                <w:sz w:val="24"/>
                <w:lang w:bidi="ar"/>
              </w:rPr>
            </w:pPr>
            <w:r>
              <w:rPr>
                <w:rFonts w:hint="eastAsia" w:eastAsia="仿宋_GB2312" w:cs="方正仿宋_GB2312"/>
                <w:b/>
                <w:bCs/>
                <w:kern w:val="0"/>
                <w:sz w:val="24"/>
                <w:lang w:bidi="ar"/>
              </w:rPr>
              <w:t>封闭</w:t>
            </w:r>
          </w:p>
          <w:p>
            <w:pPr>
              <w:widowControl/>
              <w:jc w:val="center"/>
              <w:textAlignment w:val="center"/>
              <w:rPr>
                <w:rFonts w:eastAsia="仿宋_GB2312" w:cs="方正仿宋_GB2312"/>
                <w:b/>
                <w:bCs/>
                <w:sz w:val="24"/>
              </w:rPr>
            </w:pPr>
            <w:r>
              <w:rPr>
                <w:rFonts w:hint="eastAsia" w:eastAsia="仿宋_GB2312" w:cs="方正仿宋_GB2312"/>
                <w:b/>
                <w:bCs/>
                <w:kern w:val="0"/>
                <w:sz w:val="24"/>
                <w:lang w:bidi="ar"/>
              </w:rPr>
              <w:t>水体</w:t>
            </w:r>
          </w:p>
        </w:tc>
        <w:tc>
          <w:tcPr>
            <w:tcW w:w="1939"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一端连通河道</w:t>
            </w:r>
          </w:p>
        </w:tc>
        <w:tc>
          <w:tcPr>
            <w:tcW w:w="1939"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开放河道</w:t>
            </w:r>
          </w:p>
        </w:tc>
        <w:tc>
          <w:tcPr>
            <w:tcW w:w="1939"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连片水系</w:t>
            </w:r>
          </w:p>
        </w:tc>
        <w:tc>
          <w:tcPr>
            <w:tcW w:w="1939"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湖泊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blHeader/>
        </w:trPr>
        <w:tc>
          <w:tcPr>
            <w:tcW w:w="96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eastAsia="仿宋_GB2312" w:cs="方正仿宋_GB2312"/>
                <w:b/>
                <w:bCs/>
                <w:sz w:val="24"/>
              </w:rPr>
            </w:pPr>
          </w:p>
        </w:tc>
        <w:tc>
          <w:tcPr>
            <w:tcW w:w="96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eastAsia="仿宋_GB2312" w:cs="方正仿宋_GB2312"/>
                <w:b/>
                <w:bCs/>
                <w:sz w:val="24"/>
              </w:rPr>
            </w:pPr>
          </w:p>
        </w:tc>
        <w:tc>
          <w:tcPr>
            <w:tcW w:w="3504"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eastAsia="仿宋_GB2312" w:cs="方正仿宋_GB2312"/>
                <w:b/>
                <w:bCs/>
                <w:sz w:val="24"/>
              </w:rPr>
            </w:pPr>
          </w:p>
        </w:tc>
        <w:tc>
          <w:tcPr>
            <w:tcW w:w="96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eastAsia="仿宋_GB2312" w:cs="方正仿宋_GB2312"/>
                <w:b/>
                <w:bCs/>
                <w:sz w:val="24"/>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设控</w:t>
            </w:r>
          </w:p>
        </w:tc>
        <w:tc>
          <w:tcPr>
            <w:tcW w:w="1114"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不设控</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设控</w:t>
            </w:r>
          </w:p>
        </w:tc>
        <w:tc>
          <w:tcPr>
            <w:tcW w:w="1114"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不设控</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设控</w:t>
            </w:r>
          </w:p>
        </w:tc>
        <w:tc>
          <w:tcPr>
            <w:tcW w:w="1114"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不设控</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设控</w:t>
            </w:r>
          </w:p>
        </w:tc>
        <w:tc>
          <w:tcPr>
            <w:tcW w:w="1114"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textAlignment w:val="bottom"/>
              <w:rPr>
                <w:rFonts w:eastAsia="仿宋_GB2312" w:cs="方正仿宋_GB2312"/>
                <w:b/>
                <w:bCs/>
                <w:sz w:val="24"/>
              </w:rPr>
            </w:pPr>
            <w:r>
              <w:rPr>
                <w:rFonts w:hint="eastAsia" w:eastAsia="仿宋_GB2312" w:cs="方正仿宋_GB2312"/>
                <w:b/>
                <w:bCs/>
                <w:kern w:val="0"/>
                <w:sz w:val="24"/>
                <w:lang w:bidi="ar"/>
              </w:rPr>
              <w:t>不设控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tcBorders>
              <w:top w:val="single" w:color="auto" w:sz="4" w:space="0"/>
            </w:tcBorders>
            <w:shd w:val="clear" w:color="auto" w:fill="auto"/>
            <w:noWrap/>
            <w:vAlign w:val="center"/>
          </w:tcPr>
          <w:p>
            <w:pPr>
              <w:jc w:val="center"/>
              <w:rPr>
                <w:rFonts w:eastAsia="仿宋_GB2312" w:cs="方正仿宋_GB2312"/>
                <w:sz w:val="24"/>
              </w:rPr>
            </w:pPr>
            <w:r>
              <w:rPr>
                <w:rFonts w:hint="eastAsia" w:eastAsia="仿宋_GB2312" w:cs="方正仿宋_GB2312"/>
                <w:sz w:val="24"/>
              </w:rPr>
              <w:t>1</w:t>
            </w:r>
          </w:p>
        </w:tc>
        <w:tc>
          <w:tcPr>
            <w:tcW w:w="969" w:type="dxa"/>
            <w:vMerge w:val="restart"/>
            <w:tcBorders>
              <w:top w:val="single" w:color="auto" w:sz="4" w:space="0"/>
            </w:tcBorders>
            <w:shd w:val="clear" w:color="auto" w:fill="auto"/>
            <w:noWrap/>
            <w:vAlign w:val="center"/>
          </w:tcPr>
          <w:p>
            <w:pPr>
              <w:jc w:val="center"/>
              <w:rPr>
                <w:rFonts w:eastAsia="仿宋_GB2312" w:cs="方正仿宋_GB2312"/>
                <w:sz w:val="24"/>
              </w:rPr>
            </w:pPr>
            <w:r>
              <w:rPr>
                <w:rFonts w:hint="eastAsia" w:eastAsia="仿宋_GB2312" w:cs="方正仿宋_GB2312"/>
                <w:sz w:val="24"/>
              </w:rPr>
              <w:t>隔离</w:t>
            </w:r>
          </w:p>
        </w:tc>
        <w:tc>
          <w:tcPr>
            <w:tcW w:w="1202" w:type="dxa"/>
            <w:vMerge w:val="restart"/>
            <w:tcBorders>
              <w:top w:val="single" w:color="auto" w:sz="4" w:space="0"/>
            </w:tcBorders>
            <w:shd w:val="clear" w:color="auto" w:fill="auto"/>
            <w:noWrap/>
            <w:vAlign w:val="center"/>
          </w:tcPr>
          <w:p>
            <w:pPr>
              <w:jc w:val="center"/>
              <w:rPr>
                <w:rFonts w:eastAsia="仿宋_GB2312" w:cs="方正仿宋_GB2312"/>
                <w:sz w:val="24"/>
              </w:rPr>
            </w:pPr>
            <w:r>
              <w:rPr>
                <w:rFonts w:hint="eastAsia" w:eastAsia="仿宋_GB2312" w:cs="方正仿宋_GB2312"/>
                <w:sz w:val="24"/>
              </w:rPr>
              <w:t>硬隔离</w:t>
            </w:r>
          </w:p>
        </w:tc>
        <w:tc>
          <w:tcPr>
            <w:tcW w:w="2302" w:type="dxa"/>
            <w:tcBorders>
              <w:top w:val="single" w:color="auto" w:sz="4" w:space="0"/>
            </w:tcBorders>
            <w:shd w:val="clear" w:color="auto" w:fill="auto"/>
            <w:noWrap/>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临时围堰</w:t>
            </w:r>
          </w:p>
        </w:tc>
        <w:tc>
          <w:tcPr>
            <w:tcW w:w="969" w:type="dxa"/>
            <w:tcBorders>
              <w:top w:val="single" w:color="auto" w:sz="4" w:space="0"/>
            </w:tcBorders>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tcBorders>
              <w:top w:val="single" w:color="auto" w:sz="4" w:space="0"/>
            </w:tcBorders>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tcBorders>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tcBorders>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tcBorders>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noWrap/>
            <w:vAlign w:val="center"/>
          </w:tcPr>
          <w:p>
            <w:pPr>
              <w:jc w:val="center"/>
              <w:rPr>
                <w:rFonts w:eastAsia="仿宋_GB2312" w:cs="方正仿宋_GB2312"/>
                <w:sz w:val="24"/>
              </w:rPr>
            </w:pPr>
            <w:r>
              <w:rPr>
                <w:rFonts w:hint="eastAsia" w:eastAsia="仿宋_GB2312" w:cs="方正仿宋_GB2312"/>
                <w:sz w:val="24"/>
              </w:rPr>
              <w:t>2</w:t>
            </w:r>
          </w:p>
        </w:tc>
        <w:tc>
          <w:tcPr>
            <w:tcW w:w="969" w:type="dxa"/>
            <w:vMerge w:val="continue"/>
            <w:shd w:val="clear" w:color="auto" w:fill="auto"/>
            <w:noWrap/>
            <w:vAlign w:val="center"/>
          </w:tcPr>
          <w:p>
            <w:pPr>
              <w:jc w:val="center"/>
              <w:rPr>
                <w:rFonts w:eastAsia="仿宋_GB2312" w:cs="方正仿宋_GB2312"/>
                <w:sz w:val="24"/>
              </w:rPr>
            </w:pPr>
          </w:p>
        </w:tc>
        <w:tc>
          <w:tcPr>
            <w:tcW w:w="1202" w:type="dxa"/>
            <w:vMerge w:val="continue"/>
            <w:shd w:val="clear" w:color="auto" w:fill="auto"/>
            <w:noWrap/>
            <w:vAlign w:val="center"/>
          </w:tcPr>
          <w:p>
            <w:pPr>
              <w:jc w:val="center"/>
              <w:rPr>
                <w:rFonts w:eastAsia="仿宋_GB2312" w:cs="方正仿宋_GB2312"/>
                <w:sz w:val="24"/>
              </w:rPr>
            </w:pPr>
          </w:p>
        </w:tc>
        <w:tc>
          <w:tcPr>
            <w:tcW w:w="2302" w:type="dxa"/>
            <w:shd w:val="clear" w:color="auto" w:fill="auto"/>
            <w:noWrap/>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溢流堰</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noWrap/>
            <w:vAlign w:val="center"/>
          </w:tcPr>
          <w:p>
            <w:pPr>
              <w:jc w:val="center"/>
              <w:rPr>
                <w:rFonts w:eastAsia="仿宋_GB2312" w:cs="方正仿宋_GB2312"/>
                <w:sz w:val="24"/>
              </w:rPr>
            </w:pPr>
            <w:r>
              <w:rPr>
                <w:rFonts w:hint="eastAsia" w:eastAsia="仿宋_GB2312" w:cs="方正仿宋_GB2312"/>
                <w:sz w:val="24"/>
              </w:rPr>
              <w:t>3</w:t>
            </w:r>
          </w:p>
        </w:tc>
        <w:tc>
          <w:tcPr>
            <w:tcW w:w="969" w:type="dxa"/>
            <w:vMerge w:val="continue"/>
            <w:shd w:val="clear" w:color="auto" w:fill="auto"/>
            <w:noWrap/>
            <w:vAlign w:val="center"/>
          </w:tcPr>
          <w:p>
            <w:pPr>
              <w:jc w:val="center"/>
              <w:rPr>
                <w:rFonts w:eastAsia="仿宋_GB2312" w:cs="方正仿宋_GB2312"/>
                <w:sz w:val="24"/>
              </w:rPr>
            </w:pPr>
          </w:p>
        </w:tc>
        <w:tc>
          <w:tcPr>
            <w:tcW w:w="1202" w:type="dxa"/>
            <w:vMerge w:val="continue"/>
            <w:shd w:val="clear" w:color="auto" w:fill="auto"/>
            <w:noWrap/>
            <w:vAlign w:val="center"/>
          </w:tcPr>
          <w:p>
            <w:pPr>
              <w:jc w:val="center"/>
              <w:rPr>
                <w:rFonts w:eastAsia="仿宋_GB2312" w:cs="方正仿宋_GB2312"/>
                <w:sz w:val="24"/>
              </w:rPr>
            </w:pPr>
          </w:p>
        </w:tc>
        <w:tc>
          <w:tcPr>
            <w:tcW w:w="2302" w:type="dxa"/>
            <w:shd w:val="clear" w:color="auto" w:fill="auto"/>
            <w:noWrap/>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活动堰</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noWrap/>
            <w:vAlign w:val="center"/>
          </w:tcPr>
          <w:p>
            <w:pPr>
              <w:jc w:val="center"/>
              <w:rPr>
                <w:rFonts w:eastAsia="仿宋_GB2312" w:cs="方正仿宋_GB2312"/>
                <w:sz w:val="24"/>
              </w:rPr>
            </w:pPr>
            <w:r>
              <w:rPr>
                <w:rFonts w:hint="eastAsia" w:eastAsia="仿宋_GB2312" w:cs="方正仿宋_GB2312"/>
                <w:sz w:val="24"/>
              </w:rPr>
              <w:t>4</w:t>
            </w:r>
          </w:p>
        </w:tc>
        <w:tc>
          <w:tcPr>
            <w:tcW w:w="969" w:type="dxa"/>
            <w:vMerge w:val="continue"/>
            <w:shd w:val="clear" w:color="auto" w:fill="auto"/>
            <w:noWrap/>
            <w:vAlign w:val="center"/>
          </w:tcPr>
          <w:p>
            <w:pPr>
              <w:jc w:val="center"/>
              <w:rPr>
                <w:rFonts w:eastAsia="仿宋_GB2312" w:cs="方正仿宋_GB2312"/>
                <w:sz w:val="24"/>
              </w:rPr>
            </w:pPr>
          </w:p>
        </w:tc>
        <w:tc>
          <w:tcPr>
            <w:tcW w:w="1202" w:type="dxa"/>
            <w:vMerge w:val="continue"/>
            <w:shd w:val="clear" w:color="auto" w:fill="auto"/>
            <w:noWrap/>
            <w:vAlign w:val="center"/>
          </w:tcPr>
          <w:p>
            <w:pPr>
              <w:jc w:val="center"/>
              <w:rPr>
                <w:rFonts w:eastAsia="仿宋_GB2312" w:cs="方正仿宋_GB2312"/>
                <w:sz w:val="24"/>
              </w:rPr>
            </w:pPr>
          </w:p>
        </w:tc>
        <w:tc>
          <w:tcPr>
            <w:tcW w:w="2302" w:type="dxa"/>
            <w:shd w:val="clear" w:color="auto" w:fill="auto"/>
            <w:noWrap/>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生态透水坝</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noWrap/>
            <w:vAlign w:val="center"/>
          </w:tcPr>
          <w:p>
            <w:pPr>
              <w:jc w:val="center"/>
              <w:rPr>
                <w:rFonts w:eastAsia="仿宋_GB2312" w:cs="方正仿宋_GB2312"/>
                <w:sz w:val="24"/>
              </w:rPr>
            </w:pPr>
            <w:r>
              <w:rPr>
                <w:rFonts w:hint="eastAsia" w:eastAsia="仿宋_GB2312" w:cs="方正仿宋_GB2312"/>
                <w:sz w:val="24"/>
              </w:rPr>
              <w:t>5</w:t>
            </w:r>
          </w:p>
        </w:tc>
        <w:tc>
          <w:tcPr>
            <w:tcW w:w="969" w:type="dxa"/>
            <w:vMerge w:val="continue"/>
            <w:shd w:val="clear" w:color="auto" w:fill="auto"/>
            <w:noWrap/>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软隔离</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生态围隔</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noWrap/>
            <w:vAlign w:val="center"/>
          </w:tcPr>
          <w:p>
            <w:pPr>
              <w:jc w:val="center"/>
              <w:rPr>
                <w:rFonts w:eastAsia="仿宋_GB2312" w:cs="方正仿宋_GB2312"/>
                <w:sz w:val="24"/>
              </w:rPr>
            </w:pPr>
            <w:r>
              <w:rPr>
                <w:rFonts w:hint="eastAsia" w:eastAsia="仿宋_GB2312" w:cs="方正仿宋_GB2312"/>
                <w:sz w:val="24"/>
              </w:rPr>
              <w:t>6</w:t>
            </w:r>
          </w:p>
        </w:tc>
        <w:tc>
          <w:tcPr>
            <w:tcW w:w="969" w:type="dxa"/>
            <w:vMerge w:val="continue"/>
            <w:shd w:val="clear" w:color="auto" w:fill="auto"/>
            <w:noWrap/>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生态滤床</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noWrap/>
            <w:vAlign w:val="center"/>
          </w:tcPr>
          <w:p>
            <w:pPr>
              <w:jc w:val="center"/>
              <w:rPr>
                <w:rFonts w:eastAsia="仿宋_GB2312" w:cs="方正仿宋_GB2312"/>
                <w:sz w:val="24"/>
              </w:rPr>
            </w:pPr>
            <w:r>
              <w:rPr>
                <w:rFonts w:hint="eastAsia" w:eastAsia="仿宋_GB2312" w:cs="方正仿宋_GB2312"/>
                <w:sz w:val="24"/>
              </w:rPr>
              <w:t>7</w:t>
            </w:r>
          </w:p>
        </w:tc>
        <w:tc>
          <w:tcPr>
            <w:tcW w:w="969" w:type="dxa"/>
            <w:vMerge w:val="continue"/>
            <w:shd w:val="clear" w:color="auto" w:fill="auto"/>
            <w:noWrap/>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植物消浪带</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widowControl/>
              <w:jc w:val="center"/>
              <w:textAlignment w:val="center"/>
              <w:rPr>
                <w:rFonts w:eastAsia="仿宋_GB2312" w:cs="方正仿宋_GB2312"/>
                <w:kern w:val="0"/>
                <w:sz w:val="24"/>
                <w:lang w:bidi="ar"/>
              </w:rPr>
            </w:pPr>
            <w:r>
              <w:rPr>
                <w:rFonts w:hint="eastAsia" w:eastAsia="仿宋_GB2312" w:cs="方正仿宋_GB2312"/>
                <w:kern w:val="0"/>
                <w:sz w:val="24"/>
                <w:lang w:bidi="ar"/>
              </w:rPr>
              <w:t>8</w:t>
            </w:r>
          </w:p>
        </w:tc>
        <w:tc>
          <w:tcPr>
            <w:tcW w:w="969"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治污</w:t>
            </w: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点源治理</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净水屏障</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9</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湿地净化</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10</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稳定塘</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11</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生态化排口改造</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12</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三池两坝</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13</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旋流沉砂池</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14</w:t>
            </w:r>
          </w:p>
        </w:tc>
        <w:tc>
          <w:tcPr>
            <w:tcW w:w="969" w:type="dxa"/>
            <w:vMerge w:val="continue"/>
            <w:shd w:val="clear" w:color="auto" w:fill="auto"/>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面源治理</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截污纳管</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15</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稳定塘/生物滞留塘</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tcBorders>
              <w:bottom w:val="single" w:color="auto" w:sz="4" w:space="0"/>
            </w:tcBorders>
            <w:shd w:val="clear" w:color="auto" w:fill="auto"/>
            <w:vAlign w:val="center"/>
          </w:tcPr>
          <w:p>
            <w:pPr>
              <w:jc w:val="center"/>
              <w:rPr>
                <w:rFonts w:eastAsia="仿宋_GB2312" w:cs="方正仿宋_GB2312"/>
                <w:sz w:val="24"/>
              </w:rPr>
            </w:pPr>
            <w:r>
              <w:rPr>
                <w:rFonts w:hint="eastAsia" w:eastAsia="仿宋_GB2312" w:cs="方正仿宋_GB2312"/>
                <w:sz w:val="24"/>
              </w:rPr>
              <w:t>16</w:t>
            </w:r>
          </w:p>
        </w:tc>
        <w:tc>
          <w:tcPr>
            <w:tcW w:w="969" w:type="dxa"/>
            <w:vMerge w:val="continue"/>
            <w:tcBorders>
              <w:bottom w:val="single" w:color="auto" w:sz="4" w:space="0"/>
            </w:tcBorders>
            <w:shd w:val="clear" w:color="auto" w:fill="auto"/>
            <w:vAlign w:val="center"/>
          </w:tcPr>
          <w:p>
            <w:pPr>
              <w:jc w:val="center"/>
              <w:rPr>
                <w:rFonts w:eastAsia="仿宋_GB2312" w:cs="方正仿宋_GB2312"/>
                <w:sz w:val="24"/>
              </w:rPr>
            </w:pPr>
          </w:p>
        </w:tc>
        <w:tc>
          <w:tcPr>
            <w:tcW w:w="1202" w:type="dxa"/>
            <w:vMerge w:val="continue"/>
            <w:tcBorders>
              <w:bottom w:val="single" w:color="auto" w:sz="4" w:space="0"/>
            </w:tcBorders>
            <w:shd w:val="clear" w:color="auto" w:fill="auto"/>
            <w:vAlign w:val="center"/>
          </w:tcPr>
          <w:p>
            <w:pPr>
              <w:jc w:val="center"/>
              <w:rPr>
                <w:rFonts w:eastAsia="仿宋_GB2312" w:cs="方正仿宋_GB2312"/>
                <w:sz w:val="24"/>
              </w:rPr>
            </w:pPr>
          </w:p>
        </w:tc>
        <w:tc>
          <w:tcPr>
            <w:tcW w:w="2302" w:type="dxa"/>
            <w:tcBorders>
              <w:bottom w:val="single" w:color="auto" w:sz="4" w:space="0"/>
            </w:tcBorders>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滨岸缓冲带</w:t>
            </w:r>
          </w:p>
        </w:tc>
        <w:tc>
          <w:tcPr>
            <w:tcW w:w="969" w:type="dxa"/>
            <w:tcBorders>
              <w:bottom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bottom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bottom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bottom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bottom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bottom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bottom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bottom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bottom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eastAsia="仿宋_GB2312" w:cs="方正仿宋_GB2312"/>
                <w:sz w:val="24"/>
              </w:rPr>
            </w:pPr>
            <w:r>
              <w:rPr>
                <w:rFonts w:hint="eastAsia" w:eastAsia="仿宋_GB2312" w:cs="方正仿宋_GB2312"/>
                <w:sz w:val="24"/>
              </w:rPr>
              <w:t>17</w:t>
            </w:r>
          </w:p>
        </w:tc>
        <w:tc>
          <w:tcPr>
            <w:tcW w:w="9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eastAsia="仿宋_GB2312" w:cs="方正仿宋_GB2312"/>
                <w:sz w:val="24"/>
              </w:rPr>
            </w:pPr>
          </w:p>
        </w:tc>
        <w:tc>
          <w:tcPr>
            <w:tcW w:w="12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eastAsia="仿宋_GB2312" w:cs="方正仿宋_GB2312"/>
                <w:sz w:val="24"/>
              </w:rPr>
            </w:pPr>
          </w:p>
        </w:tc>
        <w:tc>
          <w:tcPr>
            <w:tcW w:w="23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海绵措施</w:t>
            </w:r>
          </w:p>
        </w:tc>
        <w:tc>
          <w:tcPr>
            <w:tcW w:w="9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tcBorders>
              <w:top w:val="single" w:color="auto" w:sz="4" w:space="0"/>
            </w:tcBorders>
            <w:shd w:val="clear" w:color="auto" w:fill="auto"/>
            <w:vAlign w:val="center"/>
          </w:tcPr>
          <w:p>
            <w:pPr>
              <w:jc w:val="center"/>
              <w:rPr>
                <w:rFonts w:eastAsia="仿宋_GB2312" w:cs="方正仿宋_GB2312"/>
                <w:sz w:val="24"/>
              </w:rPr>
            </w:pPr>
            <w:r>
              <w:rPr>
                <w:rFonts w:hint="eastAsia" w:eastAsia="仿宋_GB2312" w:cs="方正仿宋_GB2312"/>
                <w:sz w:val="24"/>
              </w:rPr>
              <w:t>19</w:t>
            </w:r>
          </w:p>
        </w:tc>
        <w:tc>
          <w:tcPr>
            <w:tcW w:w="969" w:type="dxa"/>
            <w:vMerge w:val="continue"/>
            <w:tcBorders>
              <w:top w:val="single" w:color="auto" w:sz="4" w:space="0"/>
            </w:tcBorders>
            <w:shd w:val="clear" w:color="auto" w:fill="auto"/>
            <w:vAlign w:val="center"/>
          </w:tcPr>
          <w:p>
            <w:pPr>
              <w:jc w:val="center"/>
              <w:rPr>
                <w:rFonts w:eastAsia="仿宋_GB2312" w:cs="方正仿宋_GB2312"/>
                <w:sz w:val="24"/>
              </w:rPr>
            </w:pPr>
          </w:p>
        </w:tc>
        <w:tc>
          <w:tcPr>
            <w:tcW w:w="1202" w:type="dxa"/>
            <w:vMerge w:val="continue"/>
            <w:tcBorders>
              <w:top w:val="single" w:color="auto" w:sz="4" w:space="0"/>
            </w:tcBorders>
            <w:shd w:val="clear" w:color="auto" w:fill="auto"/>
            <w:vAlign w:val="center"/>
          </w:tcPr>
          <w:p>
            <w:pPr>
              <w:jc w:val="center"/>
              <w:rPr>
                <w:rFonts w:eastAsia="仿宋_GB2312" w:cs="方正仿宋_GB2312"/>
                <w:sz w:val="24"/>
              </w:rPr>
            </w:pPr>
          </w:p>
        </w:tc>
        <w:tc>
          <w:tcPr>
            <w:tcW w:w="2302" w:type="dxa"/>
            <w:tcBorders>
              <w:top w:val="single" w:color="auto" w:sz="4" w:space="0"/>
            </w:tcBorders>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生态沟渠</w:t>
            </w:r>
          </w:p>
        </w:tc>
        <w:tc>
          <w:tcPr>
            <w:tcW w:w="969"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tcBorders>
              <w:top w:val="single" w:color="auto" w:sz="4" w:space="0"/>
            </w:tcBorders>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20</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高效除磷模块</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21</w:t>
            </w:r>
          </w:p>
        </w:tc>
        <w:tc>
          <w:tcPr>
            <w:tcW w:w="969" w:type="dxa"/>
            <w:vMerge w:val="continue"/>
            <w:shd w:val="clear" w:color="auto" w:fill="auto"/>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内源治理</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原位覆盖</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22</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原位钝化</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23</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生物修复</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24</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清淤疏浚</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widowControl/>
              <w:jc w:val="center"/>
              <w:textAlignment w:val="center"/>
              <w:rPr>
                <w:rFonts w:eastAsia="仿宋_GB2312" w:cs="方正仿宋_GB2312"/>
                <w:kern w:val="0"/>
                <w:sz w:val="24"/>
                <w:lang w:bidi="ar"/>
              </w:rPr>
            </w:pPr>
            <w:r>
              <w:rPr>
                <w:rFonts w:hint="eastAsia" w:eastAsia="仿宋_GB2312" w:cs="方正仿宋_GB2312"/>
                <w:kern w:val="0"/>
                <w:sz w:val="24"/>
                <w:lang w:bidi="ar"/>
              </w:rPr>
              <w:t>25</w:t>
            </w:r>
          </w:p>
        </w:tc>
        <w:tc>
          <w:tcPr>
            <w:tcW w:w="969"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净化</w:t>
            </w: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水生植物净化</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挺水植物群落构建</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26</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沉水植物群落构建</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27</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浮叶植物群落构建</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28</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生境营造</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29</w:t>
            </w:r>
          </w:p>
        </w:tc>
        <w:tc>
          <w:tcPr>
            <w:tcW w:w="969" w:type="dxa"/>
            <w:vMerge w:val="continue"/>
            <w:shd w:val="clear" w:color="auto" w:fill="auto"/>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水生动物净化</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浮游动物净化</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30</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底栖动物净化</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31</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生物操纵</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32</w:t>
            </w:r>
          </w:p>
        </w:tc>
        <w:tc>
          <w:tcPr>
            <w:tcW w:w="969" w:type="dxa"/>
            <w:vMerge w:val="continue"/>
            <w:shd w:val="clear" w:color="auto" w:fill="auto"/>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曝气净化</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跌水曝气</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33</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机械曝气</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34</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鼓风曝气</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35</w:t>
            </w:r>
          </w:p>
        </w:tc>
        <w:tc>
          <w:tcPr>
            <w:tcW w:w="969" w:type="dxa"/>
            <w:vMerge w:val="continue"/>
            <w:shd w:val="clear" w:color="auto" w:fill="auto"/>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其他生态净化技术</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前置库</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36</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生态浮床技术</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widowControl/>
              <w:jc w:val="center"/>
              <w:textAlignment w:val="center"/>
              <w:rPr>
                <w:rFonts w:eastAsia="仿宋_GB2312" w:cs="方正仿宋_GB2312"/>
                <w:kern w:val="0"/>
                <w:sz w:val="24"/>
                <w:lang w:bidi="ar"/>
              </w:rPr>
            </w:pPr>
            <w:r>
              <w:rPr>
                <w:rFonts w:hint="eastAsia" w:eastAsia="仿宋_GB2312" w:cs="方正仿宋_GB2312"/>
                <w:kern w:val="0"/>
                <w:sz w:val="24"/>
                <w:lang w:bidi="ar"/>
              </w:rPr>
              <w:t>37</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旁路净化</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38</w:t>
            </w:r>
          </w:p>
        </w:tc>
        <w:tc>
          <w:tcPr>
            <w:tcW w:w="969"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调控</w:t>
            </w: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区域动力调控</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泵闸调度</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39</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引清补水</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40</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活动堰</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41</w:t>
            </w:r>
          </w:p>
        </w:tc>
        <w:tc>
          <w:tcPr>
            <w:tcW w:w="969" w:type="dxa"/>
            <w:vMerge w:val="continue"/>
            <w:shd w:val="clear" w:color="auto" w:fill="auto"/>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局部动力调控</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循环活水</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42</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推流活水</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43</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曝气增氧</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widowControl/>
              <w:jc w:val="center"/>
              <w:textAlignment w:val="center"/>
              <w:rPr>
                <w:rFonts w:eastAsia="仿宋_GB2312" w:cs="方正仿宋_GB2312"/>
                <w:kern w:val="0"/>
                <w:sz w:val="24"/>
                <w:lang w:bidi="ar"/>
              </w:rPr>
            </w:pPr>
            <w:r>
              <w:rPr>
                <w:rFonts w:hint="eastAsia" w:eastAsia="仿宋_GB2312" w:cs="方正仿宋_GB2312"/>
                <w:kern w:val="0"/>
                <w:sz w:val="24"/>
                <w:lang w:bidi="ar"/>
              </w:rPr>
              <w:t>44</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涌浪机</w:t>
            </w:r>
          </w:p>
        </w:tc>
        <w:tc>
          <w:tcPr>
            <w:tcW w:w="969"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1114" w:type="dxa"/>
            <w:shd w:val="clear" w:color="auto" w:fill="auto"/>
            <w:noWrap/>
            <w:vAlign w:val="bottom"/>
          </w:tcPr>
          <w:p>
            <w:pPr>
              <w:widowControl/>
              <w:jc w:val="center"/>
              <w:textAlignment w:val="bottom"/>
              <w:rPr>
                <w:rFonts w:eastAsia="仿宋_GB2312" w:cs="方正仿宋_GB2312"/>
                <w:sz w:val="24"/>
              </w:rPr>
            </w:pPr>
            <w:r>
              <w:rPr>
                <w:rFonts w:hint="eastAsia" w:eastAsia="仿宋_GB2312" w:cs="方正仿宋_GB2312"/>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45</w:t>
            </w:r>
          </w:p>
        </w:tc>
        <w:tc>
          <w:tcPr>
            <w:tcW w:w="969"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养护</w:t>
            </w: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水生植物养护</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打捞、收割</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46</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病虫害防治</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47</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风险物种控制</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48</w:t>
            </w:r>
          </w:p>
        </w:tc>
        <w:tc>
          <w:tcPr>
            <w:tcW w:w="969" w:type="dxa"/>
            <w:vMerge w:val="continue"/>
            <w:shd w:val="clear" w:color="auto" w:fill="auto"/>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水生动物养护</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群落结构调控</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49</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病虫害防治</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50</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风险物种控制</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51</w:t>
            </w:r>
          </w:p>
        </w:tc>
        <w:tc>
          <w:tcPr>
            <w:tcW w:w="969" w:type="dxa"/>
            <w:vMerge w:val="continue"/>
            <w:shd w:val="clear" w:color="auto" w:fill="auto"/>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设施设备养护</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设施设备检修养护</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52</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设施设备管理制度</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53</w:t>
            </w:r>
          </w:p>
        </w:tc>
        <w:tc>
          <w:tcPr>
            <w:tcW w:w="969" w:type="dxa"/>
            <w:vMerge w:val="continue"/>
            <w:shd w:val="clear" w:color="auto" w:fill="auto"/>
            <w:vAlign w:val="center"/>
          </w:tcPr>
          <w:p>
            <w:pPr>
              <w:jc w:val="center"/>
              <w:rPr>
                <w:rFonts w:eastAsia="仿宋_GB2312" w:cs="方正仿宋_GB2312"/>
                <w:sz w:val="24"/>
              </w:rPr>
            </w:pPr>
          </w:p>
        </w:tc>
        <w:tc>
          <w:tcPr>
            <w:tcW w:w="1202" w:type="dxa"/>
            <w:vMerge w:val="restart"/>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应急措施</w:t>
            </w: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藻类暴发控制</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54</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水质异常控制</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55</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水力调度</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56</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非目标物种处理</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66" w:type="dxa"/>
            <w:shd w:val="clear" w:color="auto" w:fill="auto"/>
            <w:vAlign w:val="center"/>
          </w:tcPr>
          <w:p>
            <w:pPr>
              <w:jc w:val="center"/>
              <w:rPr>
                <w:rFonts w:eastAsia="仿宋_GB2312" w:cs="方正仿宋_GB2312"/>
                <w:sz w:val="24"/>
              </w:rPr>
            </w:pPr>
            <w:r>
              <w:rPr>
                <w:rFonts w:hint="eastAsia" w:eastAsia="仿宋_GB2312" w:cs="方正仿宋_GB2312"/>
                <w:sz w:val="24"/>
              </w:rPr>
              <w:t>57</w:t>
            </w:r>
          </w:p>
        </w:tc>
        <w:tc>
          <w:tcPr>
            <w:tcW w:w="969" w:type="dxa"/>
            <w:vMerge w:val="continue"/>
            <w:shd w:val="clear" w:color="auto" w:fill="auto"/>
            <w:vAlign w:val="center"/>
          </w:tcPr>
          <w:p>
            <w:pPr>
              <w:jc w:val="center"/>
              <w:rPr>
                <w:rFonts w:eastAsia="仿宋_GB2312" w:cs="方正仿宋_GB2312"/>
                <w:sz w:val="24"/>
              </w:rPr>
            </w:pPr>
          </w:p>
        </w:tc>
        <w:tc>
          <w:tcPr>
            <w:tcW w:w="1202" w:type="dxa"/>
            <w:vMerge w:val="continue"/>
            <w:shd w:val="clear" w:color="auto" w:fill="auto"/>
            <w:vAlign w:val="center"/>
          </w:tcPr>
          <w:p>
            <w:pPr>
              <w:jc w:val="center"/>
              <w:rPr>
                <w:rFonts w:eastAsia="仿宋_GB2312" w:cs="方正仿宋_GB2312"/>
                <w:sz w:val="24"/>
              </w:rPr>
            </w:pPr>
          </w:p>
        </w:tc>
        <w:tc>
          <w:tcPr>
            <w:tcW w:w="2302" w:type="dxa"/>
            <w:shd w:val="clear" w:color="auto" w:fill="auto"/>
            <w:vAlign w:val="center"/>
          </w:tcPr>
          <w:p>
            <w:pPr>
              <w:widowControl/>
              <w:jc w:val="center"/>
              <w:textAlignment w:val="center"/>
              <w:rPr>
                <w:rFonts w:eastAsia="仿宋_GB2312" w:cs="方正仿宋_GB2312"/>
                <w:sz w:val="24"/>
              </w:rPr>
            </w:pPr>
            <w:r>
              <w:rPr>
                <w:rFonts w:hint="eastAsia" w:eastAsia="仿宋_GB2312" w:cs="方正仿宋_GB2312"/>
                <w:kern w:val="0"/>
                <w:sz w:val="24"/>
                <w:lang w:bidi="ar"/>
              </w:rPr>
              <w:t>极端气象应对措施</w:t>
            </w:r>
          </w:p>
        </w:tc>
        <w:tc>
          <w:tcPr>
            <w:tcW w:w="969"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825"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c>
          <w:tcPr>
            <w:tcW w:w="1114" w:type="dxa"/>
            <w:shd w:val="clear" w:color="auto" w:fill="auto"/>
            <w:noWrap/>
            <w:vAlign w:val="center"/>
          </w:tcPr>
          <w:p>
            <w:pPr>
              <w:widowControl/>
              <w:jc w:val="center"/>
              <w:textAlignment w:val="center"/>
              <w:rPr>
                <w:rFonts w:eastAsia="仿宋_GB2312" w:cs="宋体"/>
                <w:sz w:val="24"/>
              </w:rPr>
            </w:pPr>
            <w:r>
              <w:rPr>
                <w:rFonts w:hint="eastAsia" w:eastAsia="仿宋_GB2312" w:cs="宋体"/>
                <w:kern w:val="0"/>
                <w:sz w:val="24"/>
                <w:lang w:bidi="ar"/>
              </w:rPr>
              <w:t>●</w:t>
            </w:r>
          </w:p>
        </w:tc>
      </w:tr>
    </w:tbl>
    <w:p>
      <w:pPr>
        <w:widowControl/>
        <w:numPr>
          <w:ilvl w:val="255"/>
          <w:numId w:val="0"/>
        </w:numPr>
        <w:rPr>
          <w:rFonts w:eastAsia="方正仿宋_GB2312" w:cs="方正仿宋_GB2312"/>
          <w:b/>
          <w:bCs/>
          <w:sz w:val="32"/>
          <w:szCs w:val="32"/>
        </w:rPr>
      </w:pPr>
      <w:r>
        <w:rPr>
          <w:rFonts w:hint="eastAsia" w:ascii="仿宋_GB2312" w:hAnsi="仿宋_GB2312" w:eastAsia="仿宋_GB2312" w:cs="仿宋_GB2312"/>
          <w:b/>
          <w:bCs/>
          <w:szCs w:val="21"/>
        </w:rPr>
        <w:t>备注：●代表推荐采取措施；◯代表可据实际需求采取的措施；/代表不推荐采取的措施。</w:t>
      </w:r>
    </w:p>
    <w:p>
      <w:pPr>
        <w:numPr>
          <w:ilvl w:val="255"/>
          <w:numId w:val="0"/>
        </w:numPr>
        <w:spacing w:line="580" w:lineRule="exact"/>
        <w:jc w:val="center"/>
        <w:outlineLvl w:val="1"/>
        <w:rPr>
          <w:rFonts w:eastAsia="方正仿宋_GB2312" w:cs="方正仿宋_GB2312"/>
          <w:b/>
          <w:bCs/>
          <w:sz w:val="32"/>
          <w:szCs w:val="32"/>
        </w:rPr>
      </w:pPr>
    </w:p>
    <w:p>
      <w:pPr>
        <w:widowControl/>
        <w:jc w:val="left"/>
        <w:rPr>
          <w:rFonts w:eastAsia="仿宋_GB2312" w:cs="仿宋_GB2312"/>
          <w:b/>
          <w:bCs/>
          <w:sz w:val="32"/>
          <w:szCs w:val="32"/>
        </w:rPr>
      </w:pPr>
      <w:r>
        <w:rPr>
          <w:rFonts w:eastAsia="仿宋_GB2312" w:cs="仿宋_GB2312"/>
          <w:b/>
          <w:bCs/>
          <w:sz w:val="32"/>
          <w:szCs w:val="32"/>
        </w:rPr>
        <w:br w:type="page"/>
      </w:r>
    </w:p>
    <w:p>
      <w:pPr>
        <w:keepNext w:val="0"/>
        <w:keepLines w:val="0"/>
        <w:pageBreakBefore w:val="0"/>
        <w:widowControl w:val="0"/>
        <w:kinsoku/>
        <w:wordWrap/>
        <w:overflowPunct/>
        <w:topLinePunct w:val="0"/>
        <w:autoSpaceDE/>
        <w:autoSpaceDN/>
        <w:bidi w:val="0"/>
        <w:adjustRightInd w:val="0"/>
        <w:snapToGrid w:val="0"/>
        <w:spacing w:after="157" w:afterLines="50" w:line="580" w:lineRule="exact"/>
        <w:jc w:val="center"/>
        <w:textAlignment w:val="auto"/>
        <w:rPr>
          <w:rFonts w:eastAsia="仿宋_GB2312" w:cs="仿宋_GB2312"/>
          <w:b/>
          <w:bCs/>
          <w:sz w:val="32"/>
          <w:szCs w:val="32"/>
        </w:rPr>
      </w:pPr>
      <w:r>
        <w:rPr>
          <w:rFonts w:hint="eastAsia" w:eastAsia="仿宋_GB2312" w:cs="仿宋_GB2312"/>
          <w:b/>
          <w:bCs/>
          <w:sz w:val="32"/>
          <w:szCs w:val="32"/>
        </w:rPr>
        <w:t>附件</w:t>
      </w:r>
      <w:r>
        <w:rPr>
          <w:rFonts w:eastAsia="仿宋_GB2312" w:cs="仿宋_GB2312"/>
          <w:b/>
          <w:bCs/>
          <w:sz w:val="32"/>
          <w:szCs w:val="32"/>
        </w:rPr>
        <w:t>3</w:t>
      </w:r>
      <w:r>
        <w:rPr>
          <w:rFonts w:hint="eastAsia" w:eastAsia="仿宋_GB2312" w:cs="仿宋_GB2312"/>
          <w:b/>
          <w:bCs/>
          <w:sz w:val="32"/>
          <w:szCs w:val="32"/>
        </w:rPr>
        <w:t xml:space="preserve">  清澈度提升技术措施表</w:t>
      </w:r>
    </w:p>
    <w:tbl>
      <w:tblPr>
        <w:tblStyle w:val="27"/>
        <w:tblW w:w="14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176"/>
        <w:gridCol w:w="1247"/>
        <w:gridCol w:w="1443"/>
        <w:gridCol w:w="5655"/>
        <w:gridCol w:w="3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blHeader/>
        </w:trPr>
        <w:tc>
          <w:tcPr>
            <w:tcW w:w="694" w:type="dxa"/>
            <w:shd w:val="clear" w:color="auto" w:fill="auto"/>
            <w:noWrap/>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序号</w:t>
            </w:r>
          </w:p>
        </w:tc>
        <w:tc>
          <w:tcPr>
            <w:tcW w:w="1176" w:type="dxa"/>
            <w:shd w:val="clear" w:color="auto" w:fill="auto"/>
            <w:noWrap/>
            <w:vAlign w:val="center"/>
          </w:tcPr>
          <w:p>
            <w:pPr>
              <w:widowControl/>
              <w:spacing w:line="400" w:lineRule="exact"/>
              <w:jc w:val="center"/>
              <w:textAlignment w:val="center"/>
              <w:rPr>
                <w:rFonts w:eastAsia="仿宋_GB2312" w:cs="仿宋_GB2312"/>
                <w:b/>
                <w:bCs/>
                <w:kern w:val="0"/>
                <w:sz w:val="24"/>
                <w:lang w:bidi="ar"/>
              </w:rPr>
            </w:pPr>
            <w:r>
              <w:rPr>
                <w:rFonts w:hint="eastAsia" w:eastAsia="仿宋_GB2312" w:cs="仿宋_GB2312"/>
                <w:b/>
                <w:bCs/>
                <w:kern w:val="0"/>
                <w:sz w:val="24"/>
                <w:lang w:bidi="ar"/>
              </w:rPr>
              <w:t>技术</w:t>
            </w:r>
          </w:p>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体系</w:t>
            </w:r>
          </w:p>
        </w:tc>
        <w:tc>
          <w:tcPr>
            <w:tcW w:w="1247"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技术类型</w:t>
            </w:r>
          </w:p>
        </w:tc>
        <w:tc>
          <w:tcPr>
            <w:tcW w:w="1443" w:type="dxa"/>
            <w:shd w:val="clear" w:color="auto" w:fill="auto"/>
            <w:vAlign w:val="center"/>
          </w:tcPr>
          <w:p>
            <w:pPr>
              <w:widowControl/>
              <w:spacing w:line="400" w:lineRule="exact"/>
              <w:jc w:val="left"/>
              <w:textAlignment w:val="center"/>
              <w:rPr>
                <w:rFonts w:eastAsia="仿宋_GB2312" w:cs="仿宋_GB2312"/>
                <w:b/>
                <w:bCs/>
                <w:sz w:val="24"/>
              </w:rPr>
            </w:pPr>
            <w:r>
              <w:rPr>
                <w:rFonts w:hint="eastAsia" w:eastAsia="仿宋_GB2312" w:cs="仿宋_GB2312"/>
                <w:b/>
                <w:bCs/>
                <w:kern w:val="0"/>
                <w:sz w:val="24"/>
                <w:lang w:bidi="ar"/>
              </w:rPr>
              <w:t>技术名称</w:t>
            </w:r>
          </w:p>
        </w:tc>
        <w:tc>
          <w:tcPr>
            <w:tcW w:w="5655"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技术特点</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适用条件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w:t>
            </w:r>
          </w:p>
        </w:tc>
        <w:tc>
          <w:tcPr>
            <w:tcW w:w="1176" w:type="dxa"/>
            <w:vMerge w:val="restart"/>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隔离</w:t>
            </w:r>
          </w:p>
        </w:tc>
        <w:tc>
          <w:tcPr>
            <w:tcW w:w="1247" w:type="dxa"/>
            <w:vMerge w:val="restart"/>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硬隔离</w:t>
            </w:r>
          </w:p>
        </w:tc>
        <w:tc>
          <w:tcPr>
            <w:tcW w:w="1443" w:type="dxa"/>
            <w:shd w:val="clear" w:color="auto" w:fill="auto"/>
            <w:noWrap/>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临时围堰</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用于挡水的临时建筑物，限制外围浊水交换。</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适用于水体临时隔离。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w:t>
            </w:r>
          </w:p>
        </w:tc>
        <w:tc>
          <w:tcPr>
            <w:tcW w:w="1176" w:type="dxa"/>
            <w:vMerge w:val="continue"/>
            <w:shd w:val="clear" w:color="auto" w:fill="auto"/>
            <w:noWrap/>
            <w:vAlign w:val="center"/>
          </w:tcPr>
          <w:p>
            <w:pPr>
              <w:spacing w:line="400" w:lineRule="exact"/>
              <w:jc w:val="center"/>
              <w:rPr>
                <w:rFonts w:eastAsia="仿宋_GB2312" w:cs="仿宋_GB2312"/>
                <w:sz w:val="24"/>
              </w:rPr>
            </w:pPr>
          </w:p>
        </w:tc>
        <w:tc>
          <w:tcPr>
            <w:tcW w:w="1247" w:type="dxa"/>
            <w:vMerge w:val="continue"/>
            <w:shd w:val="clear" w:color="auto" w:fill="auto"/>
            <w:noWrap/>
            <w:vAlign w:val="center"/>
          </w:tcPr>
          <w:p>
            <w:pPr>
              <w:spacing w:line="400" w:lineRule="exact"/>
              <w:jc w:val="center"/>
              <w:rPr>
                <w:rFonts w:eastAsia="仿宋_GB2312" w:cs="仿宋_GB2312"/>
                <w:sz w:val="24"/>
              </w:rPr>
            </w:pPr>
          </w:p>
        </w:tc>
        <w:tc>
          <w:tcPr>
            <w:tcW w:w="1443" w:type="dxa"/>
            <w:shd w:val="clear" w:color="auto" w:fill="auto"/>
            <w:noWrap/>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溢流堰</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用于挡水、保持水位，在汛期或高水位可以溢流排水的固定堰。</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适用于有排涝需求，且需隔离外水的工况。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w:t>
            </w:r>
          </w:p>
        </w:tc>
        <w:tc>
          <w:tcPr>
            <w:tcW w:w="1176" w:type="dxa"/>
            <w:vMerge w:val="continue"/>
            <w:shd w:val="clear" w:color="auto" w:fill="auto"/>
            <w:noWrap/>
            <w:vAlign w:val="center"/>
          </w:tcPr>
          <w:p>
            <w:pPr>
              <w:spacing w:line="400" w:lineRule="exact"/>
              <w:jc w:val="center"/>
              <w:rPr>
                <w:rFonts w:eastAsia="仿宋_GB2312" w:cs="仿宋_GB2312"/>
                <w:sz w:val="24"/>
              </w:rPr>
            </w:pPr>
          </w:p>
        </w:tc>
        <w:tc>
          <w:tcPr>
            <w:tcW w:w="1247" w:type="dxa"/>
            <w:vMerge w:val="continue"/>
            <w:shd w:val="clear" w:color="auto" w:fill="auto"/>
            <w:noWrap/>
            <w:vAlign w:val="center"/>
          </w:tcPr>
          <w:p>
            <w:pPr>
              <w:spacing w:line="400" w:lineRule="exact"/>
              <w:jc w:val="center"/>
              <w:rPr>
                <w:rFonts w:eastAsia="仿宋_GB2312" w:cs="仿宋_GB2312"/>
                <w:sz w:val="24"/>
              </w:rPr>
            </w:pPr>
          </w:p>
        </w:tc>
        <w:tc>
          <w:tcPr>
            <w:tcW w:w="1443" w:type="dxa"/>
            <w:shd w:val="clear" w:color="auto" w:fill="auto"/>
            <w:noWrap/>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活动堰</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用于变化调节水位的堰。常见型式有翻板闸式溢流堰、橡胶坝溢流堰、装配式溢流堰。</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适用于有排涝需求，且需灵活调节水位、流量、流速的工况。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w:t>
            </w:r>
          </w:p>
        </w:tc>
        <w:tc>
          <w:tcPr>
            <w:tcW w:w="1176" w:type="dxa"/>
            <w:vMerge w:val="continue"/>
            <w:shd w:val="clear" w:color="auto" w:fill="auto"/>
            <w:noWrap/>
            <w:vAlign w:val="center"/>
          </w:tcPr>
          <w:p>
            <w:pPr>
              <w:spacing w:line="400" w:lineRule="exact"/>
              <w:jc w:val="center"/>
              <w:rPr>
                <w:rFonts w:eastAsia="仿宋_GB2312" w:cs="仿宋_GB2312"/>
                <w:sz w:val="24"/>
              </w:rPr>
            </w:pPr>
          </w:p>
        </w:tc>
        <w:tc>
          <w:tcPr>
            <w:tcW w:w="1247" w:type="dxa"/>
            <w:vMerge w:val="continue"/>
            <w:shd w:val="clear" w:color="auto" w:fill="auto"/>
            <w:noWrap/>
            <w:vAlign w:val="center"/>
          </w:tcPr>
          <w:p>
            <w:pPr>
              <w:spacing w:line="400" w:lineRule="exact"/>
              <w:jc w:val="center"/>
              <w:rPr>
                <w:rFonts w:eastAsia="仿宋_GB2312" w:cs="仿宋_GB2312"/>
                <w:sz w:val="24"/>
              </w:rPr>
            </w:pPr>
          </w:p>
        </w:tc>
        <w:tc>
          <w:tcPr>
            <w:tcW w:w="1443" w:type="dxa"/>
            <w:shd w:val="clear" w:color="auto" w:fill="auto"/>
            <w:noWrap/>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生态透水坝</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用于实现减缓水流，并保持一定水体交换的生态砾石透水坝体。</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适用于需前置过滤、减缓流速的工况。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5</w:t>
            </w:r>
          </w:p>
        </w:tc>
        <w:tc>
          <w:tcPr>
            <w:tcW w:w="1176" w:type="dxa"/>
            <w:vMerge w:val="continue"/>
            <w:shd w:val="clear" w:color="auto" w:fill="auto"/>
            <w:noWrap/>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软隔离</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生态围隔</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通过软质材料隔离水体，常见型式有生态软围隔、生物基网、生态净水屏障。</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适用于临时隔离外水、预留排水通道、隔离污染等工况。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6</w:t>
            </w:r>
          </w:p>
        </w:tc>
        <w:tc>
          <w:tcPr>
            <w:tcW w:w="1176" w:type="dxa"/>
            <w:vMerge w:val="continue"/>
            <w:shd w:val="clear" w:color="auto" w:fill="auto"/>
            <w:noWrap/>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生态滤床</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利用生物填料及其所附着生物膜，对水体进行阻隔净化，一般搭配生态浮床使用。</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适用于开放水体需减缓水体交换、流速并具有一定前置净化作用的工况。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7</w:t>
            </w:r>
          </w:p>
        </w:tc>
        <w:tc>
          <w:tcPr>
            <w:tcW w:w="1176" w:type="dxa"/>
            <w:vMerge w:val="continue"/>
            <w:shd w:val="clear" w:color="auto" w:fill="auto"/>
            <w:noWrap/>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植物消浪带</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利用水生植物，削减河湖风浪扰动。</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适用于水体滨岸区域的消浪、固土。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8</w:t>
            </w:r>
          </w:p>
        </w:tc>
        <w:tc>
          <w:tcPr>
            <w:tcW w:w="1176"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治污</w:t>
            </w: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点源治理</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净水屏障</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隔离和净化排口排水，可在排口外构建净化区域，延长排口排水的水力停留时间，强化净化。</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适用于水体沿线排口的拦截和净化。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9</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湿地净化</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通过湿地的沉淀过滤、生物净化等功能削减污染物，提升清澈度。包括表流湿地、（水平/垂直）潜流湿地。</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适用于分散式生活污水处理设施及入河排口的深度处理。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10</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稳定塘</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用于收集排口水体集中进行生态化深度治理。包括好氧塘、厌氧塘、兼性塘。</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适用于农田面源污染排水水体前的生态强化净化。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11</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生态化排口改造</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生态化改造雨水排口，减少对受纳水体污染。如排口净化槽。</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适用于水体沿线排口的拦截和净化。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12</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三池两坝</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通过沉淀、过滤、生态净化功能处理水产养殖高浊度水体。</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适用于水产养殖尾水排入河道前的净化。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13</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旋流沉砂池</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用于悬浮物质的分离沉淀的设施。</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适用于农村区域农田排口污染削减。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14</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面源治理</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截污纳管</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通过新建截污管道系统收集污水集中处理。</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适用于水体周边散排污水治理。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15</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稳定塘/生物滞留塘</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收集区域内散排水体，沉淀、过滤、吸附、生物分解水中的污染物及高浊物质。</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适用于农田面源污染排水水体前的生态强化净化。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16</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滨岸缓冲带</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通过植被带过滤径流，保护河、湖岸坡稳定。又名生态缓冲带。</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适用于水体沿岸地表径流拦截。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17</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海绵措施</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下渗过滤颗粒物、生物净化水体中污染物等。如植草沟、雨水花园、透水铺装等。</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适用于建成区水体城市面源污染削减。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18</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生态沟渠</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农田退水传输过程中水体的净化吸附。</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适用于农田面源污染过程拦截。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19</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高效除磷模块</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沉淀、吸附、生物吸收氮磷物质及悬浮物质。</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适用于农田面源污染入河排口前的末端拦截。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20</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内源治理</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原位覆盖</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隔离底泥与环境直接接触，减少底泥中污染物的释放。</w:t>
            </w:r>
          </w:p>
        </w:tc>
        <w:tc>
          <w:tcPr>
            <w:tcW w:w="3949" w:type="dxa"/>
            <w:vMerge w:val="restart"/>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适用于不具备清淤疏浚，底泥污染较轻且过流能力能够满足排涝需求的河道水体、湖泊水体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21</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原位钝化</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改变底泥的物理、化学性质，降低污染物活性，减少释放污染的过程。可采用氧化等方式。</w:t>
            </w:r>
          </w:p>
        </w:tc>
        <w:tc>
          <w:tcPr>
            <w:tcW w:w="3949" w:type="dxa"/>
            <w:vMerge w:val="continue"/>
            <w:shd w:val="clear" w:color="auto" w:fill="auto"/>
            <w:vAlign w:val="center"/>
          </w:tcPr>
          <w:p>
            <w:pPr>
              <w:spacing w:line="400" w:lineRule="exact"/>
              <w:jc w:val="left"/>
              <w:rPr>
                <w:rFonts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22</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生物修复</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通过水生植物或微生物，降解转化底泥中有机、氮磷等污染物，降低水体富营养化风险，提高水体清澈度。</w:t>
            </w:r>
          </w:p>
        </w:tc>
        <w:tc>
          <w:tcPr>
            <w:tcW w:w="3949" w:type="dxa"/>
            <w:vMerge w:val="continue"/>
            <w:shd w:val="clear" w:color="auto" w:fill="auto"/>
            <w:vAlign w:val="center"/>
          </w:tcPr>
          <w:p>
            <w:pPr>
              <w:spacing w:line="400" w:lineRule="exact"/>
              <w:jc w:val="left"/>
              <w:rPr>
                <w:rFonts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23</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清淤疏浚</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直接清除表层淤泥，控制底泥污染物扩散及再悬浮。</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适用于淤积严重，有条件堆放或处置底泥的水体。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24</w:t>
            </w:r>
          </w:p>
        </w:tc>
        <w:tc>
          <w:tcPr>
            <w:tcW w:w="1176"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净化</w:t>
            </w: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水生植物净化</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挺水植物群落构建</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种植于岸边0.5m水深内水位变幅区。拦截、过滤、吸附入河、湖悬浮泥沙，根系净化水体污染。</w:t>
            </w:r>
          </w:p>
        </w:tc>
        <w:tc>
          <w:tcPr>
            <w:tcW w:w="3949" w:type="dxa"/>
            <w:vMerge w:val="restart"/>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适用于需要通过构建稳定水生植物群落来净化水质、提升清澈度的水体。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25</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沉水植物群落构建</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种植于1.5m左右较深的开阔水域。深度净化水体，控制底泥悬浮，氮、磷、重金属去除。</w:t>
            </w:r>
          </w:p>
        </w:tc>
        <w:tc>
          <w:tcPr>
            <w:tcW w:w="3949" w:type="dxa"/>
            <w:vMerge w:val="continue"/>
            <w:shd w:val="clear" w:color="auto" w:fill="auto"/>
            <w:vAlign w:val="center"/>
          </w:tcPr>
          <w:p>
            <w:pPr>
              <w:spacing w:line="400" w:lineRule="exact"/>
              <w:jc w:val="left"/>
              <w:rPr>
                <w:rFonts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26</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浮叶植物群落构建</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根系生长在水底泥中，叶片漂浮于水面。良好的浮叶植物群体可缓解水体扰动，净化区域水体。</w:t>
            </w:r>
          </w:p>
        </w:tc>
        <w:tc>
          <w:tcPr>
            <w:tcW w:w="3949" w:type="dxa"/>
            <w:vMerge w:val="continue"/>
            <w:shd w:val="clear" w:color="auto" w:fill="auto"/>
            <w:vAlign w:val="center"/>
          </w:tcPr>
          <w:p>
            <w:pPr>
              <w:spacing w:line="400" w:lineRule="exact"/>
              <w:jc w:val="left"/>
              <w:rPr>
                <w:rFonts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27</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kern w:val="0"/>
                <w:sz w:val="24"/>
                <w:lang w:bidi="ar"/>
              </w:rPr>
            </w:pPr>
            <w:r>
              <w:rPr>
                <w:rFonts w:hint="eastAsia" w:eastAsia="仿宋_GB2312" w:cs="仿宋_GB2312"/>
                <w:kern w:val="0"/>
                <w:sz w:val="24"/>
                <w:lang w:bidi="ar"/>
              </w:rPr>
              <w:t>生境营造</w:t>
            </w:r>
          </w:p>
        </w:tc>
        <w:tc>
          <w:tcPr>
            <w:tcW w:w="5655" w:type="dxa"/>
            <w:shd w:val="clear" w:color="auto" w:fill="auto"/>
            <w:vAlign w:val="center"/>
          </w:tcPr>
          <w:p>
            <w:pPr>
              <w:widowControl/>
              <w:spacing w:line="400" w:lineRule="exact"/>
              <w:jc w:val="left"/>
              <w:textAlignment w:val="center"/>
              <w:rPr>
                <w:rFonts w:eastAsia="仿宋_GB2312" w:cs="仿宋_GB2312"/>
                <w:kern w:val="0"/>
                <w:sz w:val="24"/>
                <w:lang w:bidi="ar"/>
              </w:rPr>
            </w:pPr>
            <w:r>
              <w:rPr>
                <w:rFonts w:hint="eastAsia" w:eastAsia="仿宋_GB2312" w:cs="仿宋_GB2312"/>
                <w:kern w:val="0"/>
                <w:sz w:val="24"/>
                <w:lang w:bidi="ar"/>
              </w:rPr>
              <w:t>对河湖底质进行改良，为水生植物生长塑造适宜水深条件，并为鱼类繁殖、大型底栖动物提供生境。</w:t>
            </w:r>
          </w:p>
        </w:tc>
        <w:tc>
          <w:tcPr>
            <w:tcW w:w="3949" w:type="dxa"/>
            <w:shd w:val="clear" w:color="auto" w:fill="auto"/>
            <w:vAlign w:val="center"/>
          </w:tcPr>
          <w:p>
            <w:pPr>
              <w:spacing w:line="400" w:lineRule="exact"/>
              <w:jc w:val="left"/>
              <w:rPr>
                <w:rFonts w:eastAsia="仿宋_GB2312" w:cs="仿宋_GB2312"/>
                <w:sz w:val="24"/>
              </w:rPr>
            </w:pPr>
            <w:r>
              <w:rPr>
                <w:rFonts w:hint="eastAsia" w:eastAsia="仿宋_GB2312" w:cs="仿宋_GB2312"/>
                <w:sz w:val="24"/>
              </w:rPr>
              <w:t>适用于底质条件较差，需通过生境塑造来恢复水生植物群落的水体。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28</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水生动物净化</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浮游动物净化</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浮游动物的摄食、代谢过程，实现水体的净化过程。</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适用于施工前期或应急提升水体透明度的工况。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29</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底栖动物净化</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通过底栖动物对部分微生物、藻类的摄食调控，降低水体富营养化风险，促进植物生长。</w:t>
            </w:r>
          </w:p>
        </w:tc>
        <w:tc>
          <w:tcPr>
            <w:tcW w:w="3949" w:type="dxa"/>
            <w:vMerge w:val="restart"/>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适用于已开展水生植物净化的水体，结合生物操纵构建稳定生态系统，强化清澈度提升效果的水体。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30</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生物操纵</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通过控制鱼群或软体动物群落结构，直接或间接提升水体中动物对藻类的摄食效率，提高水体清澈度，改善水质。包括经典/非经典生物操纵。</w:t>
            </w:r>
          </w:p>
        </w:tc>
        <w:tc>
          <w:tcPr>
            <w:tcW w:w="3949" w:type="dxa"/>
            <w:vMerge w:val="continue"/>
            <w:shd w:val="clear" w:color="auto" w:fill="auto"/>
            <w:vAlign w:val="center"/>
          </w:tcPr>
          <w:p>
            <w:pPr>
              <w:spacing w:line="400" w:lineRule="exact"/>
              <w:jc w:val="left"/>
              <w:rPr>
                <w:rFonts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31</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曝气净化</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跌水曝气</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通过自然跌差复氧，降低水体中营养物质含量。</w:t>
            </w:r>
          </w:p>
        </w:tc>
        <w:tc>
          <w:tcPr>
            <w:tcW w:w="3949" w:type="dxa"/>
            <w:vMerge w:val="restart"/>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适用于封闭水体及其他水体缓滞流区域增氧曝气。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32</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机械曝气</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通过机械设备控制水体抛洒、提升，增加水体溶解氧含量。</w:t>
            </w:r>
          </w:p>
        </w:tc>
        <w:tc>
          <w:tcPr>
            <w:tcW w:w="3949" w:type="dxa"/>
            <w:vMerge w:val="continue"/>
            <w:shd w:val="clear" w:color="auto" w:fill="auto"/>
            <w:vAlign w:val="center"/>
          </w:tcPr>
          <w:p>
            <w:pPr>
              <w:spacing w:line="400" w:lineRule="exact"/>
              <w:jc w:val="left"/>
              <w:rPr>
                <w:rFonts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33</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鼓风曝气</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压缩空气曝气，净化深水区污染，提升自净效率，促进水体清澈度提升。</w:t>
            </w:r>
          </w:p>
        </w:tc>
        <w:tc>
          <w:tcPr>
            <w:tcW w:w="3949" w:type="dxa"/>
            <w:vMerge w:val="continue"/>
            <w:shd w:val="clear" w:color="auto" w:fill="auto"/>
            <w:vAlign w:val="center"/>
          </w:tcPr>
          <w:p>
            <w:pPr>
              <w:spacing w:line="400" w:lineRule="exact"/>
              <w:jc w:val="left"/>
              <w:rPr>
                <w:rFonts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34</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其他生态净化技术</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前置库</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入河湖水体的前置沉淀、净化设施，降低受纳水体污染负荷。</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适用于河网水系、湖泊的前置净化处理。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35</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生态浮床技术</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局部水体的降浊，包括生态浮床（岛）、绿毯、浮动湿地。</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适用于水体的原位净化处理，也可用作前置缓冲净化。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36</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旁路净化</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用于水体的异位处理，单独采用生态技术进行降浊、净化后重新汇入原水体。</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适用于试点周边具有用地条件，需要较稳定的清水补给，且建设要求较高的水体。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37</w:t>
            </w:r>
          </w:p>
        </w:tc>
        <w:tc>
          <w:tcPr>
            <w:tcW w:w="1176"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调控</w:t>
            </w: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区域动力调控</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泵闸调度</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控制泵闸的启闭、流量调节改变片区水位，实现水体交换，降低区域性污染、清澈度过低的风险。</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适用于河网水系和湖泊调度优化，调节水位、流速、流量，结合生态净化提升清澈度。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38</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引清补水</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增加水体的清水量，稀释污染物浓度，提升水体的自净能力。</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适用于需要通过净化设备提供清水补给的工况，适用于重要区域水系保障等清澈度要求高的区域。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39</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活动堰</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调节活动堰改变溢流条件水位。包含翻板闸式溢流堰、橡胶坝溢流堰、装配式溢流堰。</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适用于河网水系和湖泊调度优化，可结合活动堰，调节水位、流速、流量。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40</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局部动力调控</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循环活水</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通过工程措施实现水系循环，改善局部水动力情况。</w:t>
            </w:r>
          </w:p>
        </w:tc>
        <w:tc>
          <w:tcPr>
            <w:tcW w:w="3949" w:type="dxa"/>
            <w:vMerge w:val="restart"/>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适用于缓滞流水体的水动力改善和增氧曝气。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41</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推流活水</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提升局部水动力，提升水体自净功能。</w:t>
            </w:r>
          </w:p>
        </w:tc>
        <w:tc>
          <w:tcPr>
            <w:tcW w:w="3949" w:type="dxa"/>
            <w:vMerge w:val="continue"/>
            <w:shd w:val="clear" w:color="auto" w:fill="auto"/>
            <w:vAlign w:val="center"/>
          </w:tcPr>
          <w:p>
            <w:pPr>
              <w:spacing w:line="400" w:lineRule="exact"/>
              <w:jc w:val="left"/>
              <w:rPr>
                <w:rFonts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42</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曝气增氧</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通过不同曝气方式促进水动力的变化，实现水体溶解氧的提升与水系调控。</w:t>
            </w:r>
          </w:p>
        </w:tc>
        <w:tc>
          <w:tcPr>
            <w:tcW w:w="3949" w:type="dxa"/>
            <w:vMerge w:val="continue"/>
            <w:shd w:val="clear" w:color="auto" w:fill="auto"/>
            <w:vAlign w:val="center"/>
          </w:tcPr>
          <w:p>
            <w:pPr>
              <w:spacing w:line="400" w:lineRule="exact"/>
              <w:jc w:val="left"/>
              <w:rPr>
                <w:rFonts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43</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涌浪机</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打破水体分层，促进水体上下层的混合，改变水体滞缓现象，提升水体动力。</w:t>
            </w:r>
          </w:p>
        </w:tc>
        <w:tc>
          <w:tcPr>
            <w:tcW w:w="3949"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适用于湖泊水体缓滞流区域水动力改善和增氧曝气。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44</w:t>
            </w:r>
          </w:p>
        </w:tc>
        <w:tc>
          <w:tcPr>
            <w:tcW w:w="1176"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养护</w:t>
            </w: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水生植物养护</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水生植物收割</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根据季节与植物特性定期开展修剪、收割工作。</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45</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水生植物病虫害</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消除或减少病虫害对水生植物生长的影响。</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46</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风险物种控制</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通过调整水位、水体清澈度等措施，保持植物良好生长。</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47</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水生动物养护</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水生动物群落结构调控</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通过调查鱼类、底栖动物群落结构，合理调整群落状态，避免引起生态系统失调。</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48</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水生动物病虫害</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控制鲤水肿病、烂鳃病、肠炎病、打印病和水霉病等。</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49</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风险物种控制</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控制入侵物种，控制私自放生现象等。</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50</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设施设备养护</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设施设备检修养护</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建立设备检修、养护工作台账，根据水质情况及时启闭设备或调整设备运行参数。</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51</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设施设备管理制度</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严格落实相关管理养护制度，制定设施设备操作手册。</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52</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restart"/>
            <w:shd w:val="clear" w:color="auto" w:fill="auto"/>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应急措施</w:t>
            </w: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藻类暴发控制</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人工或机械打捞清除，必要时投放微生物制剂或者生态药剂进行治理。</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53</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水质异常控制</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临时封堵或者拦截；采取针对性生态措施改善水质；必要时投放生态药剂应急净化。</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54</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水力调度</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结合水利设施采取必要的水力调度预处理措施，根据需要调控闸、泵、堰运行状态，配合临时加固等应急措施。</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55</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非目标物种处理</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发现非目标物种及时清除，阻断传播，控制蔓延。对重大入侵种造成的生态退化区域及时修复。</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694" w:type="dxa"/>
            <w:shd w:val="clear" w:color="auto" w:fill="auto"/>
            <w:noWrap/>
            <w:vAlign w:val="center"/>
          </w:tcPr>
          <w:p>
            <w:pPr>
              <w:widowControl/>
              <w:spacing w:line="400" w:lineRule="exact"/>
              <w:jc w:val="center"/>
              <w:textAlignment w:val="center"/>
              <w:rPr>
                <w:rFonts w:eastAsia="仿宋_GB2312" w:cs="仿宋_GB2312"/>
                <w:sz w:val="24"/>
              </w:rPr>
            </w:pPr>
            <w:r>
              <w:rPr>
                <w:rFonts w:hint="eastAsia" w:eastAsia="仿宋_GB2312" w:cs="仿宋_GB2312"/>
                <w:kern w:val="0"/>
                <w:sz w:val="24"/>
                <w:lang w:bidi="ar"/>
              </w:rPr>
              <w:t>56</w:t>
            </w:r>
          </w:p>
        </w:tc>
        <w:tc>
          <w:tcPr>
            <w:tcW w:w="1176" w:type="dxa"/>
            <w:vMerge w:val="continue"/>
            <w:shd w:val="clear" w:color="auto" w:fill="auto"/>
            <w:vAlign w:val="center"/>
          </w:tcPr>
          <w:p>
            <w:pPr>
              <w:spacing w:line="400" w:lineRule="exact"/>
              <w:jc w:val="center"/>
              <w:rPr>
                <w:rFonts w:eastAsia="仿宋_GB2312" w:cs="仿宋_GB2312"/>
                <w:sz w:val="24"/>
              </w:rPr>
            </w:pPr>
          </w:p>
        </w:tc>
        <w:tc>
          <w:tcPr>
            <w:tcW w:w="1247" w:type="dxa"/>
            <w:vMerge w:val="continue"/>
            <w:shd w:val="clear" w:color="auto" w:fill="auto"/>
            <w:vAlign w:val="center"/>
          </w:tcPr>
          <w:p>
            <w:pPr>
              <w:spacing w:line="400" w:lineRule="exact"/>
              <w:jc w:val="center"/>
              <w:rPr>
                <w:rFonts w:eastAsia="仿宋_GB2312" w:cs="仿宋_GB2312"/>
                <w:sz w:val="24"/>
              </w:rPr>
            </w:pPr>
          </w:p>
        </w:tc>
        <w:tc>
          <w:tcPr>
            <w:tcW w:w="1443"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极端气象应对措施</w:t>
            </w:r>
          </w:p>
        </w:tc>
        <w:tc>
          <w:tcPr>
            <w:tcW w:w="5655" w:type="dxa"/>
            <w:shd w:val="clear" w:color="auto" w:fill="auto"/>
            <w:vAlign w:val="center"/>
          </w:tcPr>
          <w:p>
            <w:pPr>
              <w:widowControl/>
              <w:spacing w:line="400" w:lineRule="exact"/>
              <w:jc w:val="left"/>
              <w:textAlignment w:val="center"/>
              <w:rPr>
                <w:rFonts w:eastAsia="仿宋_GB2312" w:cs="仿宋_GB2312"/>
                <w:sz w:val="24"/>
              </w:rPr>
            </w:pPr>
            <w:r>
              <w:rPr>
                <w:rFonts w:hint="eastAsia" w:eastAsia="仿宋_GB2312" w:cs="仿宋_GB2312"/>
                <w:kern w:val="0"/>
                <w:sz w:val="24"/>
                <w:lang w:bidi="ar"/>
              </w:rPr>
              <w:t>根据气象极端程度，紧急收割、修剪部分植物；及时对水利设施应急检查，保证排口及水位调控系统正常运行。</w:t>
            </w:r>
          </w:p>
        </w:tc>
        <w:tc>
          <w:tcPr>
            <w:tcW w:w="3949" w:type="dxa"/>
            <w:shd w:val="clear" w:color="auto" w:fill="auto"/>
            <w:vAlign w:val="center"/>
          </w:tcPr>
          <w:p>
            <w:pPr>
              <w:widowControl/>
              <w:spacing w:line="400" w:lineRule="exact"/>
              <w:jc w:val="center"/>
              <w:textAlignment w:val="center"/>
              <w:rPr>
                <w:rFonts w:eastAsia="仿宋_GB2312" w:cs="仿宋_GB2312"/>
                <w:b/>
                <w:bCs/>
                <w:sz w:val="24"/>
              </w:rPr>
            </w:pPr>
            <w:r>
              <w:rPr>
                <w:rFonts w:hint="eastAsia" w:eastAsia="仿宋_GB2312" w:cs="仿宋_GB2312"/>
                <w:b/>
                <w:bCs/>
                <w:kern w:val="0"/>
                <w:sz w:val="24"/>
                <w:lang w:bidi="ar"/>
              </w:rPr>
              <w:t>/</w:t>
            </w:r>
          </w:p>
        </w:tc>
      </w:tr>
    </w:tbl>
    <w:p>
      <w:pPr>
        <w:adjustRightInd w:val="0"/>
        <w:snapToGrid w:val="0"/>
        <w:spacing w:line="580" w:lineRule="exact"/>
        <w:jc w:val="center"/>
        <w:rPr>
          <w:rFonts w:eastAsia="仿宋_GB2312" w:cs="仿宋_GB2312"/>
          <w:sz w:val="32"/>
          <w:szCs w:val="32"/>
        </w:rPr>
      </w:pPr>
    </w:p>
    <w:p>
      <w:pPr>
        <w:widowControl/>
        <w:jc w:val="left"/>
        <w:rPr>
          <w:rFonts w:eastAsia="仿宋_GB2312" w:cs="仿宋_GB2312"/>
          <w:b/>
          <w:bCs/>
          <w:sz w:val="32"/>
          <w:szCs w:val="32"/>
        </w:rPr>
      </w:pPr>
      <w:r>
        <w:rPr>
          <w:rFonts w:eastAsia="仿宋_GB2312" w:cs="仿宋_GB2312"/>
          <w:b/>
          <w:bCs/>
          <w:sz w:val="32"/>
          <w:szCs w:val="32"/>
        </w:rPr>
        <w:br w:type="page"/>
      </w:r>
    </w:p>
    <w:p>
      <w:pPr>
        <w:keepNext w:val="0"/>
        <w:keepLines w:val="0"/>
        <w:pageBreakBefore w:val="0"/>
        <w:widowControl w:val="0"/>
        <w:kinsoku/>
        <w:wordWrap/>
        <w:overflowPunct/>
        <w:topLinePunct w:val="0"/>
        <w:autoSpaceDE/>
        <w:autoSpaceDN/>
        <w:bidi w:val="0"/>
        <w:adjustRightInd w:val="0"/>
        <w:snapToGrid w:val="0"/>
        <w:spacing w:after="157" w:afterLines="50" w:line="580" w:lineRule="exact"/>
        <w:jc w:val="center"/>
        <w:textAlignment w:val="auto"/>
        <w:rPr>
          <w:rFonts w:eastAsia="仿宋_GB2312" w:cs="仿宋_GB2312"/>
          <w:b/>
          <w:bCs/>
          <w:sz w:val="32"/>
          <w:szCs w:val="32"/>
        </w:rPr>
      </w:pPr>
      <w:r>
        <w:rPr>
          <w:rFonts w:hint="eastAsia" w:eastAsia="仿宋_GB2312" w:cs="仿宋_GB2312"/>
          <w:b/>
          <w:bCs/>
          <w:sz w:val="32"/>
          <w:szCs w:val="32"/>
        </w:rPr>
        <w:t>附件</w:t>
      </w:r>
      <w:r>
        <w:rPr>
          <w:rFonts w:eastAsia="仿宋_GB2312" w:cs="仿宋_GB2312"/>
          <w:b/>
          <w:bCs/>
          <w:sz w:val="32"/>
          <w:szCs w:val="32"/>
        </w:rPr>
        <w:t>4</w:t>
      </w:r>
      <w:r>
        <w:rPr>
          <w:rFonts w:hint="eastAsia" w:eastAsia="仿宋_GB2312" w:cs="仿宋_GB2312"/>
          <w:b/>
          <w:bCs/>
          <w:sz w:val="32"/>
          <w:szCs w:val="32"/>
        </w:rPr>
        <w:t xml:space="preserve">  上海市水生植物种植推荐表</w:t>
      </w:r>
    </w:p>
    <w:tbl>
      <w:tblPr>
        <w:tblStyle w:val="28"/>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868"/>
        <w:gridCol w:w="1566"/>
        <w:gridCol w:w="3832"/>
        <w:gridCol w:w="1393"/>
        <w:gridCol w:w="2961"/>
        <w:gridCol w:w="2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8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序号</w:t>
            </w:r>
          </w:p>
        </w:tc>
        <w:tc>
          <w:tcPr>
            <w:tcW w:w="8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植物类型</w:t>
            </w:r>
          </w:p>
        </w:tc>
        <w:tc>
          <w:tcPr>
            <w:tcW w:w="15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名称</w:t>
            </w:r>
          </w:p>
        </w:tc>
        <w:tc>
          <w:tcPr>
            <w:tcW w:w="38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sz w:val="24"/>
              </w:rPr>
            </w:pPr>
            <w:r>
              <w:rPr>
                <w:rFonts w:eastAsia="仿宋"/>
                <w:sz w:val="24"/>
                <w:lang w:bidi="ar"/>
              </w:rPr>
              <w:t>拉丁学名</w:t>
            </w:r>
          </w:p>
        </w:tc>
        <w:tc>
          <w:tcPr>
            <w:tcW w:w="13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种植适宜水深（m）</w:t>
            </w:r>
          </w:p>
        </w:tc>
        <w:tc>
          <w:tcPr>
            <w:tcW w:w="296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生长特性</w:t>
            </w:r>
          </w:p>
        </w:tc>
        <w:tc>
          <w:tcPr>
            <w:tcW w:w="25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8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38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sz w:val="24"/>
              </w:rPr>
            </w:pP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296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25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w:t>
            </w:r>
          </w:p>
        </w:tc>
        <w:tc>
          <w:tcPr>
            <w:tcW w:w="8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挺水植物</w:t>
            </w: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芦苇</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Ph.australis</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0-0.5</w:t>
            </w:r>
          </w:p>
          <w:p>
            <w:pPr>
              <w:rPr>
                <w:rFonts w:ascii="仿宋" w:hAnsi="仿宋" w:eastAsia="仿宋" w:cs="仿宋"/>
                <w:sz w:val="24"/>
              </w:rPr>
            </w:pP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栽种季节：3 -9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6"/>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香蒲</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Typhaorientalis</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0-0.5</w:t>
            </w:r>
          </w:p>
          <w:p>
            <w:pPr>
              <w:rPr>
                <w:rFonts w:ascii="仿宋" w:hAnsi="仿宋" w:eastAsia="仿宋" w:cs="仿宋"/>
                <w:sz w:val="24"/>
              </w:rPr>
            </w:pP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栽种季节：3 -12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
                          <pic:cNvPicPr>
                            <a:picLocks noChangeAspect="1"/>
                          </pic:cNvPicPr>
                        </pic:nvPicPr>
                        <pic:blipFill>
                          <a:blip r:embed="rId7"/>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3</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菖蒲</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Acorus calamus L.</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0.1-0.2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栽种季节：3 -10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895350"/>
                  <wp:effectExtent l="0" t="0" r="0" b="6350"/>
                  <wp:docPr id="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
                          <pic:cNvPicPr>
                            <a:picLocks noChangeAspect="1"/>
                          </pic:cNvPicPr>
                        </pic:nvPicPr>
                        <pic:blipFill>
                          <a:blip r:embed="rId8"/>
                          <a:srcRect b="9694"/>
                          <a:stretch>
                            <a:fillRect/>
                          </a:stretch>
                        </pic:blipFill>
                        <pic:spPr>
                          <a:xfrm>
                            <a:off x="0" y="0"/>
                            <a:ext cx="1346200" cy="8953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4</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水葱</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Scirpus validus Vahl</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0-0.5</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栽种季节：3 -12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39850" cy="895350"/>
                  <wp:effectExtent l="0" t="0" r="6350" b="6350"/>
                  <wp:docPr id="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pic:cNvPicPr>
                            <a:picLocks noChangeAspect="1"/>
                          </pic:cNvPicPr>
                        </pic:nvPicPr>
                        <pic:blipFill>
                          <a:blip r:embed="rId9"/>
                          <a:stretch>
                            <a:fillRect/>
                          </a:stretch>
                        </pic:blipFill>
                        <pic:spPr>
                          <a:xfrm>
                            <a:off x="0" y="0"/>
                            <a:ext cx="1339850" cy="8953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5</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再力花</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Thalia dealbata Fraser</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0.1-0.5</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栽种季节：3 -12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
                          <pic:cNvPicPr>
                            <a:picLocks noChangeAspect="1"/>
                          </pic:cNvPicPr>
                        </pic:nvPicPr>
                        <pic:blipFill>
                          <a:blip r:embed="rId10"/>
                          <a:srcRect t="7001"/>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6</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千屈菜</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Lythrum salicaria L.</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0-0.5</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栽种季节：3 -10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27150" cy="895350"/>
                  <wp:effectExtent l="0" t="0" r="6350" b="6350"/>
                  <wp:docPr id="4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
                          <pic:cNvPicPr>
                            <a:picLocks noChangeAspect="1"/>
                          </pic:cNvPicPr>
                        </pic:nvPicPr>
                        <pic:blipFill>
                          <a:blip r:embed="rId11"/>
                          <a:srcRect b="8994"/>
                          <a:stretch>
                            <a:fillRect/>
                          </a:stretch>
                        </pic:blipFill>
                        <pic:spPr>
                          <a:xfrm>
                            <a:off x="0" y="0"/>
                            <a:ext cx="1327150" cy="8953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bookmarkStart w:id="1" w:name="_Hlk187759922"/>
            <w:r>
              <w:rPr>
                <w:rFonts w:hint="eastAsia" w:ascii="仿宋" w:hAnsi="仿宋" w:eastAsia="仿宋" w:cs="仿宋"/>
                <w:sz w:val="24"/>
              </w:rPr>
              <w:t>7</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t>鸢尾</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rPr>
              <w:t>Iris tectorum Maxim.</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t>0-0.2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生长季节：全年</w:t>
            </w:r>
          </w:p>
          <w:p>
            <w:pPr>
              <w:rPr>
                <w:rFonts w:ascii="仿宋" w:hAnsi="仿宋" w:eastAsia="仿宋" w:cs="仿宋"/>
                <w:sz w:val="24"/>
              </w:rPr>
            </w:pPr>
            <w:r>
              <w:rPr>
                <w:rFonts w:hint="eastAsia" w:ascii="仿宋" w:hAnsi="仿宋" w:eastAsia="仿宋" w:cs="仿宋"/>
                <w:sz w:val="24"/>
              </w:rPr>
              <w:t>栽种季节：全年</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20800" cy="901700"/>
                  <wp:effectExtent l="0" t="0" r="0" b="0"/>
                  <wp:docPr id="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
                          <pic:cNvPicPr>
                            <a:picLocks noChangeAspect="1"/>
                          </pic:cNvPicPr>
                        </pic:nvPicPr>
                        <pic:blipFill>
                          <a:blip r:embed="rId12"/>
                          <a:srcRect t="7700"/>
                          <a:stretch>
                            <a:fillRect/>
                          </a:stretch>
                        </pic:blipFill>
                        <pic:spPr>
                          <a:xfrm>
                            <a:off x="0" y="0"/>
                            <a:ext cx="1320800" cy="901700"/>
                          </a:xfrm>
                          <a:prstGeom prst="rect">
                            <a:avLst/>
                          </a:prstGeom>
                          <a:noFill/>
                          <a:ln>
                            <a:noFill/>
                          </a:ln>
                        </pic:spPr>
                      </pic:pic>
                    </a:graphicData>
                  </a:graphic>
                </wp:inline>
              </w:drawing>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8</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美人蕉</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Canna indica L.</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栽种季节：3 -9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8"/>
                          <pic:cNvPicPr>
                            <a:picLocks noChangeAspect="1"/>
                          </pic:cNvPicPr>
                        </pic:nvPicPr>
                        <pic:blipFill>
                          <a:blip r:embed="rId13"/>
                          <a:srcRect t="5600" r="11057" b="5846"/>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9</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荷花</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Nelumbo nucifera</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0.1-1</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生长季节：2 -10 月</w:t>
            </w:r>
          </w:p>
          <w:p>
            <w:pPr>
              <w:rPr>
                <w:rFonts w:ascii="仿宋" w:hAnsi="仿宋" w:eastAsia="仿宋" w:cs="仿宋"/>
                <w:sz w:val="24"/>
              </w:rPr>
            </w:pPr>
            <w:r>
              <w:rPr>
                <w:rFonts w:hint="eastAsia" w:ascii="仿宋" w:hAnsi="仿宋" w:eastAsia="仿宋" w:cs="仿宋"/>
                <w:sz w:val="24"/>
                <w:lang w:bidi="ar"/>
              </w:rPr>
              <w:t>栽种季节：3 -8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895350"/>
                  <wp:effectExtent l="0" t="0" r="0" b="6350"/>
                  <wp:docPr id="6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9"/>
                          <pic:cNvPicPr>
                            <a:picLocks noChangeAspect="1"/>
                          </pic:cNvPicPr>
                        </pic:nvPicPr>
                        <pic:blipFill>
                          <a:blip r:embed="rId14"/>
                          <a:stretch>
                            <a:fillRect/>
                          </a:stretch>
                        </pic:blipFill>
                        <pic:spPr>
                          <a:xfrm>
                            <a:off x="0" y="0"/>
                            <a:ext cx="1346200" cy="8953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10</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旱伞草</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Cyperus involucratus Rottboll</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栽种季节：3 -12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7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0"/>
                          <pic:cNvPicPr>
                            <a:picLocks noChangeAspect="1"/>
                          </pic:cNvPicPr>
                        </pic:nvPicPr>
                        <pic:blipFill>
                          <a:blip r:embed="rId15"/>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11</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黄菖蒲</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Iris pseudacorus L.</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栽种季节：3 -10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52550" cy="901700"/>
                  <wp:effectExtent l="0" t="0" r="6350" b="0"/>
                  <wp:docPr id="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1"/>
                          <pic:cNvPicPr>
                            <a:picLocks noChangeAspect="1"/>
                          </pic:cNvPicPr>
                        </pic:nvPicPr>
                        <pic:blipFill>
                          <a:blip r:embed="rId16"/>
                          <a:stretch>
                            <a:fillRect/>
                          </a:stretch>
                        </pic:blipFill>
                        <pic:spPr>
                          <a:xfrm>
                            <a:off x="0" y="0"/>
                            <a:ext cx="13525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12</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梭鱼草</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Pontederia cordata L.</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0.1-0.3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生长季节：2 -12 月</w:t>
            </w:r>
          </w:p>
          <w:p>
            <w:pPr>
              <w:rPr>
                <w:rFonts w:ascii="仿宋" w:hAnsi="仿宋" w:eastAsia="仿宋" w:cs="仿宋"/>
                <w:sz w:val="24"/>
              </w:rPr>
            </w:pPr>
            <w:r>
              <w:rPr>
                <w:rFonts w:hint="eastAsia" w:ascii="仿宋" w:hAnsi="仿宋" w:eastAsia="仿宋" w:cs="仿宋"/>
                <w:sz w:val="24"/>
                <w:lang w:bidi="ar"/>
              </w:rPr>
              <w:t>栽种季节：3 -10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52550" cy="901700"/>
                  <wp:effectExtent l="0" t="0" r="6350" b="0"/>
                  <wp:docPr id="5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2"/>
                          <pic:cNvPicPr>
                            <a:picLocks noChangeAspect="1"/>
                          </pic:cNvPicPr>
                        </pic:nvPicPr>
                        <pic:blipFill>
                          <a:blip r:embed="rId17"/>
                          <a:stretch>
                            <a:fillRect/>
                          </a:stretch>
                        </pic:blipFill>
                        <pic:spPr>
                          <a:xfrm>
                            <a:off x="0" y="0"/>
                            <a:ext cx="13525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13</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慈菇</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Sagittaria trifolia var.sinensis</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生长季节：2 -10 月</w:t>
            </w:r>
          </w:p>
          <w:p>
            <w:pPr>
              <w:rPr>
                <w:rFonts w:ascii="仿宋" w:hAnsi="仿宋" w:eastAsia="仿宋" w:cs="仿宋"/>
                <w:sz w:val="24"/>
              </w:rPr>
            </w:pPr>
            <w:r>
              <w:rPr>
                <w:rFonts w:hint="eastAsia" w:ascii="仿宋" w:hAnsi="仿宋" w:eastAsia="仿宋" w:cs="仿宋"/>
                <w:sz w:val="24"/>
                <w:lang w:bidi="ar"/>
              </w:rPr>
              <w:t>栽种季节：3 -8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33500" cy="901700"/>
                  <wp:effectExtent l="0" t="0" r="0" b="0"/>
                  <wp:docPr id="6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3"/>
                          <pic:cNvPicPr>
                            <a:picLocks noChangeAspect="1"/>
                          </pic:cNvPicPr>
                        </pic:nvPicPr>
                        <pic:blipFill>
                          <a:blip r:embed="rId18"/>
                          <a:srcRect t="9801" r="6670"/>
                          <a:stretch>
                            <a:fillRect/>
                          </a:stretch>
                        </pic:blipFill>
                        <pic:spPr>
                          <a:xfrm>
                            <a:off x="0" y="0"/>
                            <a:ext cx="13335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14</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花叶芦竹</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Arundo donax var. versicolor</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生长季节：3 -11 月</w:t>
            </w:r>
          </w:p>
          <w:p>
            <w:pPr>
              <w:rPr>
                <w:rFonts w:ascii="仿宋" w:hAnsi="仿宋" w:eastAsia="仿宋" w:cs="仿宋"/>
                <w:sz w:val="24"/>
              </w:rPr>
            </w:pPr>
            <w:r>
              <w:rPr>
                <w:rFonts w:hint="eastAsia" w:ascii="仿宋" w:hAnsi="仿宋" w:eastAsia="仿宋" w:cs="仿宋"/>
                <w:sz w:val="24"/>
                <w:lang w:bidi="ar"/>
              </w:rPr>
              <w:t>栽种季节：3 -8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51" name="图片 86" descr="u=1541392029,3076836405&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86" descr="u=1541392029,3076836405&amp;fm=21&amp;gp=0"/>
                          <pic:cNvPicPr>
                            <a:picLocks noChangeAspect="1"/>
                          </pic:cNvPicPr>
                        </pic:nvPicPr>
                        <pic:blipFill>
                          <a:blip r:embed="rId19"/>
                          <a:srcRect b="6894"/>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15</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泽泻</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Alisma plantago-aquatica</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0-0.3</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生长季节：6 -12月</w:t>
            </w:r>
          </w:p>
          <w:p>
            <w:pPr>
              <w:rPr>
                <w:rFonts w:ascii="仿宋" w:hAnsi="仿宋" w:eastAsia="仿宋" w:cs="仿宋"/>
                <w:sz w:val="24"/>
              </w:rPr>
            </w:pPr>
            <w:r>
              <w:rPr>
                <w:rFonts w:hint="eastAsia" w:ascii="仿宋" w:hAnsi="仿宋" w:eastAsia="仿宋" w:cs="仿宋"/>
                <w:sz w:val="24"/>
                <w:lang w:bidi="ar"/>
              </w:rPr>
              <w:t>栽种季节：6 -8月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77950" cy="901700"/>
                  <wp:effectExtent l="0" t="0" r="6350" b="0"/>
                  <wp:docPr id="56" name="图片 131" descr="u=438918441,3231634894&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31" descr="u=438918441,3231634894&amp;fm=21&amp;gp=0"/>
                          <pic:cNvPicPr>
                            <a:picLocks noChangeAspect="1"/>
                          </pic:cNvPicPr>
                        </pic:nvPicPr>
                        <pic:blipFill>
                          <a:blip r:embed="rId20"/>
                          <a:srcRect t="12601"/>
                          <a:stretch>
                            <a:fillRect/>
                          </a:stretch>
                        </pic:blipFill>
                        <pic:spPr>
                          <a:xfrm>
                            <a:off x="0" y="0"/>
                            <a:ext cx="13779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16</w:t>
            </w:r>
          </w:p>
        </w:tc>
        <w:tc>
          <w:tcPr>
            <w:tcW w:w="8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沉水植物</w:t>
            </w: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矮生苦草</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Vallisneria natans(Lour.) Hara</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0.5-2.0</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生长季节：全年</w:t>
            </w:r>
          </w:p>
          <w:p>
            <w:pPr>
              <w:rPr>
                <w:rFonts w:ascii="仿宋" w:hAnsi="仿宋" w:eastAsia="仿宋" w:cs="仿宋"/>
                <w:sz w:val="24"/>
              </w:rPr>
            </w:pPr>
            <w:r>
              <w:rPr>
                <w:rFonts w:hint="eastAsia" w:ascii="仿宋" w:hAnsi="仿宋" w:eastAsia="仿宋" w:cs="仿宋"/>
                <w:sz w:val="24"/>
                <w:lang w:bidi="ar"/>
              </w:rPr>
              <w:t>栽种季节：全年</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52550" cy="901700"/>
                  <wp:effectExtent l="0" t="0" r="6350" b="0"/>
                  <wp:docPr id="7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6"/>
                          <pic:cNvPicPr>
                            <a:picLocks noChangeAspect="1"/>
                          </pic:cNvPicPr>
                        </pic:nvPicPr>
                        <pic:blipFill>
                          <a:blip r:embed="rId21"/>
                          <a:srcRect t="15244" b="9694"/>
                          <a:stretch>
                            <a:fillRect/>
                          </a:stretch>
                        </pic:blipFill>
                        <pic:spPr>
                          <a:xfrm>
                            <a:off x="0" y="0"/>
                            <a:ext cx="13525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17</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刺苦草</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ind w:left="240" w:hanging="240" w:hangingChars="100"/>
              <w:rPr>
                <w:rFonts w:eastAsia="仿宋"/>
                <w:i/>
                <w:sz w:val="24"/>
              </w:rPr>
            </w:pPr>
            <w:r>
              <w:rPr>
                <w:rFonts w:eastAsia="仿宋"/>
                <w:i/>
                <w:sz w:val="24"/>
                <w:lang w:bidi="ar"/>
              </w:rPr>
              <w:t>Vallisneria spinulosa</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0.5-2.0</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生长季节：3-11 月</w:t>
            </w:r>
          </w:p>
          <w:p>
            <w:pPr>
              <w:rPr>
                <w:rFonts w:ascii="仿宋" w:hAnsi="仿宋" w:eastAsia="仿宋" w:cs="仿宋"/>
                <w:sz w:val="24"/>
              </w:rPr>
            </w:pPr>
            <w:r>
              <w:rPr>
                <w:rFonts w:hint="eastAsia" w:ascii="仿宋" w:hAnsi="仿宋" w:eastAsia="仿宋" w:cs="仿宋"/>
                <w:sz w:val="24"/>
                <w:lang w:bidi="ar"/>
              </w:rPr>
              <w:t>栽种季节：3 -6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5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7"/>
                          <pic:cNvPicPr>
                            <a:picLocks noChangeAspect="1"/>
                          </pic:cNvPicPr>
                        </pic:nvPicPr>
                        <pic:blipFill>
                          <a:blip r:embed="rId22"/>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18</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黑藻</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Hydrilla verticillata</w:t>
            </w:r>
          </w:p>
          <w:p>
            <w:pPr>
              <w:rPr>
                <w:rFonts w:eastAsia="仿宋"/>
                <w:i/>
                <w:sz w:val="24"/>
              </w:rPr>
            </w:pP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0.5-2.0</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生长季节：4-10 月</w:t>
            </w:r>
          </w:p>
          <w:p>
            <w:pPr>
              <w:rPr>
                <w:rFonts w:ascii="仿宋" w:hAnsi="仿宋" w:eastAsia="仿宋" w:cs="仿宋"/>
                <w:sz w:val="24"/>
              </w:rPr>
            </w:pPr>
            <w:r>
              <w:rPr>
                <w:rFonts w:hint="eastAsia" w:ascii="仿宋" w:hAnsi="仿宋" w:eastAsia="仿宋" w:cs="仿宋"/>
                <w:sz w:val="24"/>
                <w:lang w:bidi="ar"/>
              </w:rPr>
              <w:t>栽种季节：4 -9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6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8"/>
                          <pic:cNvPicPr>
                            <a:picLocks noChangeAspect="1"/>
                          </pic:cNvPicPr>
                        </pic:nvPicPr>
                        <pic:blipFill>
                          <a:blip r:embed="rId23"/>
                          <a:srcRect t="9238"/>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19</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金鱼藻</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Ceratophyllum demersum L.</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0.5-1.5</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生长季节：4-10 月</w:t>
            </w:r>
          </w:p>
          <w:p>
            <w:pPr>
              <w:rPr>
                <w:rFonts w:ascii="仿宋" w:hAnsi="仿宋" w:eastAsia="仿宋" w:cs="仿宋"/>
                <w:sz w:val="24"/>
              </w:rPr>
            </w:pPr>
            <w:r>
              <w:rPr>
                <w:rFonts w:hint="eastAsia" w:ascii="仿宋" w:hAnsi="仿宋" w:eastAsia="仿宋" w:cs="仿宋"/>
                <w:sz w:val="24"/>
                <w:lang w:bidi="ar"/>
              </w:rPr>
              <w:t>栽种季节：4 -10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52550" cy="901700"/>
                  <wp:effectExtent l="0" t="0" r="6350" b="0"/>
                  <wp:docPr id="5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9"/>
                          <pic:cNvPicPr>
                            <a:picLocks noChangeAspect="1"/>
                          </pic:cNvPicPr>
                        </pic:nvPicPr>
                        <pic:blipFill>
                          <a:blip r:embed="rId24"/>
                          <a:srcRect t="11758"/>
                          <a:stretch>
                            <a:fillRect/>
                          </a:stretch>
                        </pic:blipFill>
                        <pic:spPr>
                          <a:xfrm>
                            <a:off x="0" y="0"/>
                            <a:ext cx="13525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20</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马来眼子菜</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Potamogeton wrightii</w:t>
            </w:r>
          </w:p>
          <w:p>
            <w:pPr>
              <w:rPr>
                <w:rFonts w:eastAsia="仿宋"/>
                <w:i/>
                <w:sz w:val="24"/>
              </w:rPr>
            </w:pPr>
            <w:r>
              <w:rPr>
                <w:rFonts w:eastAsia="仿宋"/>
                <w:i/>
                <w:sz w:val="24"/>
                <w:lang w:bidi="ar"/>
              </w:rPr>
              <w:t>Morong</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0.3-2.5</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生长季节：全年</w:t>
            </w:r>
          </w:p>
          <w:p>
            <w:pPr>
              <w:rPr>
                <w:rFonts w:ascii="仿宋" w:hAnsi="仿宋" w:eastAsia="仿宋" w:cs="仿宋"/>
                <w:sz w:val="24"/>
              </w:rPr>
            </w:pPr>
            <w:r>
              <w:rPr>
                <w:rFonts w:hint="eastAsia" w:ascii="仿宋" w:hAnsi="仿宋" w:eastAsia="仿宋" w:cs="仿宋"/>
                <w:sz w:val="24"/>
                <w:lang w:bidi="ar"/>
              </w:rPr>
              <w:t>栽种季节：3 -12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6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0"/>
                          <pic:cNvPicPr>
                            <a:picLocks noChangeAspect="1"/>
                          </pic:cNvPicPr>
                        </pic:nvPicPr>
                        <pic:blipFill>
                          <a:blip r:embed="rId25"/>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21</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微齿眼子菜</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Potamogeton maackianus A. Bennett</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1-2.5</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生长季节：全年</w:t>
            </w:r>
          </w:p>
          <w:p>
            <w:pPr>
              <w:rPr>
                <w:rFonts w:ascii="仿宋" w:hAnsi="仿宋" w:eastAsia="仿宋" w:cs="仿宋"/>
                <w:sz w:val="24"/>
              </w:rPr>
            </w:pPr>
            <w:r>
              <w:rPr>
                <w:rFonts w:hint="eastAsia" w:ascii="仿宋" w:hAnsi="仿宋" w:eastAsia="仿宋" w:cs="仿宋"/>
                <w:sz w:val="24"/>
                <w:lang w:bidi="ar"/>
              </w:rPr>
              <w:t>栽种季节：3 -12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46200" cy="901700"/>
                  <wp:effectExtent l="0" t="0" r="0" b="0"/>
                  <wp:docPr id="6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1"/>
                          <pic:cNvPicPr>
                            <a:picLocks noChangeAspect="1"/>
                          </pic:cNvPicPr>
                        </pic:nvPicPr>
                        <pic:blipFill>
                          <a:blip r:embed="rId26"/>
                          <a:stretch>
                            <a:fillRect/>
                          </a:stretch>
                        </pic:blipFill>
                        <pic:spPr>
                          <a:xfrm>
                            <a:off x="0" y="0"/>
                            <a:ext cx="13462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22</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菹草</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Potamogeton crispus L.</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0.5-2.0</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生长季节：12-5 月</w:t>
            </w:r>
          </w:p>
          <w:p>
            <w:pPr>
              <w:rPr>
                <w:rFonts w:ascii="仿宋" w:hAnsi="仿宋" w:eastAsia="仿宋" w:cs="仿宋"/>
                <w:sz w:val="24"/>
              </w:rPr>
            </w:pPr>
            <w:r>
              <w:rPr>
                <w:rFonts w:hint="eastAsia" w:ascii="仿宋" w:hAnsi="仿宋" w:eastAsia="仿宋" w:cs="仿宋"/>
                <w:sz w:val="24"/>
                <w:lang w:bidi="ar"/>
              </w:rPr>
              <w:t>栽种季节：3 -6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39850" cy="901700"/>
                  <wp:effectExtent l="0" t="0" r="6350" b="0"/>
                  <wp:docPr id="6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3"/>
                          <pic:cNvPicPr>
                            <a:picLocks noChangeAspect="1"/>
                          </pic:cNvPicPr>
                        </pic:nvPicPr>
                        <pic:blipFill>
                          <a:blip r:embed="rId27"/>
                          <a:srcRect t="14278" b="11562"/>
                          <a:stretch>
                            <a:fillRect/>
                          </a:stretch>
                        </pic:blipFill>
                        <pic:spPr>
                          <a:xfrm>
                            <a:off x="0" y="0"/>
                            <a:ext cx="13398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23</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穗状狐尾藻</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Myriophyllum spicatum</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0.5-2.0</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生长季节：4-11月</w:t>
            </w:r>
          </w:p>
          <w:p>
            <w:pPr>
              <w:rPr>
                <w:rFonts w:ascii="仿宋" w:hAnsi="仿宋" w:eastAsia="仿宋" w:cs="仿宋"/>
                <w:sz w:val="24"/>
              </w:rPr>
            </w:pPr>
            <w:r>
              <w:rPr>
                <w:rFonts w:hint="eastAsia" w:ascii="仿宋" w:hAnsi="仿宋" w:eastAsia="仿宋" w:cs="仿宋"/>
                <w:sz w:val="24"/>
                <w:lang w:bidi="ar"/>
              </w:rPr>
              <w:t>栽种季节：4 -8月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27150" cy="901700"/>
                  <wp:effectExtent l="0" t="0" r="6350" b="0"/>
                  <wp:docPr id="66" name="图片 25" descr="2271c727c6b965069e4968d66432cc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5" descr="2271c727c6b965069e4968d66432cc78"/>
                          <pic:cNvPicPr>
                            <a:picLocks noChangeAspect="1"/>
                          </pic:cNvPicPr>
                        </pic:nvPicPr>
                        <pic:blipFill>
                          <a:blip r:embed="rId28"/>
                          <a:srcRect t="12068" b="20197"/>
                          <a:stretch>
                            <a:fillRect/>
                          </a:stretch>
                        </pic:blipFill>
                        <pic:spPr>
                          <a:xfrm>
                            <a:off x="0" y="0"/>
                            <a:ext cx="13271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24</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大茨藻</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Najas marina</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0.5-2.0</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生长季节：4-10 月</w:t>
            </w:r>
          </w:p>
          <w:p>
            <w:pPr>
              <w:rPr>
                <w:rFonts w:ascii="仿宋" w:hAnsi="仿宋" w:eastAsia="仿宋" w:cs="仿宋"/>
                <w:sz w:val="24"/>
              </w:rPr>
            </w:pPr>
            <w:r>
              <w:rPr>
                <w:rFonts w:hint="eastAsia" w:ascii="仿宋" w:hAnsi="仿宋" w:eastAsia="仿宋" w:cs="仿宋"/>
                <w:sz w:val="24"/>
                <w:lang w:bidi="ar"/>
              </w:rPr>
              <w:t>栽种季节：4- -5月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33500" cy="901700"/>
                  <wp:effectExtent l="0" t="0" r="0" b="0"/>
                  <wp:docPr id="64" name="图片 2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4" descr="图片"/>
                          <pic:cNvPicPr>
                            <a:picLocks noChangeAspect="1"/>
                          </pic:cNvPicPr>
                        </pic:nvPicPr>
                        <pic:blipFill>
                          <a:blip r:embed="rId29"/>
                          <a:srcRect t="10918"/>
                          <a:stretch>
                            <a:fillRect/>
                          </a:stretch>
                        </pic:blipFill>
                        <pic:spPr>
                          <a:xfrm>
                            <a:off x="0" y="0"/>
                            <a:ext cx="133350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25</w:t>
            </w:r>
          </w:p>
        </w:tc>
        <w:tc>
          <w:tcPr>
            <w:tcW w:w="8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浮叶植物</w:t>
            </w: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睡莲</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Nymphaea tetragona Georgi</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0.3-0.8</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生长季节：3~11 月</w:t>
            </w:r>
          </w:p>
          <w:p>
            <w:pPr>
              <w:rPr>
                <w:rFonts w:ascii="仿宋" w:hAnsi="仿宋" w:eastAsia="仿宋" w:cs="仿宋"/>
                <w:sz w:val="24"/>
              </w:rPr>
            </w:pPr>
            <w:r>
              <w:rPr>
                <w:rFonts w:hint="eastAsia" w:ascii="仿宋" w:hAnsi="仿宋" w:eastAsia="仿宋" w:cs="仿宋"/>
                <w:sz w:val="24"/>
                <w:lang w:bidi="ar"/>
              </w:rPr>
              <w:t>栽种季节：2 -10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52550" cy="901700"/>
                  <wp:effectExtent l="0" t="0" r="6350" b="0"/>
                  <wp:docPr id="5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6"/>
                          <pic:cNvPicPr>
                            <a:picLocks noChangeAspect="1"/>
                          </pic:cNvPicPr>
                        </pic:nvPicPr>
                        <pic:blipFill>
                          <a:blip r:embed="rId30"/>
                          <a:stretch>
                            <a:fillRect/>
                          </a:stretch>
                        </pic:blipFill>
                        <pic:spPr>
                          <a:xfrm>
                            <a:off x="0" y="0"/>
                            <a:ext cx="13525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26</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荇菜</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Nymphoides peltatum(Gmel.)O.Kuntze</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0.2-2.0</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生长季节：3~11 月</w:t>
            </w:r>
          </w:p>
          <w:p>
            <w:pPr>
              <w:rPr>
                <w:rFonts w:ascii="仿宋" w:hAnsi="仿宋" w:eastAsia="仿宋" w:cs="仿宋"/>
                <w:sz w:val="24"/>
              </w:rPr>
            </w:pPr>
            <w:r>
              <w:rPr>
                <w:rFonts w:hint="eastAsia" w:ascii="仿宋" w:hAnsi="仿宋" w:eastAsia="仿宋" w:cs="仿宋"/>
                <w:sz w:val="24"/>
                <w:lang w:bidi="ar"/>
              </w:rPr>
              <w:t>栽种季节：3 -10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52550" cy="901700"/>
                  <wp:effectExtent l="0" t="0" r="6350" b="0"/>
                  <wp:docPr id="6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7"/>
                          <pic:cNvPicPr>
                            <a:picLocks noChangeAspect="1"/>
                          </pic:cNvPicPr>
                        </pic:nvPicPr>
                        <pic:blipFill>
                          <a:blip r:embed="rId31"/>
                          <a:srcRect t="10539"/>
                          <a:stretch>
                            <a:fillRect/>
                          </a:stretch>
                        </pic:blipFill>
                        <pic:spPr>
                          <a:xfrm>
                            <a:off x="0" y="0"/>
                            <a:ext cx="13525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27</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芡</w:t>
            </w:r>
          </w:p>
          <w:p>
            <w:pPr>
              <w:rPr>
                <w:rFonts w:ascii="仿宋" w:hAnsi="仿宋" w:eastAsia="仿宋" w:cs="仿宋"/>
                <w:sz w:val="24"/>
              </w:rPr>
            </w:pPr>
            <w:r>
              <w:rPr>
                <w:rFonts w:hint="eastAsia" w:ascii="仿宋" w:hAnsi="仿宋" w:eastAsia="仿宋" w:cs="仿宋"/>
                <w:sz w:val="24"/>
                <w:lang w:bidi="ar"/>
              </w:rPr>
              <w:t>实</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Euryale ferox Salisb.ex Konig et Sims</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0.3-1.2</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生长季节：5~10 月</w:t>
            </w:r>
          </w:p>
          <w:p>
            <w:pPr>
              <w:rPr>
                <w:rFonts w:ascii="仿宋" w:hAnsi="仿宋" w:eastAsia="仿宋" w:cs="仿宋"/>
                <w:sz w:val="24"/>
              </w:rPr>
            </w:pPr>
            <w:r>
              <w:rPr>
                <w:rFonts w:hint="eastAsia" w:ascii="仿宋" w:hAnsi="仿宋" w:eastAsia="仿宋" w:cs="仿宋"/>
                <w:sz w:val="24"/>
                <w:lang w:bidi="ar"/>
              </w:rPr>
              <w:t>栽种季节：5 -8 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52550" cy="901700"/>
                  <wp:effectExtent l="0" t="0" r="6350" b="0"/>
                  <wp:docPr id="7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8"/>
                          <pic:cNvPicPr>
                            <a:picLocks noChangeAspect="1"/>
                          </pic:cNvPicPr>
                        </pic:nvPicPr>
                        <pic:blipFill>
                          <a:blip r:embed="rId32"/>
                          <a:srcRect t="19989"/>
                          <a:stretch>
                            <a:fillRect/>
                          </a:stretch>
                        </pic:blipFill>
                        <pic:spPr>
                          <a:xfrm>
                            <a:off x="0" y="0"/>
                            <a:ext cx="1352550" cy="9017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28</w:t>
            </w:r>
          </w:p>
        </w:tc>
        <w:tc>
          <w:tcPr>
            <w:tcW w:w="8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p>
        </w:tc>
        <w:tc>
          <w:tcPr>
            <w:tcW w:w="1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菱</w:t>
            </w:r>
          </w:p>
        </w:tc>
        <w:tc>
          <w:tcPr>
            <w:tcW w:w="38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eastAsia="仿宋"/>
                <w:i/>
                <w:sz w:val="24"/>
              </w:rPr>
            </w:pPr>
            <w:r>
              <w:rPr>
                <w:rFonts w:eastAsia="仿宋"/>
                <w:i/>
                <w:sz w:val="24"/>
                <w:lang w:bidi="ar"/>
              </w:rPr>
              <w:t>Trapa bispinosa</w:t>
            </w:r>
          </w:p>
        </w:tc>
        <w:tc>
          <w:tcPr>
            <w:tcW w:w="1393"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0.5-1.5</w:t>
            </w:r>
          </w:p>
        </w:tc>
        <w:tc>
          <w:tcPr>
            <w:tcW w:w="296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lang w:bidi="ar"/>
              </w:rPr>
              <w:t>生长季节：5~10 月</w:t>
            </w:r>
          </w:p>
          <w:p>
            <w:pPr>
              <w:rPr>
                <w:rFonts w:ascii="仿宋" w:hAnsi="仿宋" w:eastAsia="仿宋" w:cs="仿宋"/>
                <w:sz w:val="24"/>
              </w:rPr>
            </w:pPr>
            <w:r>
              <w:rPr>
                <w:rFonts w:hint="eastAsia" w:ascii="仿宋" w:hAnsi="仿宋" w:eastAsia="仿宋" w:cs="仿宋"/>
                <w:sz w:val="24"/>
                <w:lang w:bidi="ar"/>
              </w:rPr>
              <w:t>栽种季节：3 -5月</w:t>
            </w:r>
          </w:p>
        </w:tc>
        <w:tc>
          <w:tcPr>
            <w:tcW w:w="254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 w:hAnsi="仿宋" w:eastAsia="仿宋" w:cs="仿宋"/>
                <w:sz w:val="24"/>
              </w:rPr>
            </w:pPr>
            <w:r>
              <w:rPr>
                <w:rFonts w:hint="eastAsia" w:ascii="仿宋" w:hAnsi="仿宋" w:eastAsia="仿宋" w:cs="仿宋"/>
                <w:sz w:val="24"/>
              </w:rPr>
              <w:drawing>
                <wp:inline distT="0" distB="0" distL="114300" distR="114300">
                  <wp:extent cx="1352550" cy="901700"/>
                  <wp:effectExtent l="0" t="0" r="6350" b="0"/>
                  <wp:docPr id="7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9"/>
                          <pic:cNvPicPr>
                            <a:picLocks noChangeAspect="1"/>
                          </pic:cNvPicPr>
                        </pic:nvPicPr>
                        <pic:blipFill>
                          <a:blip r:embed="rId33"/>
                          <a:stretch>
                            <a:fillRect/>
                          </a:stretch>
                        </pic:blipFill>
                        <pic:spPr>
                          <a:xfrm>
                            <a:off x="0" y="0"/>
                            <a:ext cx="1352550" cy="901700"/>
                          </a:xfrm>
                          <a:prstGeom prst="rect">
                            <a:avLst/>
                          </a:prstGeom>
                          <a:noFill/>
                          <a:ln>
                            <a:noFill/>
                          </a:ln>
                        </pic:spPr>
                      </pic:pic>
                    </a:graphicData>
                  </a:graphic>
                </wp:inline>
              </w:drawing>
            </w:r>
          </w:p>
        </w:tc>
      </w:tr>
    </w:tbl>
    <w:p/>
    <w:sectPr>
      <w:pgSz w:w="16839" w:h="11907" w:orient="landscape"/>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649E14A-92BC-45D3-9EE1-D4C43D7E79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2" w:fontKey="{E4075E61-15E0-46CE-9FC7-E439AC963821}"/>
  </w:font>
  <w:font w:name="Verdana">
    <w:panose1 w:val="020B0604030504040204"/>
    <w:charset w:val="00"/>
    <w:family w:val="swiss"/>
    <w:pitch w:val="default"/>
    <w:sig w:usb0="A00006FF" w:usb1="4000205B" w:usb2="00000010" w:usb3="00000000" w:csb0="2000019F" w:csb1="00000000"/>
  </w:font>
  <w:font w:name="方正仿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FEE802E6-FF81-4DAD-A279-F851103591C2}"/>
  </w:font>
  <w:font w:name="方正小标宋简体">
    <w:panose1 w:val="03000509000000000000"/>
    <w:charset w:val="86"/>
    <w:family w:val="script"/>
    <w:pitch w:val="default"/>
    <w:sig w:usb0="00000001" w:usb1="080E0000" w:usb2="00000000" w:usb3="00000000" w:csb0="00040000" w:csb1="00000000"/>
    <w:embedRegular r:id="rId4" w:fontKey="{7103CD6A-F03F-4BEC-9608-6898AD6999C0}"/>
  </w:font>
  <w:font w:name="楷体_GB2312">
    <w:panose1 w:val="02010609030101010101"/>
    <w:charset w:val="86"/>
    <w:family w:val="modern"/>
    <w:pitch w:val="default"/>
    <w:sig w:usb0="00000001" w:usb1="080E0000" w:usb2="00000000" w:usb3="00000000" w:csb0="00040000" w:csb1="00000000"/>
    <w:embedRegular r:id="rId5" w:fontKey="{8AE74669-6695-4824-B9D9-DAEAFAD16556}"/>
  </w:font>
  <w:font w:name="方正仿宋_GB2312">
    <w:altName w:val="仿宋"/>
    <w:panose1 w:val="00000000000000000000"/>
    <w:charset w:val="86"/>
    <w:family w:val="auto"/>
    <w:pitch w:val="default"/>
    <w:sig w:usb0="00000000" w:usb1="00000000" w:usb2="00000012" w:usb3="00000000" w:csb0="00040001" w:csb1="00000000"/>
    <w:embedRegular r:id="rId6" w:fontKey="{0B6DF03C-CAC4-4CD4-911E-028267FD75AD}"/>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14"/>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ACCD59"/>
    <w:multiLevelType w:val="singleLevel"/>
    <w:tmpl w:val="9AACCD59"/>
    <w:lvl w:ilvl="0" w:tentative="0">
      <w:start w:val="2"/>
      <w:numFmt w:val="decimal"/>
      <w:suff w:val="space"/>
      <w:lvlText w:val="%1."/>
      <w:lvlJc w:val="left"/>
      <w:rPr>
        <w:rFonts w:hint="default"/>
        <w:b/>
        <w:bCs/>
      </w:rPr>
    </w:lvl>
  </w:abstractNum>
  <w:abstractNum w:abstractNumId="1">
    <w:nsid w:val="C80D7ED4"/>
    <w:multiLevelType w:val="singleLevel"/>
    <w:tmpl w:val="C80D7ED4"/>
    <w:lvl w:ilvl="0" w:tentative="0">
      <w:start w:val="1"/>
      <w:numFmt w:val="decimal"/>
      <w:suff w:val="space"/>
      <w:lvlText w:val="%1."/>
      <w:lvlJc w:val="left"/>
      <w:pPr>
        <w:ind w:left="-13"/>
      </w:pPr>
      <w:rPr>
        <w:rFonts w:hint="default"/>
        <w:b/>
        <w:bCs/>
      </w:rPr>
    </w:lvl>
  </w:abstractNum>
  <w:abstractNum w:abstractNumId="2">
    <w:nsid w:val="FFFFFF80"/>
    <w:multiLevelType w:val="singleLevel"/>
    <w:tmpl w:val="FFFFFF80"/>
    <w:lvl w:ilvl="0" w:tentative="0">
      <w:start w:val="1"/>
      <w:numFmt w:val="bullet"/>
      <w:pStyle w:val="52"/>
      <w:lvlText w:val=""/>
      <w:lvlJc w:val="left"/>
      <w:pPr>
        <w:tabs>
          <w:tab w:val="left" w:pos="2040"/>
        </w:tabs>
        <w:ind w:left="2040" w:hanging="360"/>
      </w:pPr>
      <w:rPr>
        <w:rFonts w:ascii="Wingdings" w:hAnsi="Wingdings"/>
      </w:rPr>
    </w:lvl>
  </w:abstractNum>
  <w:abstractNum w:abstractNumId="3">
    <w:nsid w:val="4B943BC9"/>
    <w:multiLevelType w:val="multilevel"/>
    <w:tmpl w:val="4B943BC9"/>
    <w:lvl w:ilvl="0" w:tentative="0">
      <w:start w:val="1"/>
      <w:numFmt w:val="decimal"/>
      <w:pStyle w:val="81"/>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780F00F8"/>
    <w:multiLevelType w:val="singleLevel"/>
    <w:tmpl w:val="780F00F8"/>
    <w:lvl w:ilvl="0" w:tentative="0">
      <w:start w:val="2"/>
      <w:numFmt w:val="decimal"/>
      <w:suff w:val="space"/>
      <w:lvlText w:val="%1."/>
      <w:lvlJc w:val="left"/>
      <w:pPr>
        <w:ind w:left="-13"/>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embedTrueTypeFonts/>
  <w:saveSubsetFonts/>
  <w:bordersDoNotSurroundHeader w:val="1"/>
  <w:bordersDoNotSurroundFooter w:val="1"/>
  <w:documentProtection w:enforcement="0"/>
  <w:defaultTabStop w:val="420"/>
  <w:noPunctuationKerning w:val="1"/>
  <w:characterSpacingControl w:val="doNotCompress"/>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yYmQ1NWVlNmMzOGYzYWRhNzE3N2U5OTUxYzg5OGQifQ=="/>
  </w:docVars>
  <w:rsids>
    <w:rsidRoot w:val="006A2990"/>
    <w:rsid w:val="00000408"/>
    <w:rsid w:val="00005B37"/>
    <w:rsid w:val="00006CB7"/>
    <w:rsid w:val="000510AC"/>
    <w:rsid w:val="000611D2"/>
    <w:rsid w:val="000716E8"/>
    <w:rsid w:val="000C4EA7"/>
    <w:rsid w:val="000D48AA"/>
    <w:rsid w:val="000D49E9"/>
    <w:rsid w:val="000D6943"/>
    <w:rsid w:val="000F4C54"/>
    <w:rsid w:val="00111EF3"/>
    <w:rsid w:val="001C1684"/>
    <w:rsid w:val="001C7516"/>
    <w:rsid w:val="002036C1"/>
    <w:rsid w:val="00217C50"/>
    <w:rsid w:val="002378FC"/>
    <w:rsid w:val="00245203"/>
    <w:rsid w:val="00251E78"/>
    <w:rsid w:val="00270774"/>
    <w:rsid w:val="00283494"/>
    <w:rsid w:val="00290B01"/>
    <w:rsid w:val="002A0D7F"/>
    <w:rsid w:val="002A1E0B"/>
    <w:rsid w:val="002A4858"/>
    <w:rsid w:val="002B57B8"/>
    <w:rsid w:val="002C38D1"/>
    <w:rsid w:val="002E25E7"/>
    <w:rsid w:val="002F1499"/>
    <w:rsid w:val="0030166A"/>
    <w:rsid w:val="003018C7"/>
    <w:rsid w:val="00322A3D"/>
    <w:rsid w:val="0032528A"/>
    <w:rsid w:val="00340FF1"/>
    <w:rsid w:val="003412C0"/>
    <w:rsid w:val="0034194E"/>
    <w:rsid w:val="00353CD9"/>
    <w:rsid w:val="003560E5"/>
    <w:rsid w:val="003763F3"/>
    <w:rsid w:val="003927F1"/>
    <w:rsid w:val="003B7FD6"/>
    <w:rsid w:val="00420E2E"/>
    <w:rsid w:val="00430CB3"/>
    <w:rsid w:val="00436A22"/>
    <w:rsid w:val="004375D7"/>
    <w:rsid w:val="004537D5"/>
    <w:rsid w:val="00461E3D"/>
    <w:rsid w:val="004703F4"/>
    <w:rsid w:val="0047234E"/>
    <w:rsid w:val="00475B93"/>
    <w:rsid w:val="004953BA"/>
    <w:rsid w:val="004977CD"/>
    <w:rsid w:val="00507423"/>
    <w:rsid w:val="0053190D"/>
    <w:rsid w:val="0055402C"/>
    <w:rsid w:val="00554924"/>
    <w:rsid w:val="0055739E"/>
    <w:rsid w:val="00577CBE"/>
    <w:rsid w:val="00582D04"/>
    <w:rsid w:val="005918BF"/>
    <w:rsid w:val="00593DE1"/>
    <w:rsid w:val="005C3D56"/>
    <w:rsid w:val="005E7AB8"/>
    <w:rsid w:val="005F58C4"/>
    <w:rsid w:val="006058DB"/>
    <w:rsid w:val="0062790B"/>
    <w:rsid w:val="00656D2F"/>
    <w:rsid w:val="00694DD0"/>
    <w:rsid w:val="006953EE"/>
    <w:rsid w:val="006A2990"/>
    <w:rsid w:val="006A6906"/>
    <w:rsid w:val="006A73B1"/>
    <w:rsid w:val="006B6202"/>
    <w:rsid w:val="006C4A91"/>
    <w:rsid w:val="006C4F2E"/>
    <w:rsid w:val="006C5CDD"/>
    <w:rsid w:val="00741F52"/>
    <w:rsid w:val="0075507D"/>
    <w:rsid w:val="00772E4A"/>
    <w:rsid w:val="0078770D"/>
    <w:rsid w:val="007C633B"/>
    <w:rsid w:val="007C7865"/>
    <w:rsid w:val="007E2743"/>
    <w:rsid w:val="007E34DA"/>
    <w:rsid w:val="007F15DF"/>
    <w:rsid w:val="00806087"/>
    <w:rsid w:val="00812C59"/>
    <w:rsid w:val="008257A4"/>
    <w:rsid w:val="0083531F"/>
    <w:rsid w:val="00845853"/>
    <w:rsid w:val="008552B7"/>
    <w:rsid w:val="00866330"/>
    <w:rsid w:val="0089044A"/>
    <w:rsid w:val="00891358"/>
    <w:rsid w:val="008A4064"/>
    <w:rsid w:val="008D6D74"/>
    <w:rsid w:val="008F72FF"/>
    <w:rsid w:val="009163E0"/>
    <w:rsid w:val="009378AD"/>
    <w:rsid w:val="009647BA"/>
    <w:rsid w:val="009727DC"/>
    <w:rsid w:val="00982BA8"/>
    <w:rsid w:val="009B3825"/>
    <w:rsid w:val="009D04C8"/>
    <w:rsid w:val="009D0F9A"/>
    <w:rsid w:val="00A0399B"/>
    <w:rsid w:val="00A13D98"/>
    <w:rsid w:val="00A171E0"/>
    <w:rsid w:val="00A62F5C"/>
    <w:rsid w:val="00A673A6"/>
    <w:rsid w:val="00A9068E"/>
    <w:rsid w:val="00AD3507"/>
    <w:rsid w:val="00AF11C6"/>
    <w:rsid w:val="00AF4EB1"/>
    <w:rsid w:val="00B34576"/>
    <w:rsid w:val="00B71C57"/>
    <w:rsid w:val="00B80DDA"/>
    <w:rsid w:val="00B95649"/>
    <w:rsid w:val="00B97529"/>
    <w:rsid w:val="00BC1783"/>
    <w:rsid w:val="00BC2201"/>
    <w:rsid w:val="00BD1A49"/>
    <w:rsid w:val="00BD25D6"/>
    <w:rsid w:val="00BD2CD0"/>
    <w:rsid w:val="00BE4642"/>
    <w:rsid w:val="00BF2AC7"/>
    <w:rsid w:val="00C21D73"/>
    <w:rsid w:val="00C331F8"/>
    <w:rsid w:val="00C4523D"/>
    <w:rsid w:val="00CC4A3C"/>
    <w:rsid w:val="00CE01FD"/>
    <w:rsid w:val="00CE4AC0"/>
    <w:rsid w:val="00CF778F"/>
    <w:rsid w:val="00D0333F"/>
    <w:rsid w:val="00D12DB3"/>
    <w:rsid w:val="00D21C81"/>
    <w:rsid w:val="00D23C49"/>
    <w:rsid w:val="00D25149"/>
    <w:rsid w:val="00D344A7"/>
    <w:rsid w:val="00D55DED"/>
    <w:rsid w:val="00D65F3A"/>
    <w:rsid w:val="00D951EE"/>
    <w:rsid w:val="00DB2944"/>
    <w:rsid w:val="00DB647B"/>
    <w:rsid w:val="00DC52D0"/>
    <w:rsid w:val="00DC5507"/>
    <w:rsid w:val="00DF3178"/>
    <w:rsid w:val="00E009C3"/>
    <w:rsid w:val="00E05E54"/>
    <w:rsid w:val="00E1211E"/>
    <w:rsid w:val="00E26BFA"/>
    <w:rsid w:val="00E41887"/>
    <w:rsid w:val="00E43767"/>
    <w:rsid w:val="00E57402"/>
    <w:rsid w:val="00E60D12"/>
    <w:rsid w:val="00E67DF0"/>
    <w:rsid w:val="00E74E91"/>
    <w:rsid w:val="00E90EDE"/>
    <w:rsid w:val="00E95171"/>
    <w:rsid w:val="00EA2F36"/>
    <w:rsid w:val="00EB5C0D"/>
    <w:rsid w:val="00ED1DF8"/>
    <w:rsid w:val="00ED2B20"/>
    <w:rsid w:val="00EF3B47"/>
    <w:rsid w:val="00F040F5"/>
    <w:rsid w:val="00F058DF"/>
    <w:rsid w:val="00F13011"/>
    <w:rsid w:val="00F21E59"/>
    <w:rsid w:val="00F27C84"/>
    <w:rsid w:val="00F323C2"/>
    <w:rsid w:val="00F33E6C"/>
    <w:rsid w:val="00FA5B1C"/>
    <w:rsid w:val="00FC3439"/>
    <w:rsid w:val="00FC7BA1"/>
    <w:rsid w:val="00FD45D0"/>
    <w:rsid w:val="00FF00DD"/>
    <w:rsid w:val="014F208D"/>
    <w:rsid w:val="0289123E"/>
    <w:rsid w:val="030B4F9F"/>
    <w:rsid w:val="036B678A"/>
    <w:rsid w:val="04EE2DEF"/>
    <w:rsid w:val="08C3786B"/>
    <w:rsid w:val="090E61F3"/>
    <w:rsid w:val="09CD0ED7"/>
    <w:rsid w:val="0AC0235E"/>
    <w:rsid w:val="0B196D87"/>
    <w:rsid w:val="0B732B9F"/>
    <w:rsid w:val="0E0E6039"/>
    <w:rsid w:val="0E942AC3"/>
    <w:rsid w:val="0FF17F33"/>
    <w:rsid w:val="103C0363"/>
    <w:rsid w:val="115347F9"/>
    <w:rsid w:val="11AA0589"/>
    <w:rsid w:val="123F687E"/>
    <w:rsid w:val="12BE1755"/>
    <w:rsid w:val="14273336"/>
    <w:rsid w:val="145419FC"/>
    <w:rsid w:val="14A04F01"/>
    <w:rsid w:val="14B85441"/>
    <w:rsid w:val="152511E3"/>
    <w:rsid w:val="157E2FEE"/>
    <w:rsid w:val="16CB21A7"/>
    <w:rsid w:val="16F45DF4"/>
    <w:rsid w:val="176C2C0D"/>
    <w:rsid w:val="17806670"/>
    <w:rsid w:val="18415DD6"/>
    <w:rsid w:val="185460B6"/>
    <w:rsid w:val="18845EA4"/>
    <w:rsid w:val="18E14063"/>
    <w:rsid w:val="18E3281C"/>
    <w:rsid w:val="19070D1C"/>
    <w:rsid w:val="19222CF8"/>
    <w:rsid w:val="19B65BCA"/>
    <w:rsid w:val="1A3E0669"/>
    <w:rsid w:val="1D3A10A5"/>
    <w:rsid w:val="1DA15E45"/>
    <w:rsid w:val="1DAD383F"/>
    <w:rsid w:val="1E295A2B"/>
    <w:rsid w:val="20BB159B"/>
    <w:rsid w:val="20BF785E"/>
    <w:rsid w:val="213C5F2C"/>
    <w:rsid w:val="227C7B23"/>
    <w:rsid w:val="23386299"/>
    <w:rsid w:val="250E3D23"/>
    <w:rsid w:val="2681627A"/>
    <w:rsid w:val="277E553A"/>
    <w:rsid w:val="2889295A"/>
    <w:rsid w:val="28F030E0"/>
    <w:rsid w:val="2938592D"/>
    <w:rsid w:val="299C5651"/>
    <w:rsid w:val="29E6288F"/>
    <w:rsid w:val="2A3F1647"/>
    <w:rsid w:val="2A880BB5"/>
    <w:rsid w:val="2AB123F0"/>
    <w:rsid w:val="2ADD44B2"/>
    <w:rsid w:val="2C0A3C81"/>
    <w:rsid w:val="2C3E21C6"/>
    <w:rsid w:val="2CA11BDC"/>
    <w:rsid w:val="2D386123"/>
    <w:rsid w:val="2D724A4F"/>
    <w:rsid w:val="2DF82B30"/>
    <w:rsid w:val="2E182ECA"/>
    <w:rsid w:val="2E9C415D"/>
    <w:rsid w:val="2FD7175C"/>
    <w:rsid w:val="307B0CC3"/>
    <w:rsid w:val="314948FC"/>
    <w:rsid w:val="31613A15"/>
    <w:rsid w:val="31FA5BC3"/>
    <w:rsid w:val="332373DC"/>
    <w:rsid w:val="333102DE"/>
    <w:rsid w:val="33990FE5"/>
    <w:rsid w:val="343F6F1C"/>
    <w:rsid w:val="34B216E3"/>
    <w:rsid w:val="353065CD"/>
    <w:rsid w:val="35C60E7E"/>
    <w:rsid w:val="35E01325"/>
    <w:rsid w:val="36ED04AD"/>
    <w:rsid w:val="37D71BE0"/>
    <w:rsid w:val="37EF79FF"/>
    <w:rsid w:val="38CF5BF5"/>
    <w:rsid w:val="39FA2F55"/>
    <w:rsid w:val="3B2207EE"/>
    <w:rsid w:val="3C065C06"/>
    <w:rsid w:val="3C5219B7"/>
    <w:rsid w:val="3C7B3647"/>
    <w:rsid w:val="3D702FDC"/>
    <w:rsid w:val="3EA12E2E"/>
    <w:rsid w:val="40550870"/>
    <w:rsid w:val="40C7505E"/>
    <w:rsid w:val="418922B7"/>
    <w:rsid w:val="429231A8"/>
    <w:rsid w:val="42AE0712"/>
    <w:rsid w:val="42FB06F2"/>
    <w:rsid w:val="439A45BB"/>
    <w:rsid w:val="43B32ADC"/>
    <w:rsid w:val="44D2491B"/>
    <w:rsid w:val="455D7024"/>
    <w:rsid w:val="462025C5"/>
    <w:rsid w:val="469A7F58"/>
    <w:rsid w:val="47554794"/>
    <w:rsid w:val="48152D58"/>
    <w:rsid w:val="4A8F4985"/>
    <w:rsid w:val="4C292191"/>
    <w:rsid w:val="4E072717"/>
    <w:rsid w:val="4F064814"/>
    <w:rsid w:val="4FE74CA4"/>
    <w:rsid w:val="50287D99"/>
    <w:rsid w:val="508330D6"/>
    <w:rsid w:val="522D3402"/>
    <w:rsid w:val="545B26CA"/>
    <w:rsid w:val="56A47BF6"/>
    <w:rsid w:val="56A6775C"/>
    <w:rsid w:val="57F77256"/>
    <w:rsid w:val="583A5152"/>
    <w:rsid w:val="584F51B1"/>
    <w:rsid w:val="59B03B1C"/>
    <w:rsid w:val="5A630510"/>
    <w:rsid w:val="5AB002F7"/>
    <w:rsid w:val="5ABA1D47"/>
    <w:rsid w:val="5CA542C2"/>
    <w:rsid w:val="5D614C4F"/>
    <w:rsid w:val="5DA15CA9"/>
    <w:rsid w:val="5EBE471D"/>
    <w:rsid w:val="5FCBE836"/>
    <w:rsid w:val="620637D7"/>
    <w:rsid w:val="62B36020"/>
    <w:rsid w:val="63C2046D"/>
    <w:rsid w:val="648149E7"/>
    <w:rsid w:val="654213C7"/>
    <w:rsid w:val="65952E15"/>
    <w:rsid w:val="66146205"/>
    <w:rsid w:val="66580A88"/>
    <w:rsid w:val="6A5E3107"/>
    <w:rsid w:val="6C7D92A6"/>
    <w:rsid w:val="6E543576"/>
    <w:rsid w:val="6FEFC121"/>
    <w:rsid w:val="71043609"/>
    <w:rsid w:val="72291E85"/>
    <w:rsid w:val="72ED918C"/>
    <w:rsid w:val="7325006A"/>
    <w:rsid w:val="73AE300B"/>
    <w:rsid w:val="73D17C39"/>
    <w:rsid w:val="75297D21"/>
    <w:rsid w:val="767B2DC7"/>
    <w:rsid w:val="76903014"/>
    <w:rsid w:val="77B1214C"/>
    <w:rsid w:val="77BD5B0B"/>
    <w:rsid w:val="77CE2D3F"/>
    <w:rsid w:val="77DD61C1"/>
    <w:rsid w:val="77F7B4B1"/>
    <w:rsid w:val="787224F5"/>
    <w:rsid w:val="79827AE7"/>
    <w:rsid w:val="7B844327"/>
    <w:rsid w:val="7B9C705E"/>
    <w:rsid w:val="7C016D32"/>
    <w:rsid w:val="7E0C3C8A"/>
    <w:rsid w:val="7E1944A9"/>
    <w:rsid w:val="7EA35E39"/>
    <w:rsid w:val="7EE14ADB"/>
    <w:rsid w:val="7F052E8D"/>
    <w:rsid w:val="7F7F09D6"/>
    <w:rsid w:val="7FDB01D3"/>
    <w:rsid w:val="7FF60A27"/>
    <w:rsid w:val="7FFC25E1"/>
    <w:rsid w:val="937FEA9F"/>
    <w:rsid w:val="FDEE61A8"/>
    <w:rsid w:val="FFFFD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4"/>
    <w:qFormat/>
    <w:uiPriority w:val="0"/>
    <w:pPr>
      <w:keepNext/>
      <w:keepLines/>
      <w:spacing w:before="340" w:after="330" w:line="576" w:lineRule="auto"/>
      <w:outlineLvl w:val="0"/>
    </w:pPr>
    <w:rPr>
      <w:rFonts w:ascii="Calibri" w:hAnsi="Calibri"/>
      <w:b/>
      <w:bCs/>
      <w:kern w:val="44"/>
      <w:sz w:val="44"/>
      <w:szCs w:val="44"/>
    </w:rPr>
  </w:style>
  <w:style w:type="paragraph" w:styleId="3">
    <w:name w:val="heading 2"/>
    <w:basedOn w:val="1"/>
    <w:next w:val="1"/>
    <w:link w:val="105"/>
    <w:semiHidden/>
    <w:unhideWhenUsed/>
    <w:qFormat/>
    <w:uiPriority w:val="99"/>
    <w:pPr>
      <w:keepNext/>
      <w:keepLines/>
      <w:spacing w:before="260" w:after="260" w:line="415" w:lineRule="auto"/>
      <w:outlineLvl w:val="1"/>
    </w:pPr>
    <w:rPr>
      <w:rFonts w:ascii="Cambria" w:hAnsi="Cambria" w:cs="宋体"/>
      <w:b/>
      <w:bCs/>
      <w:sz w:val="32"/>
      <w:szCs w:val="32"/>
    </w:rPr>
  </w:style>
  <w:style w:type="paragraph" w:styleId="4">
    <w:name w:val="heading 3"/>
    <w:basedOn w:val="1"/>
    <w:next w:val="1"/>
    <w:link w:val="106"/>
    <w:semiHidden/>
    <w:unhideWhenUsed/>
    <w:qFormat/>
    <w:uiPriority w:val="9"/>
    <w:pPr>
      <w:keepNext/>
      <w:keepLines/>
      <w:spacing w:before="260" w:after="260" w:line="415" w:lineRule="auto"/>
      <w:outlineLvl w:val="2"/>
    </w:pPr>
    <w:rPr>
      <w:rFonts w:ascii="Calibri" w:hAnsi="Calibri"/>
      <w:b/>
      <w:bCs/>
      <w:sz w:val="32"/>
      <w:szCs w:val="32"/>
    </w:rPr>
  </w:style>
  <w:style w:type="character" w:default="1" w:styleId="29">
    <w:name w:val="Default Paragraph Font"/>
    <w:semiHidden/>
    <w:unhideWhenUsed/>
    <w:uiPriority w:val="1"/>
  </w:style>
  <w:style w:type="table" w:default="1" w:styleId="27">
    <w:name w:val="Normal Table"/>
    <w:semiHidden/>
    <w:unhideWhenUsed/>
    <w:uiPriority w:val="99"/>
    <w:tblPr>
      <w:tblLayout w:type="fixed"/>
      <w:tblCellMar>
        <w:top w:w="0" w:type="dxa"/>
        <w:left w:w="108" w:type="dxa"/>
        <w:bottom w:w="0" w:type="dxa"/>
        <w:right w:w="108" w:type="dxa"/>
      </w:tblCellMar>
    </w:tblPr>
  </w:style>
  <w:style w:type="paragraph" w:styleId="5">
    <w:name w:val="toc 7"/>
    <w:basedOn w:val="1"/>
    <w:next w:val="1"/>
    <w:qFormat/>
    <w:uiPriority w:val="0"/>
    <w:pPr>
      <w:ind w:left="2520" w:leftChars="1200"/>
    </w:pPr>
    <w:rPr>
      <w:rFonts w:ascii="等线" w:hAnsi="等线" w:eastAsia="等线"/>
      <w:szCs w:val="22"/>
    </w:rPr>
  </w:style>
  <w:style w:type="paragraph" w:styleId="6">
    <w:name w:val="caption"/>
    <w:basedOn w:val="1"/>
    <w:next w:val="1"/>
    <w:semiHidden/>
    <w:unhideWhenUsed/>
    <w:qFormat/>
    <w:uiPriority w:val="0"/>
    <w:rPr>
      <w:rFonts w:ascii="Arial" w:hAnsi="Arial" w:eastAsia="黑体"/>
      <w:sz w:val="20"/>
    </w:rPr>
  </w:style>
  <w:style w:type="paragraph" w:styleId="7">
    <w:name w:val="annotation text"/>
    <w:basedOn w:val="1"/>
    <w:link w:val="90"/>
    <w:qFormat/>
    <w:uiPriority w:val="0"/>
    <w:pPr>
      <w:jc w:val="left"/>
    </w:pPr>
  </w:style>
  <w:style w:type="paragraph" w:styleId="8">
    <w:name w:val="Body Text"/>
    <w:basedOn w:val="1"/>
    <w:link w:val="97"/>
    <w:qFormat/>
    <w:uiPriority w:val="0"/>
    <w:pPr>
      <w:spacing w:after="120"/>
    </w:pPr>
  </w:style>
  <w:style w:type="paragraph" w:styleId="9">
    <w:name w:val="Body Text Indent"/>
    <w:basedOn w:val="1"/>
    <w:link w:val="94"/>
    <w:qFormat/>
    <w:uiPriority w:val="0"/>
    <w:pPr>
      <w:spacing w:after="120"/>
      <w:ind w:left="420" w:leftChars="200"/>
    </w:pPr>
  </w:style>
  <w:style w:type="paragraph" w:styleId="10">
    <w:name w:val="toc 5"/>
    <w:basedOn w:val="1"/>
    <w:next w:val="1"/>
    <w:qFormat/>
    <w:uiPriority w:val="0"/>
    <w:pPr>
      <w:ind w:left="1680" w:leftChars="800"/>
    </w:pPr>
    <w:rPr>
      <w:rFonts w:ascii="等线" w:hAnsi="等线" w:eastAsia="等线"/>
      <w:szCs w:val="22"/>
    </w:rPr>
  </w:style>
  <w:style w:type="paragraph" w:styleId="11">
    <w:name w:val="toc 3"/>
    <w:basedOn w:val="1"/>
    <w:next w:val="1"/>
    <w:qFormat/>
    <w:uiPriority w:val="0"/>
    <w:pPr>
      <w:tabs>
        <w:tab w:val="right" w:leader="dot" w:pos="8296"/>
      </w:tabs>
      <w:spacing w:line="360" w:lineRule="auto"/>
      <w:ind w:left="840" w:leftChars="400"/>
    </w:pPr>
  </w:style>
  <w:style w:type="paragraph" w:styleId="12">
    <w:name w:val="toc 8"/>
    <w:basedOn w:val="1"/>
    <w:next w:val="1"/>
    <w:qFormat/>
    <w:uiPriority w:val="0"/>
    <w:pPr>
      <w:ind w:left="2940" w:leftChars="1400"/>
    </w:pPr>
    <w:rPr>
      <w:rFonts w:ascii="等线" w:hAnsi="等线" w:eastAsia="等线"/>
      <w:szCs w:val="22"/>
    </w:rPr>
  </w:style>
  <w:style w:type="paragraph" w:styleId="13">
    <w:name w:val="Balloon Text"/>
    <w:basedOn w:val="1"/>
    <w:link w:val="89"/>
    <w:qFormat/>
    <w:uiPriority w:val="0"/>
    <w:rPr>
      <w:sz w:val="18"/>
      <w:szCs w:val="18"/>
    </w:rPr>
  </w:style>
  <w:style w:type="paragraph" w:styleId="14">
    <w:name w:val="footer"/>
    <w:basedOn w:val="1"/>
    <w:link w:val="88"/>
    <w:qFormat/>
    <w:uiPriority w:val="0"/>
    <w:pPr>
      <w:tabs>
        <w:tab w:val="center" w:pos="4153"/>
        <w:tab w:val="right" w:pos="8306"/>
      </w:tabs>
      <w:snapToGrid w:val="0"/>
      <w:jc w:val="left"/>
    </w:pPr>
    <w:rPr>
      <w:sz w:val="18"/>
      <w:szCs w:val="18"/>
    </w:rPr>
  </w:style>
  <w:style w:type="paragraph" w:styleId="15">
    <w:name w:val="header"/>
    <w:basedOn w:val="1"/>
    <w:link w:val="87"/>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tabs>
        <w:tab w:val="right" w:leader="dot" w:pos="8297"/>
      </w:tabs>
    </w:pPr>
    <w:rPr>
      <w:b/>
      <w:sz w:val="22"/>
    </w:rPr>
  </w:style>
  <w:style w:type="paragraph" w:styleId="17">
    <w:name w:val="toc 4"/>
    <w:basedOn w:val="1"/>
    <w:next w:val="1"/>
    <w:qFormat/>
    <w:uiPriority w:val="0"/>
    <w:pPr>
      <w:ind w:left="1260" w:leftChars="600"/>
    </w:pPr>
    <w:rPr>
      <w:rFonts w:ascii="等线" w:hAnsi="等线" w:eastAsia="等线"/>
      <w:szCs w:val="22"/>
    </w:rPr>
  </w:style>
  <w:style w:type="paragraph" w:styleId="18">
    <w:name w:val="toc 6"/>
    <w:basedOn w:val="1"/>
    <w:next w:val="1"/>
    <w:qFormat/>
    <w:uiPriority w:val="0"/>
    <w:pPr>
      <w:ind w:left="2100" w:leftChars="1000"/>
    </w:pPr>
    <w:rPr>
      <w:rFonts w:ascii="等线" w:hAnsi="等线" w:eastAsia="等线"/>
      <w:szCs w:val="22"/>
    </w:rPr>
  </w:style>
  <w:style w:type="paragraph" w:styleId="19">
    <w:name w:val="toc 2"/>
    <w:basedOn w:val="1"/>
    <w:next w:val="1"/>
    <w:qFormat/>
    <w:uiPriority w:val="0"/>
    <w:pPr>
      <w:tabs>
        <w:tab w:val="right" w:leader="dot" w:pos="8296"/>
      </w:tabs>
      <w:spacing w:line="480" w:lineRule="auto"/>
      <w:ind w:left="420" w:leftChars="200"/>
    </w:pPr>
    <w:rPr>
      <w:b/>
    </w:rPr>
  </w:style>
  <w:style w:type="paragraph" w:styleId="20">
    <w:name w:val="toc 9"/>
    <w:basedOn w:val="1"/>
    <w:next w:val="1"/>
    <w:qFormat/>
    <w:uiPriority w:val="0"/>
    <w:pPr>
      <w:ind w:left="3360" w:leftChars="1600"/>
    </w:pPr>
    <w:rPr>
      <w:rFonts w:ascii="等线" w:hAnsi="等线" w:eastAsia="等线"/>
      <w:szCs w:val="22"/>
    </w:rPr>
  </w:style>
  <w:style w:type="paragraph" w:styleId="21">
    <w:name w:val="Body Text 2"/>
    <w:basedOn w:val="1"/>
    <w:link w:val="99"/>
    <w:unhideWhenUsed/>
    <w:qFormat/>
    <w:uiPriority w:val="0"/>
    <w:pPr>
      <w:spacing w:after="120" w:line="480" w:lineRule="auto"/>
    </w:pPr>
    <w:rPr>
      <w:rFonts w:asciiTheme="minorHAnsi" w:hAnsiTheme="minorHAnsi" w:eastAsiaTheme="minorEastAsia" w:cstheme="minorBidi"/>
    </w:rPr>
  </w:style>
  <w:style w:type="paragraph" w:styleId="2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23">
    <w:name w:val="Title"/>
    <w:basedOn w:val="1"/>
    <w:qFormat/>
    <w:uiPriority w:val="1"/>
    <w:pPr>
      <w:autoSpaceDE w:val="0"/>
      <w:autoSpaceDN w:val="0"/>
      <w:spacing w:before="19"/>
      <w:ind w:left="866" w:right="847"/>
      <w:jc w:val="center"/>
    </w:pPr>
    <w:rPr>
      <w:rFonts w:ascii="华文中宋" w:hAnsi="华文中宋" w:eastAsia="华文中宋" w:cs="华文中宋"/>
      <w:b/>
      <w:bCs/>
      <w:kern w:val="0"/>
      <w:sz w:val="40"/>
      <w:szCs w:val="40"/>
      <w:lang w:val="zh-CN" w:bidi="zh-CN"/>
    </w:rPr>
  </w:style>
  <w:style w:type="paragraph" w:styleId="24">
    <w:name w:val="annotation subject"/>
    <w:basedOn w:val="7"/>
    <w:next w:val="7"/>
    <w:link w:val="91"/>
    <w:qFormat/>
    <w:uiPriority w:val="0"/>
    <w:rPr>
      <w:b/>
      <w:bCs/>
    </w:rPr>
  </w:style>
  <w:style w:type="paragraph" w:styleId="25">
    <w:name w:val="Body Text First Indent"/>
    <w:basedOn w:val="8"/>
    <w:link w:val="98"/>
    <w:qFormat/>
    <w:uiPriority w:val="0"/>
    <w:pPr>
      <w:ind w:firstLine="420" w:firstLineChars="100"/>
    </w:pPr>
  </w:style>
  <w:style w:type="paragraph" w:styleId="26">
    <w:name w:val="Body Text First Indent 2"/>
    <w:basedOn w:val="9"/>
    <w:link w:val="95"/>
    <w:unhideWhenUsed/>
    <w:qFormat/>
    <w:uiPriority w:val="99"/>
    <w:pPr>
      <w:ind w:firstLine="420" w:firstLineChars="200"/>
    </w:pPr>
    <w:rPr>
      <w:rFonts w:asciiTheme="minorHAnsi" w:hAnsiTheme="minorHAnsi" w:eastAsiaTheme="minorEastAsia" w:cstheme="minorBidi"/>
    </w:rPr>
  </w:style>
  <w:style w:type="table" w:styleId="28">
    <w:name w:val="Table Grid"/>
    <w:basedOn w:val="2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0">
    <w:name w:val="Strong"/>
    <w:basedOn w:val="29"/>
    <w:qFormat/>
    <w:uiPriority w:val="22"/>
    <w:rPr>
      <w:b/>
      <w:bCs/>
    </w:rPr>
  </w:style>
  <w:style w:type="character" w:styleId="31">
    <w:name w:val="Emphasis"/>
    <w:basedOn w:val="29"/>
    <w:qFormat/>
    <w:uiPriority w:val="0"/>
    <w:rPr>
      <w:i/>
    </w:rPr>
  </w:style>
  <w:style w:type="character" w:styleId="32">
    <w:name w:val="annotation reference"/>
    <w:basedOn w:val="29"/>
    <w:qFormat/>
    <w:uiPriority w:val="0"/>
    <w:rPr>
      <w:sz w:val="21"/>
      <w:szCs w:val="21"/>
    </w:rPr>
  </w:style>
  <w:style w:type="paragraph" w:customStyle="1" w:styleId="33">
    <w:name w:val="标题 11"/>
    <w:basedOn w:val="1"/>
    <w:qFormat/>
    <w:uiPriority w:val="0"/>
    <w:pPr>
      <w:keepLines/>
      <w:tabs>
        <w:tab w:val="left" w:pos="432"/>
      </w:tabs>
      <w:spacing w:before="260" w:after="260" w:line="360" w:lineRule="auto"/>
      <w:outlineLvl w:val="0"/>
    </w:pPr>
    <w:rPr>
      <w:rFonts w:eastAsia="黑体"/>
      <w:kern w:val="44"/>
      <w:sz w:val="32"/>
      <w:szCs w:val="36"/>
    </w:rPr>
  </w:style>
  <w:style w:type="paragraph" w:customStyle="1" w:styleId="34">
    <w:name w:val="标题 21"/>
    <w:basedOn w:val="1"/>
    <w:link w:val="44"/>
    <w:qFormat/>
    <w:uiPriority w:val="0"/>
    <w:pPr>
      <w:keepNext/>
      <w:keepLines/>
      <w:spacing w:before="120" w:after="120" w:line="360" w:lineRule="auto"/>
      <w:outlineLvl w:val="1"/>
    </w:pPr>
    <w:rPr>
      <w:rFonts w:eastAsia="黑体"/>
      <w:bCs/>
      <w:sz w:val="28"/>
      <w:szCs w:val="32"/>
    </w:rPr>
  </w:style>
  <w:style w:type="paragraph" w:customStyle="1" w:styleId="35">
    <w:name w:val="标题 31"/>
    <w:basedOn w:val="1"/>
    <w:qFormat/>
    <w:uiPriority w:val="0"/>
    <w:pPr>
      <w:keepNext/>
      <w:keepLines/>
      <w:spacing w:before="60" w:after="60" w:line="360" w:lineRule="auto"/>
      <w:outlineLvl w:val="2"/>
    </w:pPr>
    <w:rPr>
      <w:rFonts w:eastAsia="黑体"/>
      <w:bCs/>
      <w:sz w:val="24"/>
      <w:szCs w:val="32"/>
    </w:rPr>
  </w:style>
  <w:style w:type="paragraph" w:customStyle="1" w:styleId="36">
    <w:name w:val="标题 41"/>
    <w:basedOn w:val="1"/>
    <w:qFormat/>
    <w:uiPriority w:val="0"/>
    <w:pPr>
      <w:keepNext/>
      <w:keepLines/>
      <w:tabs>
        <w:tab w:val="left" w:pos="864"/>
      </w:tabs>
      <w:spacing w:line="360" w:lineRule="auto"/>
      <w:jc w:val="left"/>
      <w:outlineLvl w:val="3"/>
    </w:pPr>
    <w:rPr>
      <w:rFonts w:eastAsia="黑体"/>
      <w:bCs/>
      <w:sz w:val="24"/>
      <w:szCs w:val="28"/>
    </w:rPr>
  </w:style>
  <w:style w:type="paragraph" w:customStyle="1" w:styleId="37">
    <w:name w:val="标题 51"/>
    <w:basedOn w:val="1"/>
    <w:qFormat/>
    <w:uiPriority w:val="0"/>
    <w:pPr>
      <w:keepNext/>
      <w:keepLines/>
      <w:tabs>
        <w:tab w:val="left" w:pos="1008"/>
      </w:tabs>
      <w:spacing w:before="280" w:after="290" w:line="376" w:lineRule="auto"/>
      <w:ind w:left="1008" w:hanging="1008"/>
      <w:outlineLvl w:val="4"/>
    </w:pPr>
    <w:rPr>
      <w:b/>
      <w:bCs/>
      <w:sz w:val="28"/>
      <w:szCs w:val="28"/>
    </w:rPr>
  </w:style>
  <w:style w:type="paragraph" w:customStyle="1" w:styleId="38">
    <w:name w:val="标题 61"/>
    <w:basedOn w:val="1"/>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customStyle="1" w:styleId="39">
    <w:name w:val="标题 71"/>
    <w:basedOn w:val="1"/>
    <w:qFormat/>
    <w:uiPriority w:val="0"/>
    <w:pPr>
      <w:keepNext/>
      <w:keepLines/>
      <w:tabs>
        <w:tab w:val="left" w:pos="1296"/>
      </w:tabs>
      <w:spacing w:before="240" w:after="64" w:line="320" w:lineRule="auto"/>
      <w:ind w:left="1296" w:hanging="1296"/>
      <w:outlineLvl w:val="6"/>
    </w:pPr>
    <w:rPr>
      <w:b/>
      <w:bCs/>
      <w:sz w:val="24"/>
    </w:rPr>
  </w:style>
  <w:style w:type="paragraph" w:customStyle="1" w:styleId="40">
    <w:name w:val="标题 81"/>
    <w:basedOn w:val="1"/>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customStyle="1" w:styleId="41">
    <w:name w:val="标题 91"/>
    <w:basedOn w:val="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customStyle="1" w:styleId="42">
    <w:name w:val="默认段落字体1"/>
    <w:semiHidden/>
    <w:qFormat/>
    <w:uiPriority w:val="0"/>
  </w:style>
  <w:style w:type="table" w:customStyle="1" w:styleId="43">
    <w:name w:val="普通表格1"/>
    <w:semiHidden/>
    <w:qFormat/>
    <w:uiPriority w:val="0"/>
    <w:rPr>
      <w:rFonts w:hint="eastAsia" w:ascii="等线" w:hAnsi="等线" w:eastAsia="等线"/>
      <w:kern w:val="2"/>
      <w:sz w:val="21"/>
      <w:szCs w:val="22"/>
    </w:rPr>
    <w:tblPr>
      <w:tblLayout w:type="fixed"/>
      <w:tblCellMar>
        <w:top w:w="0" w:type="dxa"/>
        <w:left w:w="0" w:type="dxa"/>
        <w:bottom w:w="0" w:type="dxa"/>
        <w:right w:w="0" w:type="dxa"/>
      </w:tblCellMar>
    </w:tblPr>
  </w:style>
  <w:style w:type="character" w:customStyle="1" w:styleId="44">
    <w:name w:val="标题 2 字符"/>
    <w:link w:val="34"/>
    <w:qFormat/>
    <w:uiPriority w:val="0"/>
    <w:rPr>
      <w:rFonts w:eastAsia="黑体"/>
      <w:bCs/>
      <w:kern w:val="2"/>
      <w:sz w:val="28"/>
      <w:szCs w:val="32"/>
    </w:rPr>
  </w:style>
  <w:style w:type="paragraph" w:customStyle="1" w:styleId="45">
    <w:name w:val="正文缩进1"/>
    <w:basedOn w:val="1"/>
    <w:qFormat/>
    <w:uiPriority w:val="0"/>
    <w:pPr>
      <w:ind w:firstLine="420"/>
    </w:pPr>
    <w:rPr>
      <w:szCs w:val="20"/>
    </w:rPr>
  </w:style>
  <w:style w:type="paragraph" w:customStyle="1" w:styleId="46">
    <w:name w:val="文档结构图1"/>
    <w:basedOn w:val="1"/>
    <w:semiHidden/>
    <w:qFormat/>
    <w:uiPriority w:val="0"/>
    <w:pPr>
      <w:shd w:val="clear" w:color="auto" w:fill="000080"/>
    </w:pPr>
  </w:style>
  <w:style w:type="paragraph" w:customStyle="1" w:styleId="47">
    <w:name w:val="批注文字1"/>
    <w:basedOn w:val="1"/>
    <w:link w:val="48"/>
    <w:qFormat/>
    <w:uiPriority w:val="0"/>
    <w:pPr>
      <w:jc w:val="left"/>
    </w:pPr>
  </w:style>
  <w:style w:type="character" w:customStyle="1" w:styleId="48">
    <w:name w:val="批注文字 字符"/>
    <w:link w:val="47"/>
    <w:qFormat/>
    <w:uiPriority w:val="0"/>
    <w:rPr>
      <w:kern w:val="2"/>
      <w:sz w:val="21"/>
      <w:szCs w:val="24"/>
    </w:rPr>
  </w:style>
  <w:style w:type="paragraph" w:customStyle="1" w:styleId="49">
    <w:name w:val="正文文本缩进1"/>
    <w:basedOn w:val="1"/>
    <w:qFormat/>
    <w:uiPriority w:val="0"/>
    <w:pPr>
      <w:spacing w:line="360" w:lineRule="auto"/>
      <w:ind w:firstLine="540" w:firstLineChars="225"/>
    </w:pPr>
    <w:rPr>
      <w:rFonts w:ascii="宋体" w:hAnsi="宋体"/>
      <w:sz w:val="24"/>
    </w:rPr>
  </w:style>
  <w:style w:type="paragraph" w:customStyle="1" w:styleId="50">
    <w:name w:val="纯文本1"/>
    <w:basedOn w:val="1"/>
    <w:link w:val="51"/>
    <w:qFormat/>
    <w:uiPriority w:val="0"/>
    <w:rPr>
      <w:rFonts w:ascii="宋体" w:hAnsi="Courier New"/>
      <w:szCs w:val="21"/>
    </w:rPr>
  </w:style>
  <w:style w:type="character" w:customStyle="1" w:styleId="51">
    <w:name w:val="纯文本 字符"/>
    <w:link w:val="50"/>
    <w:qFormat/>
    <w:uiPriority w:val="0"/>
    <w:rPr>
      <w:rFonts w:ascii="宋体" w:hAnsi="Courier New" w:eastAsia="宋体"/>
      <w:kern w:val="2"/>
      <w:sz w:val="21"/>
      <w:szCs w:val="21"/>
      <w:lang w:val="en-US" w:eastAsia="zh-CN" w:bidi="ar-SA"/>
    </w:rPr>
  </w:style>
  <w:style w:type="paragraph" w:customStyle="1" w:styleId="52">
    <w:name w:val="列表项目符号 51"/>
    <w:basedOn w:val="1"/>
    <w:qFormat/>
    <w:uiPriority w:val="0"/>
    <w:pPr>
      <w:numPr>
        <w:ilvl w:val="0"/>
        <w:numId w:val="1"/>
      </w:numPr>
      <w:tabs>
        <w:tab w:val="clear" w:pos="2040"/>
      </w:tabs>
      <w:contextualSpacing/>
    </w:pPr>
  </w:style>
  <w:style w:type="paragraph" w:customStyle="1" w:styleId="53">
    <w:name w:val="日期1"/>
    <w:basedOn w:val="1"/>
    <w:link w:val="54"/>
    <w:qFormat/>
    <w:uiPriority w:val="0"/>
    <w:rPr>
      <w:rFonts w:ascii="宋体"/>
      <w:sz w:val="28"/>
      <w:szCs w:val="20"/>
    </w:rPr>
  </w:style>
  <w:style w:type="character" w:customStyle="1" w:styleId="54">
    <w:name w:val="日期 字符"/>
    <w:link w:val="53"/>
    <w:qFormat/>
    <w:uiPriority w:val="0"/>
    <w:rPr>
      <w:rFonts w:ascii="宋体"/>
      <w:kern w:val="2"/>
      <w:sz w:val="28"/>
    </w:rPr>
  </w:style>
  <w:style w:type="paragraph" w:customStyle="1" w:styleId="55">
    <w:name w:val="正文文本缩进 21"/>
    <w:basedOn w:val="1"/>
    <w:qFormat/>
    <w:uiPriority w:val="0"/>
    <w:pPr>
      <w:spacing w:after="120" w:line="480" w:lineRule="auto"/>
      <w:ind w:left="420" w:leftChars="200"/>
    </w:pPr>
  </w:style>
  <w:style w:type="paragraph" w:customStyle="1" w:styleId="56">
    <w:name w:val="批注框文本1"/>
    <w:basedOn w:val="1"/>
    <w:semiHidden/>
    <w:qFormat/>
    <w:uiPriority w:val="0"/>
    <w:rPr>
      <w:sz w:val="18"/>
      <w:szCs w:val="18"/>
    </w:rPr>
  </w:style>
  <w:style w:type="paragraph" w:customStyle="1" w:styleId="57">
    <w:name w:val="页脚1"/>
    <w:basedOn w:val="1"/>
    <w:link w:val="58"/>
    <w:qFormat/>
    <w:uiPriority w:val="0"/>
    <w:pPr>
      <w:tabs>
        <w:tab w:val="center" w:pos="4153"/>
        <w:tab w:val="right" w:pos="8306"/>
      </w:tabs>
      <w:snapToGrid w:val="0"/>
      <w:jc w:val="left"/>
    </w:pPr>
    <w:rPr>
      <w:sz w:val="18"/>
      <w:szCs w:val="18"/>
    </w:rPr>
  </w:style>
  <w:style w:type="character" w:customStyle="1" w:styleId="58">
    <w:name w:val="页脚 字符"/>
    <w:link w:val="57"/>
    <w:qFormat/>
    <w:uiPriority w:val="0"/>
    <w:rPr>
      <w:kern w:val="2"/>
      <w:sz w:val="18"/>
      <w:szCs w:val="18"/>
    </w:rPr>
  </w:style>
  <w:style w:type="paragraph" w:customStyle="1" w:styleId="59">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60">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61">
    <w:name w:val="标题1"/>
    <w:link w:val="62"/>
    <w:qFormat/>
    <w:uiPriority w:val="0"/>
    <w:pPr>
      <w:jc w:val="center"/>
    </w:pPr>
    <w:rPr>
      <w:rFonts w:ascii="黑体" w:hAnsi="黑体" w:eastAsia="黑体" w:cs="Times New Roman"/>
      <w:kern w:val="2"/>
      <w:sz w:val="52"/>
      <w:szCs w:val="52"/>
      <w:lang w:val="en-US" w:eastAsia="zh-CN" w:bidi="ar-SA"/>
    </w:rPr>
  </w:style>
  <w:style w:type="character" w:customStyle="1" w:styleId="62">
    <w:name w:val="标题 字符"/>
    <w:link w:val="61"/>
    <w:qFormat/>
    <w:uiPriority w:val="0"/>
    <w:rPr>
      <w:rFonts w:ascii="黑体" w:hAnsi="黑体" w:eastAsia="黑体"/>
      <w:kern w:val="2"/>
      <w:sz w:val="52"/>
      <w:szCs w:val="52"/>
    </w:rPr>
  </w:style>
  <w:style w:type="paragraph" w:customStyle="1" w:styleId="63">
    <w:name w:val="批注主题1"/>
    <w:basedOn w:val="47"/>
    <w:link w:val="64"/>
    <w:qFormat/>
    <w:uiPriority w:val="0"/>
    <w:rPr>
      <w:b/>
      <w:bCs/>
    </w:rPr>
  </w:style>
  <w:style w:type="character" w:customStyle="1" w:styleId="64">
    <w:name w:val="批注主题 字符"/>
    <w:link w:val="63"/>
    <w:qFormat/>
    <w:uiPriority w:val="0"/>
    <w:rPr>
      <w:b/>
      <w:bCs/>
      <w:kern w:val="2"/>
      <w:sz w:val="21"/>
      <w:szCs w:val="24"/>
    </w:rPr>
  </w:style>
  <w:style w:type="table" w:customStyle="1" w:styleId="65">
    <w:name w:val="网格型1"/>
    <w:basedOn w:val="43"/>
    <w:qFormat/>
    <w:uiPriority w:val="0"/>
    <w:pPr>
      <w:widowControl w:val="0"/>
      <w:jc w:val="both"/>
    </w:pPr>
  </w:style>
  <w:style w:type="character" w:customStyle="1" w:styleId="66">
    <w:name w:val="要点1"/>
    <w:qFormat/>
    <w:uiPriority w:val="0"/>
    <w:rPr>
      <w:rFonts w:ascii="黑体" w:eastAsia="黑体"/>
      <w:b/>
      <w:sz w:val="24"/>
    </w:rPr>
  </w:style>
  <w:style w:type="character" w:customStyle="1" w:styleId="67">
    <w:name w:val="页码1"/>
    <w:qFormat/>
    <w:uiPriority w:val="0"/>
  </w:style>
  <w:style w:type="character" w:customStyle="1" w:styleId="68">
    <w:name w:val="超链接1"/>
    <w:qFormat/>
    <w:uiPriority w:val="0"/>
    <w:rPr>
      <w:color w:val="0000FF"/>
      <w:u w:val="single"/>
    </w:rPr>
  </w:style>
  <w:style w:type="character" w:customStyle="1" w:styleId="69">
    <w:name w:val="批注引用1"/>
    <w:qFormat/>
    <w:uiPriority w:val="0"/>
    <w:rPr>
      <w:sz w:val="21"/>
      <w:szCs w:val="21"/>
    </w:rPr>
  </w:style>
  <w:style w:type="character" w:customStyle="1" w:styleId="70">
    <w:name w:val="未处理的提及1"/>
    <w:qFormat/>
    <w:uiPriority w:val="0"/>
    <w:rPr>
      <w:color w:val="605E5C"/>
      <w:shd w:val="clear" w:color="auto" w:fill="E1DFDD"/>
    </w:rPr>
  </w:style>
  <w:style w:type="character" w:customStyle="1" w:styleId="71">
    <w:name w:val="+正文 Char"/>
    <w:link w:val="72"/>
    <w:qFormat/>
    <w:uiPriority w:val="0"/>
    <w:rPr>
      <w:sz w:val="24"/>
      <w:szCs w:val="28"/>
    </w:rPr>
  </w:style>
  <w:style w:type="paragraph" w:customStyle="1" w:styleId="72">
    <w:name w:val="+正文"/>
    <w:basedOn w:val="1"/>
    <w:link w:val="71"/>
    <w:qFormat/>
    <w:uiPriority w:val="0"/>
    <w:pPr>
      <w:spacing w:line="360" w:lineRule="auto"/>
      <w:ind w:firstLine="200" w:firstLineChars="200"/>
    </w:pPr>
    <w:rPr>
      <w:kern w:val="0"/>
      <w:sz w:val="24"/>
      <w:szCs w:val="28"/>
    </w:rPr>
  </w:style>
  <w:style w:type="paragraph" w:customStyle="1" w:styleId="73">
    <w:name w:val="样式 宋体 小四 行距: 1.5 倍行距 首行缩进:  2 字符"/>
    <w:basedOn w:val="1"/>
    <w:qFormat/>
    <w:uiPriority w:val="0"/>
    <w:pPr>
      <w:tabs>
        <w:tab w:val="left" w:pos="0"/>
      </w:tabs>
      <w:spacing w:line="360" w:lineRule="auto"/>
      <w:ind w:firstLine="480" w:firstLineChars="200"/>
    </w:pPr>
    <w:rPr>
      <w:rFonts w:ascii="宋体" w:hAnsi="宋体"/>
      <w:sz w:val="24"/>
    </w:rPr>
  </w:style>
  <w:style w:type="paragraph" w:customStyle="1" w:styleId="74">
    <w:name w:val="样式 宋体 小四"/>
    <w:basedOn w:val="1"/>
    <w:qFormat/>
    <w:uiPriority w:val="0"/>
    <w:pPr>
      <w:ind w:firstLine="560" w:firstLineChars="200"/>
    </w:pPr>
    <w:rPr>
      <w:rFonts w:ascii="宋体" w:hAnsi="宋体"/>
      <w:sz w:val="24"/>
      <w:szCs w:val="20"/>
    </w:rPr>
  </w:style>
  <w:style w:type="paragraph" w:customStyle="1" w:styleId="75">
    <w:name w:val="正文小四"/>
    <w:basedOn w:val="1"/>
    <w:qFormat/>
    <w:uiPriority w:val="0"/>
    <w:pPr>
      <w:spacing w:line="360" w:lineRule="auto"/>
      <w:ind w:firstLine="200" w:firstLineChars="200"/>
    </w:pPr>
    <w:rPr>
      <w:rFonts w:eastAsia="仿宋_GB2312"/>
      <w:sz w:val="24"/>
    </w:rPr>
  </w:style>
  <w:style w:type="paragraph" w:customStyle="1" w:styleId="76">
    <w:name w:val="文本正文 Char"/>
    <w:basedOn w:val="1"/>
    <w:qFormat/>
    <w:uiPriority w:val="0"/>
    <w:pPr>
      <w:spacing w:line="540" w:lineRule="exact"/>
      <w:ind w:firstLine="200" w:firstLineChars="200"/>
      <w:jc w:val="left"/>
    </w:pPr>
    <w:rPr>
      <w:sz w:val="28"/>
    </w:rPr>
  </w:style>
  <w:style w:type="paragraph" w:customStyle="1" w:styleId="77">
    <w:name w:val="Char1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8">
    <w:name w:val="样式 标题 2 + Times New Roman 非加粗 黑色 段前: 6 磅 段后: 6 磅 行距: 1.5 倍行距"/>
    <w:basedOn w:val="34"/>
    <w:qFormat/>
    <w:uiPriority w:val="0"/>
    <w:pPr>
      <w:ind w:left="200" w:leftChars="200"/>
    </w:pPr>
    <w:rPr>
      <w:rFonts w:eastAsia="宋体"/>
      <w:bCs w:val="0"/>
      <w:color w:val="000000"/>
      <w:szCs w:val="20"/>
    </w:rPr>
  </w:style>
  <w:style w:type="paragraph" w:customStyle="1" w:styleId="79">
    <w:name w:val="课题正文"/>
    <w:basedOn w:val="1"/>
    <w:qFormat/>
    <w:uiPriority w:val="0"/>
    <w:pPr>
      <w:spacing w:line="360" w:lineRule="auto"/>
      <w:ind w:firstLine="200" w:firstLineChars="200"/>
    </w:pPr>
    <w:rPr>
      <w:sz w:val="24"/>
      <w:szCs w:val="20"/>
    </w:rPr>
  </w:style>
  <w:style w:type="paragraph" w:customStyle="1" w:styleId="80">
    <w:name w:val="样式 标题 2节标题 1.11.1标题2b2 + 段前: 0 磅 段后: 0 磅 行距: 1.5 倍行距"/>
    <w:basedOn w:val="34"/>
    <w:qFormat/>
    <w:uiPriority w:val="0"/>
    <w:pPr>
      <w:tabs>
        <w:tab w:val="left" w:pos="576"/>
      </w:tabs>
      <w:spacing w:before="240" w:after="0"/>
      <w:ind w:left="576" w:hanging="576"/>
    </w:pPr>
    <w:rPr>
      <w:w w:val="90"/>
      <w:szCs w:val="20"/>
    </w:rPr>
  </w:style>
  <w:style w:type="paragraph" w:customStyle="1" w:styleId="81">
    <w:name w:val="样式 样式 宋体 小四 行距: 1.5 倍行距 首行缩进:  2 字符 + 左侧:  2 字符"/>
    <w:basedOn w:val="1"/>
    <w:qFormat/>
    <w:uiPriority w:val="0"/>
    <w:pPr>
      <w:numPr>
        <w:ilvl w:val="0"/>
        <w:numId w:val="2"/>
      </w:numPr>
      <w:tabs>
        <w:tab w:val="clear" w:pos="900"/>
      </w:tabs>
      <w:spacing w:line="360" w:lineRule="auto"/>
      <w:jc w:val="left"/>
    </w:pPr>
    <w:rPr>
      <w:rFonts w:ascii="宋体" w:hAnsi="宋体"/>
      <w:sz w:val="24"/>
      <w:szCs w:val="20"/>
    </w:rPr>
  </w:style>
  <w:style w:type="paragraph" w:customStyle="1" w:styleId="82">
    <w:name w:val="ww标题4"/>
    <w:basedOn w:val="1"/>
    <w:qFormat/>
    <w:uiPriority w:val="0"/>
    <w:pPr>
      <w:keepNext/>
      <w:keepLines/>
      <w:snapToGrid w:val="0"/>
      <w:spacing w:line="360" w:lineRule="auto"/>
      <w:jc w:val="left"/>
      <w:outlineLvl w:val="3"/>
    </w:pPr>
    <w:rPr>
      <w:b/>
      <w:bCs/>
      <w:sz w:val="24"/>
      <w:szCs w:val="28"/>
    </w:rPr>
  </w:style>
  <w:style w:type="paragraph" w:customStyle="1" w:styleId="83">
    <w:name w:val="样式 标题 1 + (中文) 黑体 非加粗 黑色"/>
    <w:basedOn w:val="33"/>
    <w:qFormat/>
    <w:uiPriority w:val="0"/>
    <w:pPr>
      <w:keepNext/>
      <w:tabs>
        <w:tab w:val="clear" w:pos="432"/>
      </w:tabs>
      <w:ind w:left="200" w:leftChars="200"/>
    </w:pPr>
    <w:rPr>
      <w:sz w:val="36"/>
      <w:szCs w:val="20"/>
    </w:rPr>
  </w:style>
  <w:style w:type="paragraph" w:customStyle="1" w:styleId="84">
    <w:name w:val="Char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5">
    <w:name w:val="列表段落1"/>
    <w:basedOn w:val="1"/>
    <w:qFormat/>
    <w:uiPriority w:val="0"/>
    <w:pPr>
      <w:ind w:firstLine="420" w:firstLineChars="200"/>
    </w:pPr>
    <w:rPr>
      <w:rFonts w:ascii="Calibri" w:hAnsi="Calibri"/>
      <w:szCs w:val="22"/>
    </w:rPr>
  </w:style>
  <w:style w:type="paragraph" w:customStyle="1" w:styleId="86">
    <w:name w:val="Char1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87">
    <w:name w:val="页眉 字符"/>
    <w:basedOn w:val="29"/>
    <w:link w:val="15"/>
    <w:qFormat/>
    <w:uiPriority w:val="0"/>
    <w:rPr>
      <w:kern w:val="2"/>
      <w:sz w:val="18"/>
      <w:szCs w:val="18"/>
    </w:rPr>
  </w:style>
  <w:style w:type="character" w:customStyle="1" w:styleId="88">
    <w:name w:val="页脚 字符1"/>
    <w:basedOn w:val="29"/>
    <w:link w:val="14"/>
    <w:qFormat/>
    <w:uiPriority w:val="0"/>
    <w:rPr>
      <w:kern w:val="2"/>
      <w:sz w:val="18"/>
      <w:szCs w:val="18"/>
    </w:rPr>
  </w:style>
  <w:style w:type="character" w:customStyle="1" w:styleId="89">
    <w:name w:val="批注框文本 字符"/>
    <w:basedOn w:val="29"/>
    <w:link w:val="13"/>
    <w:qFormat/>
    <w:uiPriority w:val="0"/>
    <w:rPr>
      <w:kern w:val="2"/>
      <w:sz w:val="18"/>
      <w:szCs w:val="18"/>
    </w:rPr>
  </w:style>
  <w:style w:type="character" w:customStyle="1" w:styleId="90">
    <w:name w:val="批注文字 字符1"/>
    <w:basedOn w:val="29"/>
    <w:link w:val="7"/>
    <w:qFormat/>
    <w:uiPriority w:val="0"/>
    <w:rPr>
      <w:kern w:val="2"/>
      <w:sz w:val="21"/>
      <w:szCs w:val="24"/>
    </w:rPr>
  </w:style>
  <w:style w:type="character" w:customStyle="1" w:styleId="91">
    <w:name w:val="批注主题 字符1"/>
    <w:basedOn w:val="90"/>
    <w:link w:val="24"/>
    <w:qFormat/>
    <w:uiPriority w:val="0"/>
    <w:rPr>
      <w:b/>
      <w:bCs/>
      <w:kern w:val="2"/>
      <w:sz w:val="21"/>
      <w:szCs w:val="24"/>
    </w:rPr>
  </w:style>
  <w:style w:type="character" w:customStyle="1" w:styleId="92">
    <w:name w:val="text-tag"/>
    <w:basedOn w:val="29"/>
    <w:qFormat/>
    <w:uiPriority w:val="0"/>
  </w:style>
  <w:style w:type="paragraph" w:customStyle="1" w:styleId="93">
    <w:name w:val="正文首行缩进 21"/>
    <w:basedOn w:val="9"/>
    <w:qFormat/>
    <w:uiPriority w:val="0"/>
    <w:pPr>
      <w:ind w:firstLine="420"/>
    </w:pPr>
    <w:rPr>
      <w:rFonts w:ascii="Calibri" w:hAnsi="Calibri"/>
    </w:rPr>
  </w:style>
  <w:style w:type="character" w:customStyle="1" w:styleId="94">
    <w:name w:val="正文文本缩进 字符"/>
    <w:basedOn w:val="29"/>
    <w:link w:val="9"/>
    <w:qFormat/>
    <w:uiPriority w:val="0"/>
    <w:rPr>
      <w:kern w:val="2"/>
      <w:sz w:val="21"/>
      <w:szCs w:val="24"/>
    </w:rPr>
  </w:style>
  <w:style w:type="character" w:customStyle="1" w:styleId="95">
    <w:name w:val="正文首行缩进 2 字符"/>
    <w:basedOn w:val="94"/>
    <w:link w:val="26"/>
    <w:qFormat/>
    <w:uiPriority w:val="99"/>
    <w:rPr>
      <w:rFonts w:asciiTheme="minorHAnsi" w:hAnsiTheme="minorHAnsi" w:eastAsiaTheme="minorEastAsia" w:cstheme="minorBidi"/>
      <w:kern w:val="2"/>
      <w:sz w:val="21"/>
      <w:szCs w:val="24"/>
    </w:rPr>
  </w:style>
  <w:style w:type="paragraph" w:customStyle="1" w:styleId="96">
    <w:name w:val="5公文-正文"/>
    <w:qFormat/>
    <w:uiPriority w:val="0"/>
    <w:pPr>
      <w:wordWrap w:val="0"/>
      <w:spacing w:line="580" w:lineRule="exact"/>
      <w:ind w:firstLine="200" w:firstLineChars="200"/>
      <w:jc w:val="both"/>
    </w:pPr>
    <w:rPr>
      <w:rFonts w:ascii="方正仿宋简体" w:hAnsi="Calibri" w:eastAsia="方正仿宋简体" w:cs="Times New Roman"/>
      <w:kern w:val="2"/>
      <w:sz w:val="32"/>
      <w:szCs w:val="32"/>
      <w:lang w:val="en-US" w:eastAsia="zh-CN" w:bidi="ar-SA"/>
    </w:rPr>
  </w:style>
  <w:style w:type="character" w:customStyle="1" w:styleId="97">
    <w:name w:val="正文文本 字符"/>
    <w:basedOn w:val="29"/>
    <w:link w:val="8"/>
    <w:qFormat/>
    <w:uiPriority w:val="0"/>
    <w:rPr>
      <w:kern w:val="2"/>
      <w:sz w:val="21"/>
      <w:szCs w:val="24"/>
    </w:rPr>
  </w:style>
  <w:style w:type="character" w:customStyle="1" w:styleId="98">
    <w:name w:val="正文首行缩进 字符"/>
    <w:basedOn w:val="97"/>
    <w:link w:val="25"/>
    <w:qFormat/>
    <w:uiPriority w:val="0"/>
    <w:rPr>
      <w:kern w:val="2"/>
      <w:sz w:val="21"/>
      <w:szCs w:val="24"/>
    </w:rPr>
  </w:style>
  <w:style w:type="character" w:customStyle="1" w:styleId="99">
    <w:name w:val="正文文本 2 字符"/>
    <w:basedOn w:val="29"/>
    <w:link w:val="21"/>
    <w:qFormat/>
    <w:uiPriority w:val="0"/>
    <w:rPr>
      <w:rFonts w:asciiTheme="minorHAnsi" w:hAnsiTheme="minorHAnsi" w:eastAsiaTheme="minorEastAsia" w:cstheme="minorBidi"/>
      <w:kern w:val="2"/>
      <w:sz w:val="21"/>
      <w:szCs w:val="24"/>
    </w:rPr>
  </w:style>
  <w:style w:type="character" w:customStyle="1" w:styleId="100">
    <w:name w:val="段 Char"/>
    <w:link w:val="101"/>
    <w:qFormat/>
    <w:locked/>
    <w:uiPriority w:val="0"/>
    <w:rPr>
      <w:rFonts w:ascii="宋体" w:hAnsi="宋体"/>
      <w:sz w:val="21"/>
    </w:rPr>
  </w:style>
  <w:style w:type="paragraph" w:customStyle="1" w:styleId="101">
    <w:name w:val="段"/>
    <w:link w:val="100"/>
    <w:qFormat/>
    <w:uiPriority w:val="0"/>
    <w:pPr>
      <w:tabs>
        <w:tab w:val="center" w:pos="4201"/>
        <w:tab w:val="right" w:leader="dot" w:pos="9298"/>
      </w:tabs>
      <w:autoSpaceDE w:val="0"/>
      <w:autoSpaceDN w:val="0"/>
      <w:ind w:firstLine="420" w:firstLineChars="200"/>
      <w:jc w:val="both"/>
    </w:pPr>
    <w:rPr>
      <w:rFonts w:ascii="宋体" w:hAnsi="宋体" w:eastAsia="宋体" w:cs="Times New Roman"/>
      <w:sz w:val="21"/>
      <w:lang w:val="en-US" w:eastAsia="zh-CN" w:bidi="ar-SA"/>
    </w:rPr>
  </w:style>
  <w:style w:type="paragraph" w:customStyle="1" w:styleId="102">
    <w:name w:val="一级条标题"/>
    <w:next w:val="10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103">
    <w:name w:val="章标题"/>
    <w:next w:val="101"/>
    <w:qFormat/>
    <w:uiPriority w:val="0"/>
    <w:pPr>
      <w:tabs>
        <w:tab w:val="left" w:pos="360"/>
      </w:tabs>
      <w:spacing w:beforeLines="100" w:afterLines="100"/>
      <w:jc w:val="both"/>
      <w:outlineLvl w:val="1"/>
    </w:pPr>
    <w:rPr>
      <w:rFonts w:ascii="黑体" w:hAnsi="Times New Roman" w:eastAsia="黑体" w:cs="Times New Roman"/>
      <w:sz w:val="21"/>
      <w:lang w:val="en-US" w:eastAsia="zh-CN" w:bidi="ar-SA"/>
    </w:rPr>
  </w:style>
  <w:style w:type="character" w:customStyle="1" w:styleId="104">
    <w:name w:val="标题 1 字符"/>
    <w:basedOn w:val="29"/>
    <w:link w:val="2"/>
    <w:qFormat/>
    <w:uiPriority w:val="0"/>
    <w:rPr>
      <w:rFonts w:ascii="Calibri" w:hAnsi="Calibri"/>
      <w:b/>
      <w:bCs/>
      <w:kern w:val="44"/>
      <w:sz w:val="44"/>
      <w:szCs w:val="44"/>
    </w:rPr>
  </w:style>
  <w:style w:type="character" w:customStyle="1" w:styleId="105">
    <w:name w:val="标题 2 字符1"/>
    <w:basedOn w:val="29"/>
    <w:link w:val="3"/>
    <w:semiHidden/>
    <w:qFormat/>
    <w:uiPriority w:val="99"/>
    <w:rPr>
      <w:rFonts w:ascii="Cambria" w:hAnsi="Cambria" w:cs="宋体"/>
      <w:b/>
      <w:bCs/>
      <w:kern w:val="2"/>
      <w:sz w:val="32"/>
      <w:szCs w:val="32"/>
    </w:rPr>
  </w:style>
  <w:style w:type="character" w:customStyle="1" w:styleId="106">
    <w:name w:val="标题 3 字符"/>
    <w:basedOn w:val="29"/>
    <w:link w:val="4"/>
    <w:semiHidden/>
    <w:qFormat/>
    <w:uiPriority w:val="9"/>
    <w:rPr>
      <w:rFonts w:ascii="Calibri" w:hAnsi="Calibr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LG</Company>
  <Pages>36</Pages>
  <Words>2115</Words>
  <Characters>12057</Characters>
  <Lines>100</Lines>
  <Paragraphs>28</Paragraphs>
  <TotalTime>7</TotalTime>
  <ScaleCrop>false</ScaleCrop>
  <LinksUpToDate>false</LinksUpToDate>
  <CharactersWithSpaces>14144</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2024-11-28T08:56:00Z</dcterms:created>
  <dc:creator>BraylonZheng</dc:creator>
  <cp:lastModifiedBy>水利处</cp:lastModifiedBy>
  <cp:lastPrinted>2024-11-09T03:06:00Z</cp:lastPrinted>
  <dcterms:modified xsi:type="dcterms:W3CDTF">2025-02-12T04:22:11Z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0BD769EC468144F58B2DBF75E4D1CE59_13</vt:lpwstr>
  </property>
  <property fmtid="{D5CDD505-2E9C-101B-9397-08002B2CF9AE}" pid="4" name="KSOTemplateDocerSaveRecord">
    <vt:lpwstr>eyJoZGlkIjoiY2MzNWVhMDBkOTI3Njk2OGMwZWIwYmE2Y2MxZDZhZWUiLCJ1c2VySWQiOiIzOTgwNDU4NTMifQ==</vt:lpwstr>
  </property>
</Properties>
</file>