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hAnsi="方正小标宋简体" w:eastAsia="方正小标宋简体" w:cs="方正小标宋简体"/>
          <w:b/>
          <w:bCs/>
          <w:sz w:val="40"/>
          <w:szCs w:val="40"/>
        </w:rPr>
      </w:pPr>
      <w:bookmarkStart w:id="0" w:name="_GoBack"/>
      <w:bookmarkEnd w:id="0"/>
      <w:r>
        <w:rPr>
          <w:rFonts w:hint="eastAsia" w:ascii="方正小标宋简体" w:hAnsi="方正小标宋简体" w:eastAsia="方正小标宋简体" w:cs="方正小标宋简体"/>
          <w:sz w:val="40"/>
          <w:szCs w:val="40"/>
        </w:rPr>
        <w:t>上海市取用水领域信用评价实施细则（试行）</w:t>
      </w:r>
    </w:p>
    <w:p>
      <w:pPr>
        <w:rPr>
          <w:rFonts w:ascii="仿宋_GB2312" w:hAnsi="仿宋" w:eastAsia="仿宋_GB2312"/>
          <w:sz w:val="32"/>
          <w:szCs w:val="32"/>
        </w:rPr>
      </w:pPr>
    </w:p>
    <w:p>
      <w:pPr>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第一条（目的和依据）</w:t>
      </w:r>
    </w:p>
    <w:p>
      <w:pPr>
        <w:ind w:firstLine="640" w:firstLineChars="200"/>
        <w:rPr>
          <w:rFonts w:ascii="仿宋_GB2312" w:hAnsi="仿宋" w:eastAsia="仿宋_GB2312"/>
          <w:sz w:val="32"/>
          <w:szCs w:val="32"/>
        </w:rPr>
      </w:pPr>
      <w:r>
        <w:rPr>
          <w:rFonts w:hint="eastAsia" w:ascii="仿宋_GB2312" w:hAnsi="仿宋" w:eastAsia="仿宋_GB2312"/>
          <w:sz w:val="32"/>
          <w:szCs w:val="32"/>
        </w:rPr>
        <w:t>为贯彻落实党中央、国务院关于实行水资源刚性约束制度和关于社会信用体系建设的决策部署，加强本市取用水监管，规范取用水秩序，推进信用体系建设，引导取用水户依法依规取用水资源，精打细算用好水资源，支撑和保障高质量发展，根据水利部和国家发展改革委《关于实施取用水领域信用评价的指导意见》、国家发展改革委</w:t>
      </w:r>
      <w:r>
        <w:rPr>
          <w:rFonts w:ascii="仿宋_GB2312" w:hAnsi="仿宋" w:eastAsia="仿宋_GB2312"/>
          <w:sz w:val="32"/>
          <w:szCs w:val="32"/>
        </w:rPr>
        <w:t>《失信行为纠正后的信用信息修复管理办法（试行）》</w:t>
      </w:r>
      <w:r>
        <w:rPr>
          <w:rFonts w:hint="eastAsia" w:ascii="仿宋_GB2312" w:hAnsi="仿宋" w:eastAsia="仿宋_GB2312"/>
          <w:sz w:val="32"/>
          <w:szCs w:val="32"/>
        </w:rPr>
        <w:t>《上海市社会信用条例》《上海市公共信用信息归集和使用管理办法》《关于进一步完善本市公共信用信息修复机制的工作方案》（沪府办规〔</w:t>
      </w:r>
      <w:r>
        <w:rPr>
          <w:rFonts w:ascii="仿宋_GB2312" w:hAnsi="仿宋" w:eastAsia="仿宋_GB2312"/>
          <w:sz w:val="32"/>
          <w:szCs w:val="32"/>
        </w:rPr>
        <w:t>2024〕8号）</w:t>
      </w:r>
      <w:r>
        <w:rPr>
          <w:rFonts w:hint="eastAsia" w:ascii="仿宋_GB2312" w:hAnsi="仿宋" w:eastAsia="仿宋_GB2312"/>
          <w:sz w:val="32"/>
          <w:szCs w:val="32"/>
        </w:rPr>
        <w:t>等有关法规政策，结合本市实际，制定本实施细则。</w:t>
      </w:r>
    </w:p>
    <w:p>
      <w:pPr>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第二条（适用范围）</w:t>
      </w:r>
    </w:p>
    <w:p>
      <w:pPr>
        <w:ind w:firstLine="640" w:firstLineChars="200"/>
        <w:rPr>
          <w:rFonts w:ascii="仿宋_GB2312" w:hAnsi="仿宋" w:eastAsia="仿宋_GB2312"/>
          <w:sz w:val="32"/>
          <w:szCs w:val="32"/>
        </w:rPr>
      </w:pPr>
      <w:r>
        <w:rPr>
          <w:rFonts w:hint="eastAsia" w:ascii="仿宋_GB2312" w:hAnsi="仿宋" w:eastAsia="仿宋_GB2312"/>
          <w:sz w:val="32"/>
          <w:szCs w:val="32"/>
        </w:rPr>
        <w:t>本市已纳入取水许可管理的非农业取用水户和未经批准擅自取水的非农业取用水户信用信息的归集、共享、评价、应用等管理活动，适用本实施细则。后续可根据水利部要求适时进一步扩大适用范围。</w:t>
      </w:r>
    </w:p>
    <w:p>
      <w:pPr>
        <w:ind w:firstLine="640" w:firstLineChars="200"/>
        <w:rPr>
          <w:rFonts w:ascii="仿宋_GB2312" w:hAnsi="仿宋" w:eastAsia="仿宋_GB2312"/>
          <w:sz w:val="32"/>
          <w:szCs w:val="32"/>
        </w:rPr>
      </w:pPr>
      <w:r>
        <w:rPr>
          <w:rFonts w:hint="eastAsia" w:ascii="仿宋_GB2312" w:hAnsi="仿宋" w:eastAsia="仿宋_GB2312"/>
          <w:sz w:val="32"/>
          <w:szCs w:val="32"/>
        </w:rPr>
        <w:t>本市非农业取用水户是指直接从本市江河、湖泊或地下取用水的非农业取水单位。</w:t>
      </w:r>
    </w:p>
    <w:p>
      <w:pPr>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第三条（管理职责）</w:t>
      </w:r>
    </w:p>
    <w:p>
      <w:pPr>
        <w:ind w:firstLine="640" w:firstLineChars="200"/>
        <w:rPr>
          <w:rFonts w:ascii="仿宋_GB2312" w:hAnsi="仿宋" w:eastAsia="仿宋_GB2312"/>
          <w:sz w:val="32"/>
          <w:szCs w:val="32"/>
        </w:rPr>
      </w:pPr>
      <w:r>
        <w:rPr>
          <w:rFonts w:hint="eastAsia" w:ascii="仿宋_GB2312" w:hAnsi="仿宋" w:eastAsia="仿宋_GB2312"/>
          <w:sz w:val="32"/>
          <w:szCs w:val="32"/>
        </w:rPr>
        <w:t>上海市水务局（以下简称市水务局）是本市水行政主管部门，</w:t>
      </w:r>
      <w:r>
        <w:rPr>
          <w:rFonts w:hint="eastAsia" w:ascii="仿宋_GB2312" w:eastAsia="仿宋_GB2312"/>
          <w:sz w:val="32"/>
          <w:szCs w:val="32"/>
        </w:rPr>
        <w:t>其所属的上海市供水管理事务中心（以下简称市供水管理事务中心）负责</w:t>
      </w:r>
      <w:r>
        <w:rPr>
          <w:rFonts w:hint="eastAsia" w:ascii="仿宋_GB2312" w:hAnsi="仿宋" w:eastAsia="仿宋_GB2312"/>
          <w:sz w:val="32"/>
          <w:szCs w:val="32"/>
        </w:rPr>
        <w:t>本市取用水领域信用评价的日常管理工作。</w:t>
      </w:r>
    </w:p>
    <w:p>
      <w:pPr>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第四条（评价原则）</w:t>
      </w:r>
    </w:p>
    <w:p>
      <w:pPr>
        <w:ind w:firstLine="640" w:firstLineChars="200"/>
        <w:rPr>
          <w:rFonts w:ascii="仿宋_GB2312" w:hAnsi="仿宋" w:eastAsia="仿宋_GB2312"/>
          <w:sz w:val="32"/>
          <w:szCs w:val="32"/>
        </w:rPr>
      </w:pPr>
      <w:r>
        <w:rPr>
          <w:rFonts w:hint="eastAsia" w:ascii="仿宋_GB2312" w:hAnsi="仿宋" w:eastAsia="仿宋_GB2312"/>
          <w:sz w:val="32"/>
          <w:szCs w:val="32"/>
        </w:rPr>
        <w:t>本市取用水领域信用评价工作，遵循合法公正、守信激励、失信惩戒的原则。</w:t>
      </w:r>
    </w:p>
    <w:p>
      <w:pPr>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第五条（信息归集）</w:t>
      </w:r>
    </w:p>
    <w:p>
      <w:pPr>
        <w:ind w:firstLine="640" w:firstLineChars="200"/>
        <w:rPr>
          <w:rFonts w:ascii="仿宋_GB2312" w:hAnsi="仿宋" w:eastAsia="仿宋_GB2312"/>
          <w:sz w:val="32"/>
          <w:szCs w:val="32"/>
        </w:rPr>
      </w:pPr>
      <w:r>
        <w:rPr>
          <w:rFonts w:hint="eastAsia" w:ascii="仿宋_GB2312" w:hAnsi="仿宋" w:eastAsia="仿宋_GB2312"/>
          <w:sz w:val="32"/>
          <w:szCs w:val="32"/>
        </w:rPr>
        <w:t>本市取用水领域信用信息归集依托上海市公共信用信息服务平台进行。市供水管理事务中心进行涉及取用水领域信用信息的行政处罚事项类别认定。取用水领域信用信息主要包括取用水户基本信息、失信行为信息、信用评价信息等。</w:t>
      </w:r>
    </w:p>
    <w:p>
      <w:pPr>
        <w:ind w:firstLine="640" w:firstLineChars="200"/>
        <w:rPr>
          <w:rFonts w:ascii="仿宋_GB2312" w:hAnsi="仿宋" w:eastAsia="仿宋_GB2312"/>
          <w:sz w:val="32"/>
          <w:szCs w:val="32"/>
        </w:rPr>
      </w:pPr>
      <w:r>
        <w:rPr>
          <w:rFonts w:hint="eastAsia" w:ascii="仿宋_GB2312" w:hAnsi="仿宋" w:eastAsia="仿宋_GB2312"/>
          <w:sz w:val="32"/>
          <w:szCs w:val="32"/>
        </w:rPr>
        <w:t>取用水户基本信息包括：名称、法定代表人、统一社会信用代码等登记注册信息；取水许可决定书、取水许可证等行政许可信息。</w:t>
      </w:r>
    </w:p>
    <w:p>
      <w:pPr>
        <w:ind w:firstLine="640" w:firstLineChars="200"/>
        <w:rPr>
          <w:rFonts w:ascii="仿宋_GB2312" w:hAnsi="仿宋" w:eastAsia="仿宋_GB2312"/>
          <w:sz w:val="32"/>
          <w:szCs w:val="32"/>
        </w:rPr>
      </w:pPr>
      <w:r>
        <w:rPr>
          <w:rFonts w:hint="eastAsia" w:ascii="仿宋_GB2312" w:hAnsi="仿宋" w:eastAsia="仿宋_GB2312"/>
          <w:sz w:val="32"/>
          <w:szCs w:val="32"/>
        </w:rPr>
        <w:t>取用水户失信行为信息包括：失信时间、失信行为、行政处罚、信用扣分等信息。</w:t>
      </w:r>
    </w:p>
    <w:p>
      <w:pPr>
        <w:ind w:firstLine="640" w:firstLineChars="200"/>
        <w:rPr>
          <w:rFonts w:ascii="仿宋_GB2312" w:hAnsi="仿宋" w:eastAsia="仿宋_GB2312"/>
          <w:sz w:val="32"/>
          <w:szCs w:val="32"/>
        </w:rPr>
      </w:pPr>
      <w:r>
        <w:rPr>
          <w:rFonts w:hint="eastAsia" w:ascii="仿宋_GB2312" w:hAnsi="仿宋" w:eastAsia="仿宋_GB2312"/>
          <w:sz w:val="32"/>
          <w:szCs w:val="32"/>
        </w:rPr>
        <w:t>取用水户信用评价信息包括：失信评价等级、信用修复情况等信息。</w:t>
      </w:r>
    </w:p>
    <w:p>
      <w:pPr>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第六条（评价方式）</w:t>
      </w:r>
    </w:p>
    <w:p>
      <w:pPr>
        <w:ind w:firstLine="640" w:firstLineChars="200"/>
        <w:rPr>
          <w:rFonts w:ascii="仿宋_GB2312" w:hAnsi="仿宋" w:eastAsia="仿宋_GB2312"/>
          <w:sz w:val="32"/>
          <w:szCs w:val="32"/>
        </w:rPr>
      </w:pPr>
      <w:r>
        <w:rPr>
          <w:rFonts w:hint="eastAsia" w:ascii="仿宋_GB2312" w:hAnsi="仿宋" w:eastAsia="仿宋_GB2312"/>
          <w:sz w:val="32"/>
          <w:szCs w:val="32"/>
        </w:rPr>
        <w:t>本市以上海市公共信用信息服务平台为支撑，以归集的取用水领域信用信息为基础，对取用水户开展信用评价。信用评价实行</w:t>
      </w:r>
      <w:r>
        <w:rPr>
          <w:rFonts w:hint="eastAsia" w:ascii="仿宋_GB2312" w:hAnsi="仿宋" w:eastAsia="仿宋_GB2312"/>
          <w:sz w:val="32"/>
          <w:szCs w:val="32"/>
          <w:lang w:val="en-US" w:eastAsia="zh-CN"/>
        </w:rPr>
        <w:t>加减分</w:t>
      </w:r>
      <w:r>
        <w:rPr>
          <w:rFonts w:hint="eastAsia" w:ascii="仿宋_GB2312" w:hAnsi="仿宋" w:eastAsia="仿宋_GB2312"/>
          <w:sz w:val="32"/>
          <w:szCs w:val="32"/>
        </w:rPr>
        <w:t>制，初始分为100分，根据评分结果确定信用等级。信用评价相关技术工作可委托第三方服务单位开展。</w:t>
      </w:r>
    </w:p>
    <w:p>
      <w:pPr>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第七条（评分规则）</w:t>
      </w:r>
    </w:p>
    <w:p>
      <w:pPr>
        <w:ind w:firstLine="640" w:firstLineChars="200"/>
        <w:rPr>
          <w:rFonts w:ascii="仿宋_GB2312" w:hAnsi="仿宋" w:eastAsia="仿宋_GB2312"/>
          <w:sz w:val="32"/>
          <w:szCs w:val="32"/>
        </w:rPr>
      </w:pPr>
      <w:r>
        <w:rPr>
          <w:rFonts w:hint="eastAsia" w:ascii="仿宋_GB2312" w:hAnsi="仿宋" w:eastAsia="仿宋_GB2312"/>
          <w:sz w:val="32"/>
          <w:szCs w:val="32"/>
        </w:rPr>
        <w:t>根据相关执法部门对取用水户在取用水领域违法违规和弄虚作假等失信行为作出的行政处罚、行政强制以及相关执法记录等，以相关生效的行政决定文书，以及其他权威、准确的文件或记录为依据进行取用水户信用评分。</w:t>
      </w:r>
    </w:p>
    <w:p>
      <w:pPr>
        <w:ind w:firstLine="640" w:firstLineChars="200"/>
        <w:rPr>
          <w:rFonts w:ascii="仿宋_GB2312" w:hAnsi="仿宋" w:eastAsia="仿宋_GB2312"/>
          <w:sz w:val="32"/>
          <w:szCs w:val="32"/>
        </w:rPr>
      </w:pPr>
      <w:r>
        <w:rPr>
          <w:rFonts w:hint="eastAsia" w:ascii="仿宋_GB2312" w:hAnsi="仿宋" w:eastAsia="仿宋_GB2312"/>
          <w:sz w:val="32"/>
          <w:szCs w:val="32"/>
        </w:rPr>
        <w:t>评价指标包括取水许可行为、取用水监测计量统计、水资源费（税）缴纳、地下水开发利用及保护、取用水监督检查、其他等</w:t>
      </w:r>
      <w:r>
        <w:rPr>
          <w:rFonts w:ascii="仿宋_GB2312" w:hAnsi="仿宋" w:eastAsia="仿宋_GB2312"/>
          <w:sz w:val="32"/>
          <w:szCs w:val="32"/>
        </w:rPr>
        <w:t>6大类。</w:t>
      </w:r>
      <w:r>
        <w:rPr>
          <w:rFonts w:hint="eastAsia" w:ascii="仿宋_GB2312" w:hAnsi="仿宋" w:eastAsia="仿宋_GB2312"/>
          <w:sz w:val="32"/>
          <w:szCs w:val="32"/>
        </w:rPr>
        <w:t>具体评分规则见附件1。</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对于用水定额值达到先进定额、开展水平衡测试、</w:t>
      </w:r>
      <w:r>
        <w:rPr>
          <w:rFonts w:hint="eastAsia" w:ascii="仿宋_GB2312" w:hAnsi="仿宋" w:eastAsia="仿宋_GB2312"/>
          <w:sz w:val="32"/>
          <w:szCs w:val="32"/>
          <w:lang w:val="en-US" w:eastAsia="zh-CN"/>
        </w:rPr>
        <w:t>作为水权交易出让方的取水户</w:t>
      </w:r>
      <w:r>
        <w:rPr>
          <w:rFonts w:hint="eastAsia" w:ascii="仿宋_GB2312" w:hAnsi="仿宋" w:eastAsia="仿宋_GB2312"/>
          <w:sz w:val="32"/>
          <w:szCs w:val="32"/>
        </w:rPr>
        <w:t>，可在评分基础上给予每项加5分，但总分不得高于100分。</w:t>
      </w:r>
    </w:p>
    <w:p>
      <w:pPr>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第八条（等级划分）</w:t>
      </w:r>
    </w:p>
    <w:p>
      <w:pPr>
        <w:ind w:firstLine="640" w:firstLineChars="200"/>
        <w:rPr>
          <w:rFonts w:ascii="仿宋_GB2312" w:hAnsi="仿宋" w:eastAsia="仿宋_GB2312"/>
          <w:sz w:val="32"/>
          <w:szCs w:val="32"/>
        </w:rPr>
      </w:pPr>
      <w:r>
        <w:rPr>
          <w:rFonts w:hint="eastAsia" w:ascii="仿宋_GB2312" w:hAnsi="仿宋" w:eastAsia="仿宋_GB2312"/>
          <w:sz w:val="32"/>
          <w:szCs w:val="32"/>
        </w:rPr>
        <w:t>取用水户根据其年度信用评价得分情况，分为A、B、C、D四个信用等级，分别对应优秀、良好、一般、较差。具体等级划分标准如下：</w:t>
      </w:r>
    </w:p>
    <w:p>
      <w:pPr>
        <w:ind w:firstLine="640" w:firstLineChars="200"/>
        <w:rPr>
          <w:rFonts w:ascii="仿宋_GB2312" w:hAnsi="仿宋" w:eastAsia="仿宋_GB2312"/>
          <w:sz w:val="32"/>
          <w:szCs w:val="32"/>
        </w:rPr>
      </w:pPr>
      <w:r>
        <w:rPr>
          <w:rFonts w:hint="eastAsia" w:ascii="仿宋_GB2312" w:hAnsi="仿宋" w:eastAsia="仿宋_GB2312"/>
          <w:sz w:val="32"/>
          <w:szCs w:val="32"/>
        </w:rPr>
        <w:t>（一）评分为100分的，信用等级为优秀（A级）；</w:t>
      </w:r>
    </w:p>
    <w:p>
      <w:pPr>
        <w:ind w:firstLine="640" w:firstLineChars="200"/>
        <w:rPr>
          <w:rFonts w:ascii="仿宋_GB2312" w:hAnsi="仿宋" w:eastAsia="仿宋_GB2312"/>
          <w:sz w:val="32"/>
          <w:szCs w:val="32"/>
        </w:rPr>
      </w:pPr>
      <w:r>
        <w:rPr>
          <w:rFonts w:hint="eastAsia" w:ascii="仿宋_GB2312" w:hAnsi="仿宋" w:eastAsia="仿宋_GB2312"/>
          <w:sz w:val="32"/>
          <w:szCs w:val="32"/>
        </w:rPr>
        <w:t>（二）评分在85分及以上不足100分的，信用等级为良好（B级）；</w:t>
      </w:r>
    </w:p>
    <w:p>
      <w:pPr>
        <w:ind w:firstLine="640" w:firstLineChars="200"/>
        <w:rPr>
          <w:rFonts w:ascii="仿宋_GB2312" w:hAnsi="仿宋" w:eastAsia="仿宋_GB2312"/>
          <w:sz w:val="32"/>
          <w:szCs w:val="32"/>
        </w:rPr>
      </w:pPr>
      <w:r>
        <w:rPr>
          <w:rFonts w:hint="eastAsia" w:ascii="仿宋_GB2312" w:hAnsi="仿宋" w:eastAsia="仿宋_GB2312"/>
          <w:sz w:val="32"/>
          <w:szCs w:val="32"/>
        </w:rPr>
        <w:t>（三）评分在60分及以上不足85分的，信用等级为一般（C级）；</w:t>
      </w:r>
    </w:p>
    <w:p>
      <w:pPr>
        <w:ind w:firstLine="640" w:firstLineChars="200"/>
        <w:rPr>
          <w:rFonts w:ascii="仿宋_GB2312" w:hAnsi="仿宋" w:eastAsia="仿宋_GB2312"/>
          <w:sz w:val="32"/>
          <w:szCs w:val="32"/>
        </w:rPr>
      </w:pPr>
      <w:r>
        <w:rPr>
          <w:rFonts w:hint="eastAsia" w:ascii="仿宋_GB2312" w:hAnsi="仿宋" w:eastAsia="仿宋_GB2312"/>
          <w:sz w:val="32"/>
          <w:szCs w:val="32"/>
        </w:rPr>
        <w:t>（四）评分不足60分的，信用等级为较差（D级）。</w:t>
      </w:r>
    </w:p>
    <w:p>
      <w:pPr>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第九条（评价周期）</w:t>
      </w:r>
    </w:p>
    <w:p>
      <w:pPr>
        <w:ind w:firstLine="640" w:firstLineChars="200"/>
        <w:rPr>
          <w:rFonts w:ascii="仿宋_GB2312" w:hAnsi="仿宋" w:eastAsia="仿宋_GB2312"/>
          <w:sz w:val="32"/>
          <w:szCs w:val="32"/>
        </w:rPr>
      </w:pPr>
      <w:r>
        <w:rPr>
          <w:rFonts w:hint="eastAsia" w:ascii="仿宋_GB2312" w:hAnsi="仿宋" w:eastAsia="仿宋_GB2312"/>
          <w:sz w:val="32"/>
          <w:szCs w:val="32"/>
        </w:rPr>
        <w:t>取用水领域信用信息实行动态更新，失信行为信息自相应行政处罚、行政强制等生效之日起即纳入取用水领域信用信息。取用水领域信用评价根据取用水领域信用信息实行动态评价。每年</w:t>
      </w:r>
      <w:r>
        <w:rPr>
          <w:rFonts w:ascii="仿宋_GB2312" w:hAnsi="仿宋" w:eastAsia="仿宋_GB2312"/>
          <w:sz w:val="32"/>
          <w:szCs w:val="32"/>
        </w:rPr>
        <w:t>1</w:t>
      </w:r>
      <w:r>
        <w:rPr>
          <w:rFonts w:hint="eastAsia" w:ascii="仿宋_GB2312" w:hAnsi="仿宋" w:eastAsia="仿宋_GB2312"/>
          <w:sz w:val="32"/>
          <w:szCs w:val="32"/>
        </w:rPr>
        <w:t>月底完成上一年度取用水领域信用的年度评价工作，评价结果反映取用水户截止至上一年度1</w:t>
      </w:r>
      <w:r>
        <w:rPr>
          <w:rFonts w:ascii="仿宋_GB2312" w:hAnsi="仿宋" w:eastAsia="仿宋_GB2312"/>
          <w:sz w:val="32"/>
          <w:szCs w:val="32"/>
        </w:rPr>
        <w:t>2</w:t>
      </w:r>
      <w:r>
        <w:rPr>
          <w:rFonts w:hint="eastAsia" w:ascii="仿宋_GB2312" w:hAnsi="仿宋" w:eastAsia="仿宋_GB2312"/>
          <w:sz w:val="32"/>
          <w:szCs w:val="32"/>
        </w:rPr>
        <w:t>月3</w:t>
      </w:r>
      <w:r>
        <w:rPr>
          <w:rFonts w:ascii="仿宋_GB2312" w:hAnsi="仿宋" w:eastAsia="仿宋_GB2312"/>
          <w:sz w:val="32"/>
          <w:szCs w:val="32"/>
        </w:rPr>
        <w:t>1</w:t>
      </w:r>
      <w:r>
        <w:rPr>
          <w:rFonts w:hint="eastAsia" w:ascii="仿宋_GB2312" w:hAnsi="仿宋" w:eastAsia="仿宋_GB2312"/>
          <w:sz w:val="32"/>
          <w:szCs w:val="32"/>
        </w:rPr>
        <w:t>日的取用水领域信用状况。</w:t>
      </w:r>
    </w:p>
    <w:p>
      <w:pPr>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第十条（结果确定和公布）</w:t>
      </w:r>
    </w:p>
    <w:p>
      <w:pPr>
        <w:ind w:firstLine="640" w:firstLineChars="200"/>
        <w:rPr>
          <w:rFonts w:ascii="仿宋_GB2312" w:hAnsi="仿宋" w:eastAsia="仿宋_GB2312"/>
          <w:sz w:val="32"/>
          <w:szCs w:val="32"/>
        </w:rPr>
      </w:pPr>
      <w:r>
        <w:rPr>
          <w:rFonts w:hint="eastAsia" w:ascii="仿宋_GB2312" w:hAnsi="仿宋" w:eastAsia="仿宋_GB2312"/>
          <w:sz w:val="32"/>
          <w:szCs w:val="32"/>
        </w:rPr>
        <w:t>市水务局每年3月确定上一年度取用水信用年度评价结果，并通过“信用中国（上海）”网站为取用水户提供自我查询服务。公示期1</w:t>
      </w:r>
      <w:r>
        <w:rPr>
          <w:rFonts w:ascii="仿宋_GB2312" w:hAnsi="仿宋" w:eastAsia="仿宋_GB2312"/>
          <w:sz w:val="32"/>
          <w:szCs w:val="32"/>
        </w:rPr>
        <w:t>5</w:t>
      </w:r>
      <w:r>
        <w:rPr>
          <w:rFonts w:hint="eastAsia" w:ascii="仿宋_GB2312" w:hAnsi="仿宋" w:eastAsia="仿宋_GB2312"/>
          <w:sz w:val="32"/>
          <w:szCs w:val="32"/>
        </w:rPr>
        <w:t>个工作日。</w:t>
      </w:r>
    </w:p>
    <w:p>
      <w:pPr>
        <w:ind w:firstLine="640" w:firstLineChars="200"/>
        <w:rPr>
          <w:rFonts w:ascii="仿宋_GB2312" w:hAnsi="仿宋" w:eastAsia="仿宋_GB2312"/>
          <w:sz w:val="32"/>
          <w:szCs w:val="32"/>
        </w:rPr>
      </w:pPr>
      <w:r>
        <w:rPr>
          <w:rFonts w:hint="eastAsia" w:ascii="仿宋_GB2312" w:hAnsi="仿宋" w:eastAsia="仿宋_GB2312"/>
          <w:sz w:val="32"/>
          <w:szCs w:val="32"/>
        </w:rPr>
        <w:t>市水务局对取用水信用评价结果，按分级分类原则，于每年3月31日前，在“信用中国（上海）”网站</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市水务局网站</w:t>
      </w:r>
      <w:r>
        <w:rPr>
          <w:rFonts w:hint="eastAsia" w:ascii="仿宋_GB2312" w:hAnsi="仿宋" w:eastAsia="仿宋_GB2312"/>
          <w:sz w:val="32"/>
          <w:szCs w:val="32"/>
        </w:rPr>
        <w:t>上主动公开A级取用水户名单。</w:t>
      </w:r>
    </w:p>
    <w:p>
      <w:pPr>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第十一条（异议处理）</w:t>
      </w:r>
    </w:p>
    <w:p>
      <w:pPr>
        <w:ind w:firstLine="640" w:firstLineChars="200"/>
        <w:rPr>
          <w:rFonts w:ascii="仿宋_GB2312" w:hAnsi="仿宋" w:eastAsia="仿宋_GB2312"/>
          <w:sz w:val="32"/>
          <w:szCs w:val="32"/>
        </w:rPr>
      </w:pPr>
      <w:r>
        <w:rPr>
          <w:rFonts w:hint="eastAsia" w:ascii="仿宋_GB2312" w:hAnsi="仿宋" w:eastAsia="仿宋_GB2312"/>
          <w:sz w:val="32"/>
          <w:szCs w:val="32"/>
        </w:rPr>
        <w:t>取用水户对信用评价结果有异议的，可在公示期内，填写《取用水领域信用核实申请表》（附件2），向市水务局申请核实。</w:t>
      </w:r>
    </w:p>
    <w:p>
      <w:pPr>
        <w:ind w:firstLine="640" w:firstLineChars="200"/>
        <w:rPr>
          <w:rFonts w:ascii="仿宋_GB2312" w:hAnsi="仿宋" w:eastAsia="仿宋_GB2312"/>
          <w:sz w:val="32"/>
          <w:szCs w:val="32"/>
        </w:rPr>
      </w:pPr>
      <w:r>
        <w:rPr>
          <w:rFonts w:hint="eastAsia" w:ascii="仿宋_GB2312" w:hAnsi="仿宋" w:eastAsia="仿宋_GB2312"/>
          <w:sz w:val="32"/>
          <w:szCs w:val="32"/>
        </w:rPr>
        <w:t>市水务局应当自收到核实申请之日起10个工作日内委托市供水事务管理中心按照本细则第六条、第七条和第八条规定，完成核实工作，并向取用水户反馈信用核实信息（附件3）或提供核实结果的自我查询服务。</w:t>
      </w:r>
    </w:p>
    <w:p>
      <w:pPr>
        <w:ind w:firstLine="640" w:firstLineChars="200"/>
        <w:rPr>
          <w:rFonts w:ascii="仿宋_GB2312" w:hAnsi="仿宋" w:eastAsia="仿宋_GB2312"/>
          <w:sz w:val="32"/>
          <w:szCs w:val="32"/>
        </w:rPr>
      </w:pPr>
      <w:r>
        <w:rPr>
          <w:rFonts w:hint="eastAsia" w:ascii="仿宋_GB2312" w:hAnsi="仿宋" w:eastAsia="仿宋_GB2312"/>
          <w:sz w:val="32"/>
          <w:szCs w:val="32"/>
        </w:rPr>
        <w:t>经核实申请理由成立的，市水务局对信用评价结果予以调整。“信用中国（上海）”网站和市水务局网站及时更新公布的取用水领域信用评价信息。</w:t>
      </w:r>
    </w:p>
    <w:p>
      <w:pPr>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第十二条（信用修复）</w:t>
      </w:r>
    </w:p>
    <w:p>
      <w:pPr>
        <w:ind w:firstLine="640" w:firstLineChars="200"/>
        <w:rPr>
          <w:rFonts w:ascii="仿宋_GB2312" w:hAnsi="仿宋" w:eastAsia="仿宋_GB2312"/>
          <w:sz w:val="32"/>
          <w:szCs w:val="32"/>
        </w:rPr>
      </w:pPr>
      <w:r>
        <w:rPr>
          <w:rFonts w:hint="eastAsia" w:ascii="仿宋_GB2312" w:hAnsi="仿宋" w:eastAsia="仿宋_GB2312"/>
          <w:sz w:val="32"/>
          <w:szCs w:val="32"/>
        </w:rPr>
        <w:t>信用修复条件和流程按照</w:t>
      </w:r>
      <w:r>
        <w:rPr>
          <w:rFonts w:ascii="仿宋_GB2312" w:hAnsi="仿宋" w:eastAsia="仿宋_GB2312"/>
          <w:sz w:val="32"/>
          <w:szCs w:val="32"/>
        </w:rPr>
        <w:t>《失信行为纠正后的信用信息修复管理办法（试行）》</w:t>
      </w:r>
      <w:r>
        <w:rPr>
          <w:rFonts w:hint="eastAsia" w:ascii="仿宋_GB2312" w:hAnsi="仿宋" w:eastAsia="仿宋_GB2312"/>
          <w:sz w:val="32"/>
          <w:szCs w:val="32"/>
        </w:rPr>
        <w:t>（国家发展和改革委员会令第</w:t>
      </w:r>
      <w:r>
        <w:rPr>
          <w:rFonts w:ascii="仿宋_GB2312" w:hAnsi="仿宋" w:eastAsia="仿宋_GB2312"/>
          <w:sz w:val="32"/>
          <w:szCs w:val="32"/>
        </w:rPr>
        <w:t>58号</w:t>
      </w:r>
      <w:r>
        <w:rPr>
          <w:rFonts w:hint="eastAsia" w:ascii="仿宋_GB2312" w:hAnsi="仿宋" w:eastAsia="仿宋_GB2312"/>
          <w:sz w:val="32"/>
          <w:szCs w:val="32"/>
        </w:rPr>
        <w:t>）、《关于进一步完善本市公共信用信息修复机制的工作方案》（沪府办规〔</w:t>
      </w:r>
      <w:r>
        <w:rPr>
          <w:rFonts w:ascii="仿宋_GB2312" w:hAnsi="仿宋" w:eastAsia="仿宋_GB2312"/>
          <w:sz w:val="32"/>
          <w:szCs w:val="32"/>
        </w:rPr>
        <w:t>2024〕8号）</w:t>
      </w:r>
      <w:r>
        <w:rPr>
          <w:rFonts w:hint="eastAsia" w:ascii="仿宋_GB2312" w:hAnsi="仿宋" w:eastAsia="仿宋_GB2312"/>
          <w:sz w:val="32"/>
          <w:szCs w:val="32"/>
        </w:rPr>
        <w:t>实施。</w:t>
      </w:r>
    </w:p>
    <w:p>
      <w:pPr>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第十三条（信息应用）</w:t>
      </w:r>
    </w:p>
    <w:p>
      <w:pPr>
        <w:ind w:firstLine="640" w:firstLineChars="200"/>
        <w:rPr>
          <w:rFonts w:ascii="仿宋_GB2312" w:hAnsi="仿宋" w:eastAsia="仿宋_GB2312"/>
          <w:sz w:val="32"/>
          <w:szCs w:val="32"/>
        </w:rPr>
      </w:pPr>
      <w:r>
        <w:rPr>
          <w:rFonts w:hint="eastAsia" w:ascii="仿宋_GB2312" w:hAnsi="仿宋" w:eastAsia="仿宋_GB2312"/>
          <w:sz w:val="32"/>
          <w:szCs w:val="32"/>
        </w:rPr>
        <w:t>市水务局和水务执法部门加强信用评价结果的应用，建立健全守信激励和失信惩戒机制。</w:t>
      </w:r>
    </w:p>
    <w:p>
      <w:pPr>
        <w:ind w:firstLine="640" w:firstLineChars="200"/>
        <w:rPr>
          <w:rFonts w:ascii="仿宋_GB2312" w:hAnsi="仿宋" w:eastAsia="仿宋_GB2312"/>
          <w:sz w:val="32"/>
          <w:szCs w:val="32"/>
        </w:rPr>
      </w:pPr>
      <w:r>
        <w:rPr>
          <w:rFonts w:hint="eastAsia" w:ascii="仿宋_GB2312" w:hAnsi="仿宋" w:eastAsia="仿宋_GB2312"/>
          <w:sz w:val="32"/>
          <w:szCs w:val="32"/>
        </w:rPr>
        <w:t>对于信用评价等级为A级的取用水户，可以结合实际情况实施以下守信激励措施：</w:t>
      </w:r>
    </w:p>
    <w:p>
      <w:pPr>
        <w:ind w:firstLine="640" w:firstLineChars="200"/>
        <w:rPr>
          <w:rFonts w:ascii="仿宋_GB2312" w:hAnsi="仿宋" w:eastAsia="仿宋_GB2312"/>
          <w:sz w:val="32"/>
          <w:szCs w:val="32"/>
        </w:rPr>
      </w:pPr>
      <w:r>
        <w:rPr>
          <w:rFonts w:hint="eastAsia" w:ascii="仿宋_GB2312" w:hAnsi="仿宋" w:eastAsia="仿宋_GB2312"/>
          <w:sz w:val="32"/>
          <w:szCs w:val="32"/>
        </w:rPr>
        <w:t>（一）</w:t>
      </w:r>
      <w:r>
        <w:rPr>
          <w:rFonts w:hint="eastAsia" w:ascii="仿宋_GB2312" w:hAnsi="仿宋" w:eastAsia="仿宋_GB2312"/>
          <w:sz w:val="32"/>
          <w:szCs w:val="32"/>
          <w:lang w:val="en-US" w:eastAsia="zh-CN"/>
        </w:rPr>
        <w:t>在“双随机、一公开”监管中，</w:t>
      </w:r>
      <w:r>
        <w:rPr>
          <w:rFonts w:hint="eastAsia" w:ascii="仿宋_GB2312" w:hAnsi="仿宋" w:eastAsia="仿宋_GB2312"/>
          <w:sz w:val="32"/>
          <w:szCs w:val="32"/>
        </w:rPr>
        <w:t>减少抽查比例和频次；</w:t>
      </w:r>
    </w:p>
    <w:p>
      <w:pPr>
        <w:ind w:firstLine="640" w:firstLineChars="200"/>
        <w:rPr>
          <w:rFonts w:ascii="仿宋_GB2312" w:hAnsi="仿宋" w:eastAsia="仿宋_GB2312"/>
          <w:sz w:val="32"/>
          <w:szCs w:val="32"/>
        </w:rPr>
      </w:pPr>
      <w:r>
        <w:rPr>
          <w:rFonts w:hint="eastAsia" w:ascii="仿宋_GB2312" w:hAnsi="仿宋" w:eastAsia="仿宋_GB2312"/>
          <w:sz w:val="32"/>
          <w:szCs w:val="32"/>
        </w:rPr>
        <w:t>（二）简化取水许可延续变更程序；</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（三）同等条件下，在</w:t>
      </w:r>
      <w:r>
        <w:rPr>
          <w:rFonts w:hint="eastAsia" w:ascii="仿宋_GB2312" w:hAnsi="仿宋" w:eastAsia="仿宋_GB2312"/>
          <w:sz w:val="32"/>
          <w:szCs w:val="32"/>
          <w:lang w:val="en-US" w:eastAsia="zh-CN"/>
        </w:rPr>
        <w:t>水效领跑者、节水技术推广、节水减排项目资金</w:t>
      </w:r>
      <w:r>
        <w:rPr>
          <w:rFonts w:hint="eastAsia" w:ascii="仿宋_GB2312" w:hAnsi="仿宋" w:eastAsia="仿宋_GB2312"/>
          <w:sz w:val="32"/>
          <w:szCs w:val="32"/>
        </w:rPr>
        <w:t>等方面，依法依规列为优先选择对象</w:t>
      </w:r>
      <w:r>
        <w:rPr>
          <w:rFonts w:hint="eastAsia" w:ascii="仿宋_GB2312" w:hAnsi="仿宋" w:eastAsia="仿宋_GB2312"/>
          <w:sz w:val="32"/>
          <w:szCs w:val="32"/>
          <w:lang w:eastAsia="zh-CN"/>
        </w:rPr>
        <w:t>；</w:t>
      </w:r>
    </w:p>
    <w:p>
      <w:pPr>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四）法律法规规定可以采取的其他激励措施。</w:t>
      </w:r>
    </w:p>
    <w:p>
      <w:pPr>
        <w:ind w:firstLine="640" w:firstLineChars="200"/>
        <w:rPr>
          <w:rFonts w:ascii="仿宋_GB2312" w:hAnsi="仿宋" w:eastAsia="仿宋_GB2312"/>
          <w:sz w:val="32"/>
          <w:szCs w:val="32"/>
        </w:rPr>
      </w:pPr>
      <w:r>
        <w:rPr>
          <w:rFonts w:hint="eastAsia" w:ascii="仿宋_GB2312" w:hAnsi="仿宋" w:eastAsia="仿宋_GB2312"/>
          <w:sz w:val="32"/>
          <w:szCs w:val="32"/>
        </w:rPr>
        <w:t>对于信用评价等级为D级的取用水户，可以结合实际情况实施以下失信惩戒措施：</w:t>
      </w:r>
    </w:p>
    <w:p>
      <w:pPr>
        <w:ind w:firstLine="640" w:firstLineChars="200"/>
        <w:rPr>
          <w:rFonts w:ascii="仿宋_GB2312" w:hAnsi="仿宋" w:eastAsia="仿宋_GB2312"/>
          <w:sz w:val="32"/>
          <w:szCs w:val="32"/>
        </w:rPr>
      </w:pPr>
      <w:r>
        <w:rPr>
          <w:rFonts w:hint="eastAsia" w:ascii="仿宋_GB2312" w:hAnsi="仿宋" w:eastAsia="仿宋_GB2312"/>
          <w:sz w:val="32"/>
          <w:szCs w:val="32"/>
        </w:rPr>
        <w:t>（一）列为重点监管对象，加大日常监管力度，提高抽查比例和频次；</w:t>
      </w:r>
    </w:p>
    <w:p>
      <w:pPr>
        <w:ind w:firstLine="640" w:firstLineChars="200"/>
        <w:rPr>
          <w:rFonts w:ascii="仿宋_GB2312" w:hAnsi="仿宋" w:eastAsia="仿宋_GB2312"/>
          <w:sz w:val="32"/>
          <w:szCs w:val="32"/>
        </w:rPr>
      </w:pPr>
      <w:r>
        <w:rPr>
          <w:rFonts w:hint="eastAsia" w:ascii="仿宋_GB2312" w:hAnsi="仿宋" w:eastAsia="仿宋_GB2312"/>
          <w:sz w:val="32"/>
          <w:szCs w:val="32"/>
        </w:rPr>
        <w:t>（二）暂停取用水领域各类专项资金补助；</w:t>
      </w:r>
    </w:p>
    <w:p>
      <w:pPr>
        <w:ind w:firstLine="640" w:firstLineChars="200"/>
        <w:rPr>
          <w:rFonts w:ascii="仿宋_GB2312" w:hAnsi="仿宋" w:eastAsia="仿宋_GB2312"/>
          <w:sz w:val="32"/>
          <w:szCs w:val="32"/>
        </w:rPr>
      </w:pPr>
      <w:r>
        <w:rPr>
          <w:rFonts w:hint="eastAsia" w:ascii="仿宋_GB2312" w:hAnsi="仿宋" w:eastAsia="仿宋_GB2312"/>
          <w:sz w:val="32"/>
          <w:szCs w:val="32"/>
        </w:rPr>
        <w:t>（三）不适用取水许可告知承诺制。</w:t>
      </w:r>
    </w:p>
    <w:p>
      <w:pPr>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第十四条（附则）</w:t>
      </w:r>
    </w:p>
    <w:p>
      <w:pPr>
        <w:ind w:firstLine="640" w:firstLineChars="200"/>
        <w:rPr>
          <w:rFonts w:ascii="仿宋_GB2312" w:hAnsi="仿宋" w:eastAsia="仿宋_GB2312"/>
          <w:sz w:val="32"/>
          <w:szCs w:val="32"/>
        </w:rPr>
      </w:pPr>
      <w:r>
        <w:rPr>
          <w:rFonts w:hint="eastAsia" w:ascii="仿宋_GB2312" w:hAnsi="仿宋" w:eastAsia="仿宋_GB2312"/>
          <w:sz w:val="32"/>
          <w:szCs w:val="32"/>
        </w:rPr>
        <w:t>本实施细则</w:t>
      </w:r>
      <w:r>
        <w:rPr>
          <w:rFonts w:hint="eastAsia" w:ascii="仿宋_GB2312" w:hAnsi="仿宋" w:eastAsia="仿宋_GB2312"/>
          <w:sz w:val="32"/>
          <w:szCs w:val="32"/>
          <w:lang w:val="en-US" w:eastAsia="zh-CN"/>
        </w:rPr>
        <w:t>自发布之日起生效，有效期两年</w:t>
      </w:r>
      <w:r>
        <w:rPr>
          <w:rFonts w:hint="eastAsia" w:ascii="仿宋_GB2312" w:hAnsi="仿宋" w:eastAsia="仿宋_GB2312"/>
          <w:sz w:val="32"/>
          <w:szCs w:val="32"/>
        </w:rPr>
        <w:t>。</w:t>
      </w:r>
    </w:p>
    <w:p>
      <w:pPr>
        <w:rPr>
          <w:rFonts w:ascii="仿宋_GB2312" w:hAnsi="仿宋" w:eastAsia="仿宋_GB2312"/>
          <w:sz w:val="32"/>
          <w:szCs w:val="32"/>
        </w:rPr>
      </w:pPr>
    </w:p>
    <w:p>
      <w:pPr>
        <w:rPr>
          <w:rFonts w:ascii="仿宋_GB2312" w:hAnsi="仿宋" w:eastAsia="仿宋_GB2312"/>
          <w:sz w:val="32"/>
          <w:szCs w:val="32"/>
        </w:rPr>
        <w:sectPr>
          <w:footerReference r:id="rId3" w:type="default"/>
          <w:pgSz w:w="11906" w:h="16838"/>
          <w:pgMar w:top="1440" w:right="1800" w:bottom="1440" w:left="1800" w:header="851" w:footer="992" w:gutter="0"/>
          <w:cols w:space="720" w:num="1"/>
          <w:docGrid w:type="lines" w:linePitch="312" w:charSpace="0"/>
        </w:sectPr>
      </w:pPr>
    </w:p>
    <w:p>
      <w:pPr>
        <w:pStyle w:val="2"/>
        <w:spacing w:line="600" w:lineRule="exact"/>
        <w:ind w:firstLine="0" w:firstLineChars="0"/>
        <w:rPr>
          <w:rFonts w:hint="eastAsia" w:ascii="黑体" w:hAnsi="黑体" w:eastAsia="黑体" w:cs="黑体"/>
        </w:rPr>
      </w:pPr>
      <w:r>
        <w:rPr>
          <w:rFonts w:hint="eastAsia" w:ascii="黑体" w:hAnsi="黑体" w:cs="黑体"/>
        </w:rPr>
        <w:t>附件1</w:t>
      </w:r>
    </w:p>
    <w:p>
      <w:pPr>
        <w:spacing w:line="600" w:lineRule="exact"/>
        <w:rPr>
          <w:rFonts w:hint="default"/>
        </w:rPr>
      </w:pPr>
    </w:p>
    <w:p>
      <w:pPr>
        <w:pStyle w:val="2"/>
        <w:spacing w:line="60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取用水领域信用评分规则</w:t>
      </w:r>
    </w:p>
    <w:p>
      <w:pPr>
        <w:spacing w:line="600" w:lineRule="exact"/>
        <w:rPr>
          <w:rFonts w:hint="eastAsia" w:ascii="仿宋_GB2312" w:hAnsi="仿宋_GB2312" w:eastAsia="仿宋_GB2312" w:cs="仿宋_GB231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（一）以相关行政决定文书以及其他权威、准确的文件或记录明确的取用水户违法违规和弄虚作假等失信行为作为扣分依据，一个失信行为对应一项评价指标，多个失信行为对应多项评价指标。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（二）失信行为涉及一项评价指标的，对该项指标扣分；涉及两项及以上评价指标的，累计扣分，扣完为止。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（三）取用水户失信行为涉及的评价指标为一般或较重等级，水行政主管部门（水务执法部门）已下达停止违法违规行为责令整改通知书，且仍未在规定期限内完成整改的，直接评定为C级。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（四）取用水户有下列情形之一的，直接评定为D级：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1.取用水户失信行为涉及的评价指标为严重等级，水行政主管部门（水务执法部门）已下达停止违法违规行为责令整改通知书，且仍未在规定期限内完成整改的；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2.取用水户失信行为被省级及以上水行政主管部门或其他有关部门实施挂牌督办的；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3.因取用水违法，相关责任人被追究刑事责任的；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4.被列入取用水严重失信主体名单的；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5.其他造成与取用水相关的严重恶劣社会影响的。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（五）参考相关部门在行政管理和公共服务的公共信用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信息、公共信用综合评价信息，对取用水户在其他领域信用评价结果为最低等级的或被列入其他领域严重失信主体名单的，其取用水领域信用评价等级不能高于C级。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于一个取用水户有多个取水许可证的，如发证机关相同，以取水许可证为单元分别评分，取最低分值对应的信用等级作为该取用水户的信用评价结果；如发证机关不同，由共同的上一级或最高一级发证机关综合所有发证机关的评价结果，取最低信用等级作为该取用水户最终的信用评价结果。</w:t>
      </w:r>
    </w:p>
    <w:p>
      <w:pPr>
        <w:ind w:firstLine="0" w:firstLineChars="0"/>
        <w:jc w:val="left"/>
        <w:rPr>
          <w:rFonts w:hint="eastAsia" w:ascii="仿宋_GB2312" w:hAnsi="仿宋_GB2312" w:eastAsia="仿宋_GB2312" w:cs="仿宋_GB2312"/>
        </w:rPr>
      </w:pPr>
      <w:r>
        <w:rPr>
          <w:rFonts w:hint="eastAsia" w:ascii="仿宋_GB2312" w:hAnsi="仿宋_GB2312" w:eastAsia="仿宋_GB2312" w:cs="仿宋_GB2312"/>
        </w:rPr>
        <w:br w:type="page"/>
      </w:r>
    </w:p>
    <w:p>
      <w:pPr>
        <w:pStyle w:val="2"/>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全国</w:t>
      </w:r>
      <w:r>
        <w:rPr>
          <w:rFonts w:hint="eastAsia" w:ascii="方正小标宋简体" w:hAnsi="方正小标宋简体" w:eastAsia="方正小标宋简体" w:cs="方正小标宋简体"/>
          <w:sz w:val="36"/>
          <w:szCs w:val="36"/>
        </w:rPr>
        <w:t>取用水领域信用评价</w:t>
      </w:r>
      <w:r>
        <w:rPr>
          <w:rFonts w:hint="eastAsia" w:ascii="方正小标宋简体" w:hAnsi="方正小标宋简体" w:eastAsia="方正小标宋简体" w:cs="方正小标宋简体"/>
          <w:sz w:val="36"/>
          <w:szCs w:val="36"/>
          <w:lang w:val="en-US" w:eastAsia="zh-CN"/>
        </w:rPr>
        <w:t>指标及评分</w:t>
      </w:r>
      <w:r>
        <w:rPr>
          <w:rFonts w:hint="eastAsia" w:ascii="方正小标宋简体" w:hAnsi="方正小标宋简体" w:eastAsia="方正小标宋简体" w:cs="方正小标宋简体"/>
          <w:sz w:val="36"/>
          <w:szCs w:val="36"/>
        </w:rPr>
        <w:t>标准</w:t>
      </w: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drawing>
          <wp:inline distT="0" distB="0" distL="114300" distR="114300">
            <wp:extent cx="5274310" cy="7203440"/>
            <wp:effectExtent l="0" t="0" r="254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7203440"/>
                    </a:xfrm>
                    <a:prstGeom prst="rect">
                      <a:avLst/>
                    </a:prstGeom>
                    <a:noFill/>
                    <a:ln>
                      <a:noFill/>
                    </a:ln>
                  </pic:spPr>
                </pic:pic>
              </a:graphicData>
            </a:graphic>
          </wp:inline>
        </w:drawing>
      </w:r>
    </w:p>
    <w:p>
      <w:pPr>
        <w:widowControl/>
        <w:jc w:val="left"/>
        <w:rPr>
          <w:rFonts w:hint="eastAsia" w:ascii="仿宋_GB2312" w:hAnsi="仿宋_GB2312" w:eastAsia="仿宋_GB2312" w:cs="仿宋_GB2312"/>
        </w:rPr>
      </w:pPr>
      <w:r>
        <w:rPr>
          <w:rFonts w:hint="eastAsia" w:ascii="仿宋_GB2312" w:hAnsi="仿宋_GB2312" w:eastAsia="仿宋_GB2312" w:cs="仿宋_GB2312"/>
        </w:rPr>
        <w:br w:type="page"/>
      </w: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drawing>
          <wp:inline distT="0" distB="0" distL="114300" distR="114300">
            <wp:extent cx="5274310" cy="8079105"/>
            <wp:effectExtent l="0" t="0" r="2540"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4310" cy="8079105"/>
                    </a:xfrm>
                    <a:prstGeom prst="rect">
                      <a:avLst/>
                    </a:prstGeom>
                    <a:noFill/>
                    <a:ln>
                      <a:noFill/>
                    </a:ln>
                  </pic:spPr>
                </pic:pic>
              </a:graphicData>
            </a:graphic>
          </wp:inline>
        </w:drawing>
      </w: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drawing>
          <wp:inline distT="0" distB="0" distL="114300" distR="114300">
            <wp:extent cx="5274310" cy="8247380"/>
            <wp:effectExtent l="0" t="0" r="254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4310" cy="8247380"/>
                    </a:xfrm>
                    <a:prstGeom prst="rect">
                      <a:avLst/>
                    </a:prstGeom>
                    <a:noFill/>
                    <a:ln>
                      <a:noFill/>
                    </a:ln>
                  </pic:spPr>
                </pic:pic>
              </a:graphicData>
            </a:graphic>
          </wp:inline>
        </w:drawing>
      </w:r>
    </w:p>
    <w:p>
      <w:pPr>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附件</w:t>
      </w:r>
      <w:r>
        <w:rPr>
          <w:rFonts w:ascii="黑体" w:hAnsi="黑体" w:eastAsia="黑体" w:cs="宋体"/>
          <w:bCs/>
          <w:color w:val="000000"/>
          <w:kern w:val="0"/>
          <w:sz w:val="32"/>
          <w:szCs w:val="32"/>
        </w:rPr>
        <w:t>2</w:t>
      </w:r>
    </w:p>
    <w:p>
      <w:pPr>
        <w:jc w:val="center"/>
        <w:rPr>
          <w:rFonts w:ascii="方正小标宋简体" w:hAnsi="宋体" w:eastAsia="方正小标宋简体" w:cs="宋体"/>
          <w:b w:val="0"/>
          <w:bCs w:val="0"/>
          <w:color w:val="000000"/>
          <w:kern w:val="0"/>
          <w:sz w:val="36"/>
          <w:szCs w:val="36"/>
        </w:rPr>
      </w:pPr>
      <w:r>
        <w:rPr>
          <w:rFonts w:hint="eastAsia" w:ascii="方正小标宋简体" w:hAnsi="宋体" w:eastAsia="方正小标宋简体" w:cs="宋体"/>
          <w:b w:val="0"/>
          <w:bCs w:val="0"/>
          <w:color w:val="000000"/>
          <w:kern w:val="0"/>
          <w:sz w:val="36"/>
          <w:szCs w:val="36"/>
        </w:rPr>
        <w:t>取用水领域信用核实申请表</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15"/>
        <w:gridCol w:w="2558"/>
        <w:gridCol w:w="1224"/>
        <w:gridCol w:w="27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182" w:type="pct"/>
            <w:noWrap w:val="0"/>
            <w:vAlign w:val="center"/>
          </w:tcPr>
          <w:p>
            <w:pPr>
              <w:jc w:val="distribute"/>
              <w:rPr>
                <w:rFonts w:ascii="宋体" w:hAnsi="宋体"/>
                <w:sz w:val="24"/>
              </w:rPr>
            </w:pPr>
            <w:r>
              <w:rPr>
                <w:rFonts w:hint="eastAsia" w:ascii="宋体" w:hAnsi="宋体"/>
                <w:sz w:val="24"/>
              </w:rPr>
              <w:t>取用人名称</w:t>
            </w:r>
          </w:p>
        </w:tc>
        <w:tc>
          <w:tcPr>
            <w:tcW w:w="3817" w:type="pct"/>
            <w:gridSpan w:val="3"/>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182" w:type="pct"/>
            <w:noWrap w:val="0"/>
            <w:vAlign w:val="center"/>
          </w:tcPr>
          <w:p>
            <w:pPr>
              <w:jc w:val="distribute"/>
              <w:rPr>
                <w:rFonts w:ascii="宋体" w:hAnsi="宋体"/>
                <w:sz w:val="24"/>
              </w:rPr>
            </w:pPr>
            <w:r>
              <w:rPr>
                <w:rFonts w:hint="eastAsia" w:ascii="宋体" w:hAnsi="宋体"/>
                <w:sz w:val="24"/>
              </w:rPr>
              <w:t>统一信用代码</w:t>
            </w:r>
          </w:p>
        </w:tc>
        <w:tc>
          <w:tcPr>
            <w:tcW w:w="3817" w:type="pct"/>
            <w:gridSpan w:val="3"/>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182" w:type="pct"/>
            <w:noWrap w:val="0"/>
            <w:vAlign w:val="center"/>
          </w:tcPr>
          <w:p>
            <w:pPr>
              <w:jc w:val="distribute"/>
              <w:rPr>
                <w:rFonts w:ascii="宋体" w:hAnsi="宋体"/>
                <w:sz w:val="24"/>
              </w:rPr>
            </w:pPr>
            <w:r>
              <w:rPr>
                <w:rFonts w:hint="eastAsia" w:ascii="宋体" w:hAnsi="宋体"/>
                <w:sz w:val="24"/>
              </w:rPr>
              <w:t>生产经营地址</w:t>
            </w:r>
          </w:p>
        </w:tc>
        <w:tc>
          <w:tcPr>
            <w:tcW w:w="3817" w:type="pct"/>
            <w:gridSpan w:val="3"/>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182" w:type="pct"/>
            <w:noWrap w:val="0"/>
            <w:vAlign w:val="center"/>
          </w:tcPr>
          <w:p>
            <w:pPr>
              <w:jc w:val="distribute"/>
              <w:rPr>
                <w:rFonts w:ascii="宋体" w:hAnsi="宋体"/>
                <w:sz w:val="24"/>
              </w:rPr>
            </w:pPr>
            <w:r>
              <w:rPr>
                <w:rFonts w:hint="eastAsia" w:ascii="宋体" w:hAnsi="宋体"/>
                <w:sz w:val="24"/>
              </w:rPr>
              <w:t>取水许可证号</w:t>
            </w:r>
          </w:p>
        </w:tc>
        <w:tc>
          <w:tcPr>
            <w:tcW w:w="3817" w:type="pct"/>
            <w:gridSpan w:val="3"/>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182" w:type="pct"/>
            <w:noWrap w:val="0"/>
            <w:vAlign w:val="center"/>
          </w:tcPr>
          <w:p>
            <w:pPr>
              <w:jc w:val="distribute"/>
              <w:rPr>
                <w:rFonts w:ascii="宋体" w:hAnsi="宋体"/>
                <w:sz w:val="24"/>
              </w:rPr>
            </w:pPr>
            <w:r>
              <w:rPr>
                <w:rFonts w:hint="eastAsia" w:ascii="宋体" w:hAnsi="宋体"/>
                <w:sz w:val="24"/>
              </w:rPr>
              <w:t>取水水源</w:t>
            </w:r>
          </w:p>
        </w:tc>
        <w:tc>
          <w:tcPr>
            <w:tcW w:w="1500" w:type="pct"/>
            <w:noWrap w:val="0"/>
            <w:vAlign w:val="center"/>
          </w:tcPr>
          <w:p>
            <w:pPr>
              <w:jc w:val="center"/>
              <w:rPr>
                <w:rFonts w:ascii="宋体" w:hAnsi="宋体"/>
                <w:sz w:val="24"/>
              </w:rPr>
            </w:pPr>
            <w:r>
              <w:rPr>
                <w:rFonts w:hint="eastAsia" w:ascii="宋体" w:hAnsi="宋体"/>
                <w:color w:val="A5A5A5"/>
                <w:sz w:val="24"/>
              </w:rPr>
              <w:t>（无证取水户填）</w:t>
            </w:r>
          </w:p>
        </w:tc>
        <w:tc>
          <w:tcPr>
            <w:tcW w:w="718" w:type="pct"/>
            <w:noWrap w:val="0"/>
            <w:vAlign w:val="center"/>
          </w:tcPr>
          <w:p>
            <w:pPr>
              <w:rPr>
                <w:rFonts w:ascii="宋体" w:hAnsi="宋体"/>
                <w:sz w:val="24"/>
              </w:rPr>
            </w:pPr>
            <w:r>
              <w:rPr>
                <w:rFonts w:hint="eastAsia" w:ascii="宋体" w:hAnsi="宋体"/>
                <w:sz w:val="24"/>
              </w:rPr>
              <w:t>取水用途</w:t>
            </w:r>
          </w:p>
        </w:tc>
        <w:tc>
          <w:tcPr>
            <w:tcW w:w="1598" w:type="pct"/>
            <w:noWrap w:val="0"/>
            <w:vAlign w:val="center"/>
          </w:tcPr>
          <w:p>
            <w:pPr>
              <w:jc w:val="center"/>
              <w:rPr>
                <w:rFonts w:ascii="宋体" w:hAnsi="宋体"/>
                <w:sz w:val="24"/>
              </w:rPr>
            </w:pPr>
            <w:r>
              <w:rPr>
                <w:rFonts w:hint="eastAsia" w:ascii="宋体" w:hAnsi="宋体"/>
                <w:color w:val="A5A5A5"/>
                <w:sz w:val="24"/>
              </w:rPr>
              <w:t>（无证取水户填）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182" w:type="pct"/>
            <w:noWrap w:val="0"/>
            <w:vAlign w:val="center"/>
          </w:tcPr>
          <w:p>
            <w:pPr>
              <w:jc w:val="distribute"/>
              <w:rPr>
                <w:rFonts w:ascii="宋体" w:hAnsi="宋体"/>
                <w:sz w:val="24"/>
              </w:rPr>
            </w:pPr>
            <w:r>
              <w:rPr>
                <w:rFonts w:hint="eastAsia" w:ascii="宋体" w:hAnsi="宋体"/>
                <w:sz w:val="24"/>
              </w:rPr>
              <w:t>联系人</w:t>
            </w:r>
          </w:p>
        </w:tc>
        <w:tc>
          <w:tcPr>
            <w:tcW w:w="1500" w:type="pct"/>
            <w:noWrap w:val="0"/>
            <w:vAlign w:val="center"/>
          </w:tcPr>
          <w:p>
            <w:pPr>
              <w:jc w:val="center"/>
              <w:rPr>
                <w:rFonts w:ascii="宋体" w:hAnsi="宋体"/>
                <w:sz w:val="24"/>
              </w:rPr>
            </w:pPr>
          </w:p>
        </w:tc>
        <w:tc>
          <w:tcPr>
            <w:tcW w:w="718" w:type="pct"/>
            <w:noWrap w:val="0"/>
            <w:vAlign w:val="center"/>
          </w:tcPr>
          <w:p>
            <w:pPr>
              <w:rPr>
                <w:rFonts w:ascii="宋体" w:hAnsi="宋体"/>
                <w:sz w:val="24"/>
              </w:rPr>
            </w:pPr>
            <w:r>
              <w:rPr>
                <w:rFonts w:hint="eastAsia" w:ascii="宋体" w:hAnsi="宋体"/>
                <w:sz w:val="24"/>
              </w:rPr>
              <w:t>联系电话</w:t>
            </w:r>
          </w:p>
        </w:tc>
        <w:tc>
          <w:tcPr>
            <w:tcW w:w="1598" w:type="pct"/>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182" w:type="pct"/>
            <w:noWrap w:val="0"/>
            <w:vAlign w:val="center"/>
          </w:tcPr>
          <w:p>
            <w:pPr>
              <w:jc w:val="distribute"/>
              <w:rPr>
                <w:rFonts w:ascii="宋体" w:hAnsi="宋体"/>
                <w:sz w:val="24"/>
              </w:rPr>
            </w:pPr>
            <w:r>
              <w:rPr>
                <w:rFonts w:hint="eastAsia" w:ascii="宋体" w:hAnsi="宋体"/>
                <w:sz w:val="24"/>
              </w:rPr>
              <w:t>申请核实的年度</w:t>
            </w:r>
          </w:p>
        </w:tc>
        <w:tc>
          <w:tcPr>
            <w:tcW w:w="3817" w:type="pct"/>
            <w:gridSpan w:val="3"/>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5000" w:type="pct"/>
            <w:gridSpan w:val="4"/>
            <w:noWrap w:val="0"/>
            <w:vAlign w:val="center"/>
          </w:tcPr>
          <w:p>
            <w:pPr>
              <w:jc w:val="center"/>
              <w:rPr>
                <w:rFonts w:ascii="黑体" w:hAnsi="黑体" w:eastAsia="黑体"/>
                <w:sz w:val="24"/>
              </w:rPr>
            </w:pPr>
            <w:r>
              <w:rPr>
                <w:rFonts w:hint="eastAsia" w:ascii="黑体" w:hAnsi="黑体" w:eastAsia="黑体"/>
                <w:sz w:val="24"/>
              </w:rPr>
              <w:t>申请原因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8" w:hRule="atLeast"/>
        </w:trPr>
        <w:tc>
          <w:tcPr>
            <w:tcW w:w="5000" w:type="pct"/>
            <w:gridSpan w:val="4"/>
            <w:noWrap w:val="0"/>
            <w:vAlign w:val="top"/>
          </w:tcPr>
          <w:p>
            <w:pPr>
              <w:rPr>
                <w:rFonts w:ascii="宋体" w:hAnsi="宋体"/>
                <w:sz w:val="24"/>
              </w:rPr>
            </w:pPr>
          </w:p>
          <w:p>
            <w:pPr>
              <w:rPr>
                <w:rFonts w:ascii="宋体" w:hAnsi="宋体"/>
                <w:color w:val="A5A5A5"/>
                <w:sz w:val="24"/>
              </w:rPr>
            </w:pPr>
            <w:r>
              <w:rPr>
                <w:rFonts w:hint="eastAsia" w:ascii="宋体" w:hAnsi="宋体"/>
                <w:color w:val="A5A5A5"/>
                <w:sz w:val="24"/>
              </w:rPr>
              <w:t>（说明申请核实原因，并提供相关佐证材料）</w:t>
            </w: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3" w:hRule="atLeast"/>
        </w:trPr>
        <w:tc>
          <w:tcPr>
            <w:tcW w:w="2683" w:type="pct"/>
            <w:gridSpan w:val="2"/>
            <w:noWrap w:val="0"/>
            <w:vAlign w:val="top"/>
          </w:tcPr>
          <w:p>
            <w:pPr>
              <w:rPr>
                <w:rFonts w:ascii="宋体" w:hAnsi="宋体"/>
                <w:sz w:val="24"/>
              </w:rPr>
            </w:pPr>
          </w:p>
          <w:p>
            <w:pPr>
              <w:rPr>
                <w:rFonts w:ascii="宋体" w:hAnsi="宋体"/>
                <w:sz w:val="24"/>
              </w:rPr>
            </w:pPr>
            <w:r>
              <w:rPr>
                <w:rFonts w:hint="eastAsia" w:ascii="宋体" w:hAnsi="宋体"/>
                <w:sz w:val="24"/>
              </w:rPr>
              <w:t>经办人签章：</w:t>
            </w:r>
          </w:p>
          <w:p>
            <w:pPr>
              <w:rPr>
                <w:rFonts w:ascii="宋体" w:hAnsi="宋体"/>
                <w:sz w:val="24"/>
              </w:rPr>
            </w:pPr>
          </w:p>
          <w:p>
            <w:pPr>
              <w:rPr>
                <w:rFonts w:ascii="宋体" w:hAnsi="宋体"/>
                <w:sz w:val="24"/>
              </w:rPr>
            </w:pPr>
          </w:p>
          <w:p>
            <w:pPr>
              <w:ind w:firstLine="960" w:firstLineChars="400"/>
              <w:rPr>
                <w:rFonts w:ascii="宋体" w:hAnsi="宋体"/>
                <w:sz w:val="24"/>
              </w:rPr>
            </w:pPr>
            <w:r>
              <w:rPr>
                <w:rFonts w:hint="eastAsia" w:ascii="宋体" w:hAnsi="宋体"/>
                <w:sz w:val="24"/>
              </w:rPr>
              <w:t>年   月   日</w:t>
            </w:r>
          </w:p>
        </w:tc>
        <w:tc>
          <w:tcPr>
            <w:tcW w:w="2316" w:type="pct"/>
            <w:gridSpan w:val="2"/>
            <w:noWrap w:val="0"/>
            <w:vAlign w:val="top"/>
          </w:tcPr>
          <w:p>
            <w:pPr>
              <w:rPr>
                <w:rFonts w:ascii="宋体" w:hAnsi="宋体"/>
                <w:sz w:val="24"/>
              </w:rPr>
            </w:pPr>
          </w:p>
          <w:p>
            <w:pPr>
              <w:rPr>
                <w:rFonts w:ascii="宋体" w:hAnsi="宋体"/>
                <w:sz w:val="24"/>
              </w:rPr>
            </w:pPr>
            <w:r>
              <w:rPr>
                <w:rFonts w:hint="eastAsia" w:ascii="宋体" w:hAnsi="宋体"/>
                <w:sz w:val="24"/>
              </w:rPr>
              <w:t>取用水人公章：</w:t>
            </w: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5000" w:type="pct"/>
            <w:gridSpan w:val="4"/>
            <w:noWrap w:val="0"/>
            <w:vAlign w:val="center"/>
          </w:tcPr>
          <w:p>
            <w:pPr>
              <w:jc w:val="center"/>
              <w:rPr>
                <w:rFonts w:ascii="黑体" w:hAnsi="黑体" w:eastAsia="黑体"/>
                <w:sz w:val="24"/>
              </w:rPr>
            </w:pPr>
            <w:r>
              <w:rPr>
                <w:rFonts w:hint="eastAsia" w:ascii="黑体" w:hAnsi="黑体" w:eastAsia="黑体"/>
                <w:sz w:val="24"/>
              </w:rPr>
              <w:t>以下由水务管理部门填写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1" w:hRule="exact"/>
        </w:trPr>
        <w:tc>
          <w:tcPr>
            <w:tcW w:w="5000" w:type="pct"/>
            <w:gridSpan w:val="4"/>
            <w:noWrap w:val="0"/>
            <w:vAlign w:val="top"/>
          </w:tcPr>
          <w:p>
            <w:pPr>
              <w:rPr>
                <w:rFonts w:ascii="宋体" w:hAnsi="宋体"/>
                <w:sz w:val="24"/>
              </w:rPr>
            </w:pPr>
          </w:p>
          <w:p>
            <w:pPr>
              <w:snapToGrid w:val="0"/>
              <w:ind w:firstLine="480" w:firstLineChars="200"/>
              <w:rPr>
                <w:rFonts w:ascii="宋体" w:hAnsi="宋体"/>
                <w:sz w:val="24"/>
              </w:rPr>
            </w:pPr>
            <w:r>
              <w:rPr>
                <w:rFonts w:hint="eastAsia" w:ascii="宋体" w:hAnsi="宋体"/>
                <w:sz w:val="24"/>
              </w:rPr>
              <w:t>您的申请已被受理，我局将在受理申请后10个工作日内完成信用核实，届时您可通过“中国信用（上海）”网站查询信用核实结果信息。</w:t>
            </w:r>
          </w:p>
          <w:p>
            <w:pPr>
              <w:snapToGrid w:val="0"/>
              <w:rPr>
                <w:rFonts w:ascii="宋体" w:hAnsi="宋体"/>
                <w:sz w:val="24"/>
              </w:rPr>
            </w:pPr>
            <w:r>
              <w:rPr>
                <w:rFonts w:hint="eastAsia" w:ascii="宋体" w:hAnsi="宋体"/>
                <w:sz w:val="24"/>
              </w:rPr>
              <w:t xml:space="preserve">                                    </w:t>
            </w:r>
          </w:p>
          <w:p>
            <w:pPr>
              <w:snapToGrid w:val="0"/>
              <w:ind w:firstLine="4560" w:firstLineChars="1900"/>
              <w:rPr>
                <w:sz w:val="24"/>
              </w:rPr>
            </w:pPr>
            <w:r>
              <w:rPr>
                <w:rFonts w:hint="eastAsia" w:ascii="宋体" w:hAnsi="宋体"/>
                <w:sz w:val="24"/>
              </w:rPr>
              <w:t>受理日期：</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受理日期：     年   月   日                      主管税务机关（章）</w:t>
            </w:r>
          </w:p>
          <w:p>
            <w:pPr>
              <w:rPr>
                <w:rFonts w:ascii="宋体" w:hAnsi="宋体"/>
                <w:sz w:val="24"/>
              </w:rPr>
            </w:pPr>
          </w:p>
        </w:tc>
      </w:tr>
    </w:tbl>
    <w:p>
      <w:pPr>
        <w:rPr>
          <w:rFonts w:ascii="黑体" w:hAnsi="黑体" w:eastAsia="黑体" w:cs="宋体"/>
          <w:bCs/>
          <w:color w:val="000000"/>
          <w:kern w:val="0"/>
          <w:sz w:val="32"/>
          <w:szCs w:val="32"/>
        </w:rPr>
      </w:pPr>
      <w:r>
        <w:rPr>
          <w:rFonts w:ascii="仿宋_GB2312" w:hAnsi="仿宋" w:eastAsia="仿宋_GB2312"/>
          <w:sz w:val="32"/>
          <w:szCs w:val="32"/>
        </w:rPr>
        <w:br w:type="page"/>
      </w:r>
      <w:r>
        <w:rPr>
          <w:rFonts w:hint="eastAsia" w:ascii="黑体" w:hAnsi="黑体" w:eastAsia="黑体" w:cs="宋体"/>
          <w:bCs/>
          <w:color w:val="000000"/>
          <w:kern w:val="0"/>
          <w:sz w:val="32"/>
          <w:szCs w:val="32"/>
        </w:rPr>
        <w:t>附件</w:t>
      </w:r>
      <w:r>
        <w:rPr>
          <w:rFonts w:ascii="黑体" w:hAnsi="黑体" w:eastAsia="黑体" w:cs="宋体"/>
          <w:bCs/>
          <w:color w:val="000000"/>
          <w:kern w:val="0"/>
          <w:sz w:val="32"/>
          <w:szCs w:val="32"/>
        </w:rPr>
        <w:t>3</w:t>
      </w:r>
    </w:p>
    <w:p>
      <w:pPr>
        <w:jc w:val="center"/>
        <w:rPr>
          <w:rFonts w:ascii="方正小标宋简体" w:hAnsi="宋体" w:eastAsia="方正小标宋简体" w:cs="宋体"/>
          <w:b w:val="0"/>
          <w:bCs w:val="0"/>
          <w:color w:val="000000"/>
          <w:kern w:val="0"/>
          <w:sz w:val="36"/>
          <w:szCs w:val="36"/>
        </w:rPr>
      </w:pPr>
      <w:r>
        <w:rPr>
          <w:rFonts w:hint="eastAsia" w:ascii="方正小标宋简体" w:hAnsi="宋体" w:eastAsia="方正小标宋简体" w:cs="宋体"/>
          <w:b w:val="0"/>
          <w:bCs w:val="0"/>
          <w:color w:val="000000"/>
          <w:kern w:val="0"/>
          <w:sz w:val="36"/>
          <w:szCs w:val="36"/>
          <w:u w:val="single"/>
        </w:rPr>
        <w:t xml:space="preserve">      </w:t>
      </w:r>
      <w:r>
        <w:rPr>
          <w:rFonts w:hint="eastAsia" w:ascii="方正小标宋简体" w:hAnsi="宋体" w:eastAsia="方正小标宋简体" w:cs="宋体"/>
          <w:b w:val="0"/>
          <w:bCs w:val="0"/>
          <w:color w:val="000000"/>
          <w:kern w:val="0"/>
          <w:sz w:val="36"/>
          <w:szCs w:val="36"/>
        </w:rPr>
        <w:t>年度取用水领域信用核实信息</w:t>
      </w:r>
    </w:p>
    <w:tbl>
      <w:tblPr>
        <w:tblStyle w:val="7"/>
        <w:tblW w:w="493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25"/>
        <w:gridCol w:w="2587"/>
        <w:gridCol w:w="1668"/>
        <w:gridCol w:w="8"/>
        <w:gridCol w:w="21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distribute"/>
              <w:rPr>
                <w:rFonts w:ascii="宋体" w:hAnsi="宋体"/>
                <w:sz w:val="24"/>
              </w:rPr>
            </w:pPr>
            <w:r>
              <w:rPr>
                <w:rFonts w:hint="eastAsia" w:ascii="宋体" w:hAnsi="宋体"/>
                <w:sz w:val="24"/>
              </w:rPr>
              <w:t>取水人名称</w:t>
            </w:r>
          </w:p>
        </w:tc>
        <w:tc>
          <w:tcPr>
            <w:tcW w:w="3796" w:type="pct"/>
            <w:gridSpan w:val="4"/>
            <w:noWrap w:val="0"/>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distribute"/>
              <w:rPr>
                <w:rFonts w:ascii="宋体" w:hAnsi="宋体"/>
                <w:sz w:val="24"/>
              </w:rPr>
            </w:pPr>
            <w:r>
              <w:rPr>
                <w:rFonts w:hint="eastAsia" w:ascii="宋体" w:hAnsi="宋体"/>
                <w:sz w:val="24"/>
              </w:rPr>
              <w:t>统一信用代码</w:t>
            </w:r>
          </w:p>
        </w:tc>
        <w:tc>
          <w:tcPr>
            <w:tcW w:w="3796" w:type="pct"/>
            <w:gridSpan w:val="4"/>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distribute"/>
              <w:rPr>
                <w:rFonts w:ascii="宋体" w:hAnsi="宋体"/>
                <w:sz w:val="24"/>
              </w:rPr>
            </w:pPr>
            <w:r>
              <w:rPr>
                <w:rFonts w:hint="eastAsia" w:ascii="宋体" w:hAnsi="宋体"/>
                <w:sz w:val="24"/>
              </w:rPr>
              <w:t>法定代表人名称</w:t>
            </w:r>
          </w:p>
        </w:tc>
        <w:tc>
          <w:tcPr>
            <w:tcW w:w="3796" w:type="pct"/>
            <w:gridSpan w:val="4"/>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distribute"/>
              <w:rPr>
                <w:rFonts w:ascii="宋体" w:hAnsi="宋体"/>
                <w:sz w:val="24"/>
              </w:rPr>
            </w:pPr>
            <w:r>
              <w:rPr>
                <w:rFonts w:hint="eastAsia" w:ascii="宋体" w:hAnsi="宋体"/>
                <w:sz w:val="24"/>
              </w:rPr>
              <w:t>生产经营地址</w:t>
            </w:r>
          </w:p>
        </w:tc>
        <w:tc>
          <w:tcPr>
            <w:tcW w:w="3796" w:type="pct"/>
            <w:gridSpan w:val="4"/>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distribute"/>
              <w:rPr>
                <w:rFonts w:ascii="宋体" w:hAnsi="宋体"/>
                <w:sz w:val="24"/>
              </w:rPr>
            </w:pPr>
            <w:r>
              <w:rPr>
                <w:rFonts w:hint="eastAsia" w:ascii="宋体" w:hAnsi="宋体"/>
                <w:sz w:val="24"/>
              </w:rPr>
              <w:t>取水许可证号</w:t>
            </w:r>
          </w:p>
        </w:tc>
        <w:tc>
          <w:tcPr>
            <w:tcW w:w="3796" w:type="pct"/>
            <w:gridSpan w:val="4"/>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distribute"/>
              <w:rPr>
                <w:rFonts w:ascii="宋体" w:hAnsi="宋体"/>
                <w:sz w:val="24"/>
              </w:rPr>
            </w:pPr>
            <w:r>
              <w:rPr>
                <w:rFonts w:hint="eastAsia" w:ascii="宋体" w:hAnsi="宋体"/>
                <w:sz w:val="24"/>
              </w:rPr>
              <w:t>取水水源名称</w:t>
            </w:r>
          </w:p>
        </w:tc>
        <w:tc>
          <w:tcPr>
            <w:tcW w:w="1537" w:type="pct"/>
            <w:noWrap w:val="0"/>
            <w:vAlign w:val="center"/>
          </w:tcPr>
          <w:p>
            <w:pPr>
              <w:jc w:val="center"/>
              <w:rPr>
                <w:rFonts w:ascii="宋体" w:hAnsi="宋体"/>
                <w:sz w:val="24"/>
              </w:rPr>
            </w:pPr>
            <w:r>
              <w:rPr>
                <w:rFonts w:hint="eastAsia" w:ascii="宋体" w:hAnsi="宋体"/>
                <w:color w:val="A5A5A5"/>
                <w:sz w:val="24"/>
              </w:rPr>
              <w:t>（无证取水户填）</w:t>
            </w:r>
          </w:p>
        </w:tc>
        <w:tc>
          <w:tcPr>
            <w:tcW w:w="991" w:type="pct"/>
            <w:noWrap w:val="0"/>
            <w:vAlign w:val="center"/>
          </w:tcPr>
          <w:p>
            <w:pPr>
              <w:jc w:val="center"/>
              <w:rPr>
                <w:rFonts w:ascii="宋体" w:hAnsi="宋体"/>
                <w:sz w:val="24"/>
              </w:rPr>
            </w:pPr>
            <w:r>
              <w:rPr>
                <w:rFonts w:hint="eastAsia" w:ascii="宋体" w:hAnsi="宋体"/>
                <w:sz w:val="24"/>
              </w:rPr>
              <w:t>取水用途</w:t>
            </w:r>
          </w:p>
        </w:tc>
        <w:tc>
          <w:tcPr>
            <w:tcW w:w="1267" w:type="pct"/>
            <w:gridSpan w:val="2"/>
            <w:noWrap w:val="0"/>
            <w:vAlign w:val="center"/>
          </w:tcPr>
          <w:p>
            <w:pPr>
              <w:rPr>
                <w:rFonts w:ascii="宋体" w:hAnsi="宋体"/>
                <w:color w:val="A5A5A5"/>
                <w:sz w:val="24"/>
              </w:rPr>
            </w:pPr>
            <w:r>
              <w:rPr>
                <w:rFonts w:hint="eastAsia" w:ascii="宋体" w:hAnsi="宋体"/>
                <w:color w:val="A5A5A5"/>
                <w:sz w:val="24"/>
              </w:rPr>
              <w:t>（无证取水户填）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distribute"/>
              <w:rPr>
                <w:rFonts w:ascii="宋体" w:hAnsi="宋体"/>
                <w:sz w:val="24"/>
              </w:rPr>
            </w:pPr>
            <w:r>
              <w:rPr>
                <w:rFonts w:hint="eastAsia" w:ascii="宋体" w:hAnsi="宋体"/>
                <w:sz w:val="24"/>
              </w:rPr>
              <w:t>联系人</w:t>
            </w:r>
          </w:p>
        </w:tc>
        <w:tc>
          <w:tcPr>
            <w:tcW w:w="1537" w:type="pct"/>
            <w:noWrap w:val="0"/>
            <w:vAlign w:val="center"/>
          </w:tcPr>
          <w:p>
            <w:pPr>
              <w:jc w:val="center"/>
              <w:rPr>
                <w:rFonts w:ascii="宋体" w:hAnsi="宋体"/>
                <w:color w:val="A5A5A5"/>
                <w:sz w:val="24"/>
              </w:rPr>
            </w:pPr>
          </w:p>
        </w:tc>
        <w:tc>
          <w:tcPr>
            <w:tcW w:w="991" w:type="pct"/>
            <w:noWrap w:val="0"/>
            <w:vAlign w:val="center"/>
          </w:tcPr>
          <w:p>
            <w:pPr>
              <w:jc w:val="center"/>
              <w:rPr>
                <w:rFonts w:ascii="宋体" w:hAnsi="宋体"/>
                <w:sz w:val="24"/>
              </w:rPr>
            </w:pPr>
            <w:r>
              <w:rPr>
                <w:rFonts w:hint="eastAsia" w:ascii="宋体" w:hAnsi="宋体"/>
                <w:sz w:val="24"/>
              </w:rPr>
              <w:t>联系电话</w:t>
            </w:r>
          </w:p>
        </w:tc>
        <w:tc>
          <w:tcPr>
            <w:tcW w:w="1267" w:type="pct"/>
            <w:gridSpan w:val="2"/>
            <w:noWrap w:val="0"/>
            <w:vAlign w:val="center"/>
          </w:tcPr>
          <w:p>
            <w:pPr>
              <w:jc w:val="center"/>
              <w:rPr>
                <w:rFonts w:ascii="宋体" w:hAnsi="宋体"/>
                <w:color w:val="A5A5A5"/>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74" w:hRule="atLeast"/>
        </w:trPr>
        <w:tc>
          <w:tcPr>
            <w:tcW w:w="1203" w:type="pct"/>
            <w:noWrap w:val="0"/>
            <w:vAlign w:val="center"/>
          </w:tcPr>
          <w:p>
            <w:pPr>
              <w:jc w:val="distribute"/>
              <w:rPr>
                <w:rFonts w:ascii="宋体" w:hAnsi="宋体"/>
                <w:sz w:val="24"/>
              </w:rPr>
            </w:pPr>
            <w:r>
              <w:rPr>
                <w:rFonts w:hint="eastAsia" w:ascii="宋体" w:hAnsi="宋体"/>
                <w:b/>
                <w:bCs/>
                <w:sz w:val="24"/>
              </w:rPr>
              <w:t>年度核实结果</w:t>
            </w:r>
          </w:p>
        </w:tc>
        <w:tc>
          <w:tcPr>
            <w:tcW w:w="3796" w:type="pct"/>
            <w:gridSpan w:val="4"/>
            <w:noWrap w:val="0"/>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5000" w:type="pct"/>
            <w:gridSpan w:val="5"/>
            <w:noWrap w:val="0"/>
            <w:vAlign w:val="center"/>
          </w:tcPr>
          <w:p>
            <w:pPr>
              <w:jc w:val="center"/>
              <w:rPr>
                <w:rFonts w:ascii="黑体" w:hAnsi="黑体" w:eastAsia="黑体"/>
                <w:sz w:val="24"/>
              </w:rPr>
            </w:pPr>
            <w:r>
              <w:rPr>
                <w:rFonts w:hint="eastAsia" w:ascii="黑体" w:hAnsi="黑体" w:eastAsia="黑体"/>
                <w:sz w:val="24"/>
              </w:rPr>
              <w:t>取用水信用评价指标记分记录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center"/>
              <w:rPr>
                <w:rFonts w:ascii="宋体" w:hAnsi="宋体"/>
                <w:sz w:val="24"/>
              </w:rPr>
            </w:pPr>
            <w:r>
              <w:rPr>
                <w:rFonts w:hint="eastAsia" w:ascii="宋体" w:hAnsi="宋体"/>
                <w:sz w:val="24"/>
              </w:rPr>
              <w:t>指标代码</w:t>
            </w:r>
          </w:p>
        </w:tc>
        <w:tc>
          <w:tcPr>
            <w:tcW w:w="2533" w:type="pct"/>
            <w:gridSpan w:val="3"/>
            <w:noWrap w:val="0"/>
            <w:vAlign w:val="center"/>
          </w:tcPr>
          <w:p>
            <w:pPr>
              <w:jc w:val="center"/>
              <w:rPr>
                <w:rFonts w:ascii="宋体" w:hAnsi="宋体"/>
                <w:sz w:val="24"/>
              </w:rPr>
            </w:pPr>
            <w:r>
              <w:rPr>
                <w:rFonts w:hint="eastAsia" w:ascii="宋体" w:hAnsi="宋体"/>
                <w:sz w:val="24"/>
              </w:rPr>
              <w:t>指标名称</w:t>
            </w:r>
          </w:p>
        </w:tc>
        <w:tc>
          <w:tcPr>
            <w:tcW w:w="1263" w:type="pct"/>
            <w:noWrap w:val="0"/>
            <w:vAlign w:val="center"/>
          </w:tcPr>
          <w:p>
            <w:pPr>
              <w:jc w:val="center"/>
              <w:rPr>
                <w:rFonts w:ascii="宋体" w:hAnsi="宋体"/>
                <w:sz w:val="24"/>
              </w:rPr>
            </w:pPr>
            <w:r>
              <w:rPr>
                <w:rFonts w:hint="eastAsia" w:ascii="宋体" w:hAnsi="宋体"/>
                <w:sz w:val="24"/>
              </w:rPr>
              <w:t>评价记分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center"/>
              <w:rPr>
                <w:rFonts w:ascii="宋体" w:hAnsi="宋体"/>
                <w:sz w:val="24"/>
              </w:rPr>
            </w:pPr>
          </w:p>
        </w:tc>
        <w:tc>
          <w:tcPr>
            <w:tcW w:w="2533" w:type="pct"/>
            <w:gridSpan w:val="3"/>
            <w:noWrap w:val="0"/>
            <w:vAlign w:val="center"/>
          </w:tcPr>
          <w:p>
            <w:pPr>
              <w:jc w:val="center"/>
              <w:rPr>
                <w:rFonts w:ascii="宋体" w:hAnsi="宋体"/>
                <w:sz w:val="24"/>
              </w:rPr>
            </w:pPr>
          </w:p>
        </w:tc>
        <w:tc>
          <w:tcPr>
            <w:tcW w:w="1263" w:type="pct"/>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center"/>
              <w:rPr>
                <w:rFonts w:ascii="宋体" w:hAnsi="宋体"/>
                <w:sz w:val="24"/>
              </w:rPr>
            </w:pPr>
          </w:p>
        </w:tc>
        <w:tc>
          <w:tcPr>
            <w:tcW w:w="2533" w:type="pct"/>
            <w:gridSpan w:val="3"/>
            <w:noWrap w:val="0"/>
            <w:vAlign w:val="center"/>
          </w:tcPr>
          <w:p>
            <w:pPr>
              <w:jc w:val="center"/>
              <w:rPr>
                <w:rFonts w:ascii="宋体" w:hAnsi="宋体"/>
                <w:sz w:val="24"/>
              </w:rPr>
            </w:pPr>
          </w:p>
        </w:tc>
        <w:tc>
          <w:tcPr>
            <w:tcW w:w="1263" w:type="pct"/>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center"/>
              <w:rPr>
                <w:rFonts w:ascii="宋体" w:hAnsi="宋体"/>
                <w:sz w:val="24"/>
              </w:rPr>
            </w:pPr>
          </w:p>
        </w:tc>
        <w:tc>
          <w:tcPr>
            <w:tcW w:w="2533" w:type="pct"/>
            <w:gridSpan w:val="3"/>
            <w:noWrap w:val="0"/>
            <w:vAlign w:val="center"/>
          </w:tcPr>
          <w:p>
            <w:pPr>
              <w:jc w:val="center"/>
              <w:rPr>
                <w:rFonts w:ascii="宋体" w:hAnsi="宋体"/>
                <w:sz w:val="24"/>
              </w:rPr>
            </w:pPr>
          </w:p>
        </w:tc>
        <w:tc>
          <w:tcPr>
            <w:tcW w:w="1263" w:type="pct"/>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center"/>
              <w:rPr>
                <w:rFonts w:ascii="宋体" w:hAnsi="宋体"/>
                <w:sz w:val="24"/>
              </w:rPr>
            </w:pPr>
          </w:p>
        </w:tc>
        <w:tc>
          <w:tcPr>
            <w:tcW w:w="2533" w:type="pct"/>
            <w:gridSpan w:val="3"/>
            <w:noWrap w:val="0"/>
            <w:vAlign w:val="center"/>
          </w:tcPr>
          <w:p>
            <w:pPr>
              <w:jc w:val="center"/>
              <w:rPr>
                <w:rFonts w:ascii="宋体" w:hAnsi="宋体"/>
                <w:sz w:val="24"/>
              </w:rPr>
            </w:pPr>
          </w:p>
        </w:tc>
        <w:tc>
          <w:tcPr>
            <w:tcW w:w="1263" w:type="pct"/>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center"/>
              <w:rPr>
                <w:rFonts w:ascii="宋体" w:hAnsi="宋体"/>
                <w:sz w:val="24"/>
              </w:rPr>
            </w:pPr>
          </w:p>
        </w:tc>
        <w:tc>
          <w:tcPr>
            <w:tcW w:w="2533" w:type="pct"/>
            <w:gridSpan w:val="3"/>
            <w:noWrap w:val="0"/>
            <w:vAlign w:val="center"/>
          </w:tcPr>
          <w:p>
            <w:pPr>
              <w:jc w:val="center"/>
              <w:rPr>
                <w:rFonts w:ascii="宋体" w:hAnsi="宋体"/>
                <w:sz w:val="24"/>
              </w:rPr>
            </w:pPr>
          </w:p>
        </w:tc>
        <w:tc>
          <w:tcPr>
            <w:tcW w:w="1263" w:type="pct"/>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center"/>
              <w:rPr>
                <w:rFonts w:ascii="宋体" w:hAnsi="宋体"/>
                <w:sz w:val="24"/>
              </w:rPr>
            </w:pPr>
          </w:p>
        </w:tc>
        <w:tc>
          <w:tcPr>
            <w:tcW w:w="2533" w:type="pct"/>
            <w:gridSpan w:val="3"/>
            <w:noWrap w:val="0"/>
            <w:vAlign w:val="center"/>
          </w:tcPr>
          <w:p>
            <w:pPr>
              <w:jc w:val="center"/>
              <w:rPr>
                <w:rFonts w:ascii="宋体" w:hAnsi="宋体"/>
                <w:sz w:val="24"/>
              </w:rPr>
            </w:pPr>
          </w:p>
        </w:tc>
        <w:tc>
          <w:tcPr>
            <w:tcW w:w="1263" w:type="pct"/>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center"/>
              <w:rPr>
                <w:rFonts w:ascii="宋体" w:hAnsi="宋体"/>
                <w:sz w:val="24"/>
              </w:rPr>
            </w:pPr>
          </w:p>
        </w:tc>
        <w:tc>
          <w:tcPr>
            <w:tcW w:w="2533" w:type="pct"/>
            <w:gridSpan w:val="3"/>
            <w:noWrap w:val="0"/>
            <w:vAlign w:val="center"/>
          </w:tcPr>
          <w:p>
            <w:pPr>
              <w:jc w:val="center"/>
              <w:rPr>
                <w:rFonts w:ascii="宋体" w:hAnsi="宋体"/>
                <w:sz w:val="24"/>
              </w:rPr>
            </w:pPr>
          </w:p>
        </w:tc>
        <w:tc>
          <w:tcPr>
            <w:tcW w:w="1263" w:type="pct"/>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trPr>
        <w:tc>
          <w:tcPr>
            <w:tcW w:w="1203" w:type="pct"/>
            <w:noWrap w:val="0"/>
            <w:vAlign w:val="center"/>
          </w:tcPr>
          <w:p>
            <w:pPr>
              <w:jc w:val="center"/>
              <w:rPr>
                <w:rFonts w:ascii="宋体" w:hAnsi="宋体"/>
                <w:sz w:val="24"/>
              </w:rPr>
            </w:pPr>
          </w:p>
        </w:tc>
        <w:tc>
          <w:tcPr>
            <w:tcW w:w="2533" w:type="pct"/>
            <w:gridSpan w:val="3"/>
            <w:noWrap w:val="0"/>
            <w:vAlign w:val="center"/>
          </w:tcPr>
          <w:p>
            <w:pPr>
              <w:jc w:val="center"/>
              <w:rPr>
                <w:rFonts w:ascii="宋体" w:hAnsi="宋体"/>
                <w:sz w:val="24"/>
              </w:rPr>
            </w:pPr>
          </w:p>
        </w:tc>
        <w:tc>
          <w:tcPr>
            <w:tcW w:w="1263" w:type="pct"/>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5" w:hRule="exact"/>
        </w:trPr>
        <w:tc>
          <w:tcPr>
            <w:tcW w:w="1203" w:type="pct"/>
            <w:noWrap w:val="0"/>
            <w:vAlign w:val="center"/>
          </w:tcPr>
          <w:p>
            <w:pPr>
              <w:jc w:val="center"/>
              <w:rPr>
                <w:rFonts w:ascii="宋体" w:hAnsi="宋体"/>
                <w:sz w:val="24"/>
              </w:rPr>
            </w:pPr>
          </w:p>
        </w:tc>
        <w:tc>
          <w:tcPr>
            <w:tcW w:w="2533" w:type="pct"/>
            <w:gridSpan w:val="3"/>
            <w:noWrap w:val="0"/>
            <w:vAlign w:val="center"/>
          </w:tcPr>
          <w:p>
            <w:pPr>
              <w:jc w:val="center"/>
              <w:rPr>
                <w:rFonts w:ascii="宋体" w:hAnsi="宋体"/>
                <w:sz w:val="24"/>
              </w:rPr>
            </w:pPr>
          </w:p>
        </w:tc>
        <w:tc>
          <w:tcPr>
            <w:tcW w:w="1263" w:type="pct"/>
            <w:noWrap w:val="0"/>
            <w:vAlign w:val="center"/>
          </w:tcPr>
          <w:p>
            <w:pPr>
              <w:jc w:val="center"/>
              <w:rPr>
                <w:rFonts w:ascii="宋体" w:hAnsi="宋体"/>
                <w:sz w:val="24"/>
              </w:rPr>
            </w:pPr>
          </w:p>
        </w:tc>
      </w:tr>
    </w:tbl>
    <w:p>
      <w:pPr>
        <w:rPr>
          <w:rFonts w:ascii="宋体" w:hAnsi="宋体"/>
          <w:sz w:val="24"/>
        </w:rPr>
      </w:pPr>
      <w:r>
        <w:rPr>
          <w:rFonts w:hint="eastAsia" w:ascii="宋体" w:hAnsi="宋体"/>
          <w:sz w:val="24"/>
        </w:rPr>
        <w:t>核实机关：                               评价时间：      年  月  日</w:t>
      </w:r>
    </w:p>
    <w:p>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iberation Sans">
    <w:panose1 w:val="020B0604020202020204"/>
    <w:charset w:val="00"/>
    <w:family w:val="swiss"/>
    <w:pitch w:val="default"/>
    <w:sig w:usb0="E0000AFF" w:usb1="500078FF" w:usb2="00000021" w:usb3="00000000" w:csb0="600001BF" w:csb1="DFF7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A1AE1"/>
    <w:rsid w:val="49FC2871"/>
    <w:rsid w:val="5CFFDFE8"/>
    <w:rsid w:val="665E9BA1"/>
    <w:rsid w:val="79FB2586"/>
    <w:rsid w:val="7CC354EA"/>
    <w:rsid w:val="7F66699D"/>
    <w:rsid w:val="E6B44708"/>
    <w:rsid w:val="F3D72A08"/>
    <w:rsid w:val="F7F6DC13"/>
    <w:rsid w:val="F7FB3EA1"/>
    <w:rsid w:val="FFDFB073"/>
    <w:rsid w:val="FFFF9C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next w:val="1"/>
    <w:qFormat/>
    <w:uiPriority w:val="9"/>
    <w:pPr>
      <w:keepNext/>
      <w:keepLines/>
      <w:spacing w:line="560" w:lineRule="exact"/>
      <w:ind w:firstLine="200" w:firstLineChars="200"/>
      <w:outlineLvl w:val="0"/>
    </w:pPr>
    <w:rPr>
      <w:rFonts w:ascii="Calibri" w:hAnsi="Calibri" w:eastAsia="黑体" w:cs="Times New Roman"/>
      <w:bCs/>
      <w:kern w:val="44"/>
      <w:sz w:val="32"/>
      <w:szCs w:val="44"/>
      <w:lang w:val="en-US" w:eastAsia="zh-CN" w:bidi="ar-SA"/>
    </w:rPr>
  </w:style>
  <w:style w:type="character" w:default="1" w:styleId="8">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caption"/>
    <w:basedOn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List"/>
    <w:basedOn w:val="4"/>
    <w:qFormat/>
    <w:uiPriority w:val="0"/>
  </w:style>
  <w:style w:type="character" w:customStyle="1" w:styleId="9">
    <w:name w:val="默认段落字体1"/>
    <w:qFormat/>
    <w:uiPriority w:val="0"/>
  </w:style>
  <w:style w:type="paragraph" w:customStyle="1" w:styleId="10">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1">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TotalTime>5</TotalTime>
  <ScaleCrop>false</ScaleCrop>
  <LinksUpToDate>false</LinksUpToDate>
  <Application>WPS Office_12.8.2.15290_F1E327BC-269C-435d-A152-05C5408002CA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2018-11-30T09:47:00Z</dcterms:created>
  <dc:creator>swj13</dc:creator>
  <cp:lastModifiedBy>huawei</cp:lastModifiedBy>
  <cp:lastPrinted>2025-01-21T23:29:00Z</cp:lastPrinted>
  <dcterms:modified xsi:type="dcterms:W3CDTF">2026-05-20T13:55:11Z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C5502B9A9065B25DBF4C0D6A2DDBD39B_42</vt:lpwstr>
  </property>
</Properties>
</file>