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0F5" w:rsidRPr="002D30F5" w:rsidRDefault="002D30F5">
      <w:pPr>
        <w:adjustRightInd w:val="0"/>
        <w:snapToGrid w:val="0"/>
        <w:jc w:val="left"/>
        <w:outlineLvl w:val="0"/>
        <w:rPr>
          <w:rFonts w:ascii="黑体" w:eastAsia="黑体" w:hAnsi="方正小标宋简体" w:cs="方正小标宋简体" w:hint="eastAsia"/>
          <w:color w:val="000000"/>
          <w:sz w:val="32"/>
          <w:szCs w:val="32"/>
          <w:lang/>
        </w:rPr>
      </w:pPr>
      <w:r w:rsidRPr="002D30F5">
        <w:rPr>
          <w:rFonts w:ascii="黑体" w:eastAsia="黑体" w:hAnsi="方正小标宋简体" w:cs="方正小标宋简体" w:hint="eastAsia"/>
          <w:color w:val="000000"/>
          <w:sz w:val="32"/>
          <w:szCs w:val="32"/>
        </w:rPr>
        <w:t>附件</w:t>
      </w:r>
      <w:r w:rsidRPr="002D30F5">
        <w:rPr>
          <w:rFonts w:ascii="黑体" w:eastAsia="黑体" w:hAnsi="方正小标宋简体" w:cs="方正小标宋简体" w:hint="eastAsia"/>
          <w:color w:val="000000"/>
          <w:sz w:val="32"/>
          <w:szCs w:val="32"/>
          <w:lang/>
        </w:rPr>
        <w:t>2</w:t>
      </w:r>
    </w:p>
    <w:p w:rsidR="002D30F5" w:rsidRPr="002D30F5" w:rsidRDefault="002D30F5">
      <w:pPr>
        <w:spacing w:after="120" w:line="520" w:lineRule="exact"/>
        <w:jc w:val="center"/>
        <w:rPr>
          <w:rFonts w:ascii="方正小标宋简体" w:eastAsia="方正小标宋简体" w:hAnsi="方正小标宋简体" w:cs="方正小标宋简体"/>
          <w:sz w:val="36"/>
          <w:szCs w:val="36"/>
        </w:rPr>
      </w:pPr>
      <w:r w:rsidRPr="002D30F5">
        <w:rPr>
          <w:rFonts w:ascii="方正小标宋简体" w:eastAsia="方正小标宋简体" w:hAnsi="方正小标宋简体" w:cs="方正小标宋简体" w:hint="eastAsia"/>
          <w:sz w:val="36"/>
          <w:szCs w:val="36"/>
        </w:rPr>
        <w:t>2022—2023年度水利建设质量管理效果评分细则</w:t>
      </w:r>
    </w:p>
    <w:p w:rsidR="002D30F5" w:rsidRDefault="002D30F5"/>
    <w:tbl>
      <w:tblPr>
        <w:tblW w:w="132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37"/>
        <w:gridCol w:w="519"/>
        <w:gridCol w:w="1454"/>
        <w:gridCol w:w="519"/>
        <w:gridCol w:w="9722"/>
      </w:tblGrid>
      <w:tr w:rsidR="002D30F5">
        <w:trPr>
          <w:trHeight w:val="430"/>
          <w:tblHeader/>
          <w:jc w:val="center"/>
        </w:trPr>
        <w:tc>
          <w:tcPr>
            <w:tcW w:w="1037" w:type="dxa"/>
            <w:tcBorders>
              <w:top w:val="single" w:sz="4" w:space="0" w:color="auto"/>
              <w:left w:val="single" w:sz="4" w:space="0" w:color="auto"/>
              <w:bottom w:val="single" w:sz="4" w:space="0" w:color="auto"/>
            </w:tcBorders>
            <w:vAlign w:val="center"/>
          </w:tcPr>
          <w:p w:rsidR="002D30F5" w:rsidRDefault="002D30F5">
            <w:pPr>
              <w:widowControl/>
              <w:adjustRightInd w:val="0"/>
              <w:snapToGrid w:val="0"/>
              <w:jc w:val="center"/>
              <w:rPr>
                <w:rFonts w:ascii="黑体" w:eastAsia="黑体" w:hAnsi="黑体" w:cs="黑体"/>
                <w:spacing w:val="-11"/>
              </w:rPr>
            </w:pPr>
            <w:r>
              <w:rPr>
                <w:rFonts w:ascii="黑体" w:eastAsia="黑体" w:hAnsi="黑体" w:cs="黑体" w:hint="eastAsia"/>
                <w:spacing w:val="-11"/>
              </w:rPr>
              <w:t>考核内容</w:t>
            </w:r>
          </w:p>
        </w:tc>
        <w:tc>
          <w:tcPr>
            <w:tcW w:w="519" w:type="dxa"/>
            <w:tcBorders>
              <w:top w:val="single" w:sz="4" w:space="0" w:color="auto"/>
              <w:bottom w:val="single" w:sz="4" w:space="0" w:color="auto"/>
            </w:tcBorders>
            <w:vAlign w:val="center"/>
          </w:tcPr>
          <w:p w:rsidR="002D30F5" w:rsidRDefault="002D30F5">
            <w:pPr>
              <w:widowControl/>
              <w:adjustRightInd w:val="0"/>
              <w:snapToGrid w:val="0"/>
              <w:jc w:val="center"/>
              <w:rPr>
                <w:rFonts w:ascii="黑体" w:eastAsia="黑体" w:hAnsi="黑体" w:cs="黑体"/>
                <w:spacing w:val="-11"/>
              </w:rPr>
            </w:pPr>
            <w:r>
              <w:rPr>
                <w:rFonts w:ascii="黑体" w:eastAsia="黑体" w:hAnsi="黑体" w:cs="黑体" w:hint="eastAsia"/>
                <w:spacing w:val="-11"/>
              </w:rPr>
              <w:t>序号</w:t>
            </w:r>
          </w:p>
        </w:tc>
        <w:tc>
          <w:tcPr>
            <w:tcW w:w="1454" w:type="dxa"/>
            <w:tcBorders>
              <w:top w:val="single" w:sz="4" w:space="0" w:color="auto"/>
              <w:bottom w:val="single" w:sz="4" w:space="0" w:color="auto"/>
            </w:tcBorders>
            <w:vAlign w:val="center"/>
          </w:tcPr>
          <w:p w:rsidR="002D30F5" w:rsidRDefault="002D30F5">
            <w:pPr>
              <w:widowControl/>
              <w:adjustRightInd w:val="0"/>
              <w:snapToGrid w:val="0"/>
              <w:jc w:val="center"/>
              <w:rPr>
                <w:rFonts w:ascii="黑体" w:eastAsia="黑体" w:hAnsi="黑体" w:cs="黑体"/>
                <w:spacing w:val="-11"/>
              </w:rPr>
            </w:pPr>
            <w:r>
              <w:rPr>
                <w:rFonts w:ascii="黑体" w:eastAsia="黑体" w:hAnsi="黑体" w:cs="黑体" w:hint="eastAsia"/>
                <w:spacing w:val="-11"/>
              </w:rPr>
              <w:t>考核指标</w:t>
            </w:r>
          </w:p>
        </w:tc>
        <w:tc>
          <w:tcPr>
            <w:tcW w:w="519" w:type="dxa"/>
            <w:tcBorders>
              <w:top w:val="single" w:sz="4" w:space="0" w:color="auto"/>
              <w:bottom w:val="single" w:sz="4" w:space="0" w:color="auto"/>
            </w:tcBorders>
            <w:vAlign w:val="center"/>
          </w:tcPr>
          <w:p w:rsidR="002D30F5" w:rsidRDefault="002D30F5">
            <w:pPr>
              <w:widowControl/>
              <w:adjustRightInd w:val="0"/>
              <w:snapToGrid w:val="0"/>
              <w:jc w:val="center"/>
              <w:rPr>
                <w:rFonts w:ascii="黑体" w:eastAsia="黑体" w:hAnsi="黑体" w:cs="黑体"/>
                <w:spacing w:val="-11"/>
              </w:rPr>
            </w:pPr>
            <w:r>
              <w:rPr>
                <w:rFonts w:ascii="黑体" w:eastAsia="黑体" w:hAnsi="黑体" w:cs="黑体" w:hint="eastAsia"/>
                <w:spacing w:val="-11"/>
              </w:rPr>
              <w:t>分值</w:t>
            </w:r>
          </w:p>
        </w:tc>
        <w:tc>
          <w:tcPr>
            <w:tcW w:w="9722" w:type="dxa"/>
            <w:tcBorders>
              <w:top w:val="single" w:sz="4" w:space="0" w:color="auto"/>
              <w:bottom w:val="single" w:sz="4" w:space="0" w:color="auto"/>
              <w:right w:val="single" w:sz="4" w:space="0" w:color="auto"/>
            </w:tcBorders>
            <w:vAlign w:val="center"/>
          </w:tcPr>
          <w:p w:rsidR="002D30F5" w:rsidRDefault="002D30F5">
            <w:pPr>
              <w:widowControl/>
              <w:adjustRightInd w:val="0"/>
              <w:snapToGrid w:val="0"/>
              <w:jc w:val="center"/>
              <w:rPr>
                <w:rFonts w:ascii="黑体" w:eastAsia="黑体" w:hAnsi="黑体" w:cs="黑体"/>
                <w:spacing w:val="-11"/>
              </w:rPr>
            </w:pPr>
            <w:r>
              <w:rPr>
                <w:rFonts w:ascii="黑体" w:eastAsia="黑体" w:hAnsi="黑体" w:cs="黑体" w:hint="eastAsia"/>
                <w:spacing w:val="-11"/>
              </w:rPr>
              <w:t>评分标准</w:t>
            </w:r>
          </w:p>
        </w:tc>
      </w:tr>
      <w:tr w:rsidR="002D30F5">
        <w:trPr>
          <w:trHeight w:val="1971"/>
          <w:jc w:val="center"/>
        </w:trPr>
        <w:tc>
          <w:tcPr>
            <w:tcW w:w="1037" w:type="dxa"/>
            <w:vMerge w:val="restart"/>
            <w:tcBorders>
              <w:top w:val="single" w:sz="4" w:space="0" w:color="auto"/>
            </w:tcBorders>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项目法人</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（30分）</w:t>
            </w:r>
          </w:p>
        </w:tc>
        <w:tc>
          <w:tcPr>
            <w:tcW w:w="519" w:type="dxa"/>
            <w:vMerge w:val="restart"/>
            <w:tcBorders>
              <w:top w:val="single" w:sz="4" w:space="0" w:color="auto"/>
            </w:tcBorders>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454" w:type="dxa"/>
            <w:vMerge w:val="restart"/>
            <w:tcBorders>
              <w:top w:val="single" w:sz="4" w:space="0" w:color="auto"/>
            </w:tcBorders>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质量管理体系</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建立情况</w:t>
            </w:r>
          </w:p>
        </w:tc>
        <w:tc>
          <w:tcPr>
            <w:tcW w:w="519" w:type="dxa"/>
            <w:vMerge w:val="restart"/>
            <w:tcBorders>
              <w:top w:val="single" w:sz="4" w:space="0" w:color="auto"/>
            </w:tcBorders>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9722" w:type="dxa"/>
            <w:tcBorders>
              <w:top w:val="single" w:sz="4" w:space="0" w:color="auto"/>
            </w:tcBorders>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履</w:t>
            </w:r>
            <w:proofErr w:type="gramEnd"/>
            <w:r>
              <w:rPr>
                <w:rFonts w:ascii="仿宋_GB2312" w:eastAsia="仿宋_GB2312" w:hAnsi="仿宋_GB2312" w:cs="仿宋_GB2312" w:hint="eastAsia"/>
                <w:szCs w:val="21"/>
              </w:rPr>
              <w:t>职能力，占4分：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（1）未明确建设项目法人的，扣4分；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（2）项目法人为非独立法人机构或水行政主管部门的，扣2分；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3）未设置质量管理机构，或者质量管理机构与工程规模和技术复杂程度不相适应的，扣2分；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（4）未明确主要负责人、技术负责人或财务负责人的，每人扣1分；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（5）技术负责人不符合相关要求的，扣2分;</w:t>
            </w:r>
          </w:p>
          <w:p w:rsidR="002D30F5" w:rsidRDefault="002D30F5">
            <w:pPr>
              <w:widowControl/>
              <w:adjustRightInd w:val="0"/>
              <w:snapToGrid w:val="0"/>
              <w:jc w:val="left"/>
              <w:textAlignment w:val="center"/>
              <w:rPr>
                <w:rFonts w:ascii="仿宋_GB2312" w:eastAsia="仿宋_GB2312" w:hAnsi="仿宋_GB2312" w:cs="仿宋_GB2312"/>
                <w:szCs w:val="21"/>
                <w:lang/>
              </w:rPr>
            </w:pPr>
            <w:r>
              <w:rPr>
                <w:rFonts w:ascii="仿宋_GB2312" w:eastAsia="仿宋_GB2312" w:hAnsi="仿宋_GB2312" w:cs="仿宋_GB2312" w:hint="eastAsia"/>
                <w:szCs w:val="21"/>
              </w:rPr>
              <w:t>（</w:t>
            </w:r>
            <w:r>
              <w:rPr>
                <w:rFonts w:ascii="仿宋_GB2312" w:eastAsia="仿宋_GB2312" w:hAnsi="仿宋_GB2312" w:cs="仿宋_GB2312"/>
                <w:szCs w:val="21"/>
              </w:rPr>
              <w:t>6）总人数或者工程专业技术人员数量不满足工程建设管理需要的，扣2分</w:t>
            </w:r>
            <w:r>
              <w:rPr>
                <w:rFonts w:ascii="仿宋_GB2312" w:eastAsia="仿宋_GB2312" w:hAnsi="仿宋_GB2312" w:cs="仿宋_GB2312"/>
                <w:szCs w:val="21"/>
                <w:lang/>
              </w:rPr>
              <w:t>;</w:t>
            </w:r>
          </w:p>
          <w:p w:rsidR="002D30F5" w:rsidRDefault="002D30F5">
            <w:pPr>
              <w:widowControl/>
              <w:adjustRightInd w:val="0"/>
              <w:snapToGrid w:val="0"/>
              <w:jc w:val="left"/>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7）政府部门工作人员在项目法人单位任职期间同时履行水利建设管理相关行政职责的，扣2分</w:t>
            </w:r>
          </w:p>
        </w:tc>
      </w:tr>
      <w:tr w:rsidR="002D30F5">
        <w:trPr>
          <w:trHeight w:val="919"/>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质量管理制度，占4分：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（1）未建立质量管理制度的，扣4分；质量管理制度不健全或缺乏针对性的，扣2分；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（2）未组织编制工程建设执行技术标准清单的，扣2分；技术标准清单内容不全或针对性不强的，扣1分</w:t>
            </w:r>
          </w:p>
        </w:tc>
      </w:tr>
      <w:tr w:rsidR="002D30F5">
        <w:trPr>
          <w:trHeight w:val="939"/>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落实质量责任制，占2分：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（1）未签订质量责任书和工程质量终身责任承诺书的，扣2分;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（2）未在工程施工现场明显部位设立质量责任公示牌的，扣1分；公示内容不全的，扣</w:t>
            </w:r>
            <w:r>
              <w:rPr>
                <w:rFonts w:ascii="仿宋_GB2312" w:eastAsia="仿宋_GB2312" w:hAnsi="仿宋_GB2312" w:cs="仿宋_GB2312"/>
                <w:szCs w:val="21"/>
              </w:rPr>
              <w:t>0.5分</w:t>
            </w:r>
          </w:p>
        </w:tc>
      </w:tr>
      <w:tr w:rsidR="002D30F5">
        <w:trPr>
          <w:trHeight w:val="629"/>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454"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质量主体责任</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履行情况</w:t>
            </w:r>
          </w:p>
        </w:tc>
        <w:tc>
          <w:tcPr>
            <w:tcW w:w="519" w:type="dxa"/>
            <w:vMerge w:val="restart"/>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r>
              <w:rPr>
                <w:rFonts w:ascii="仿宋_GB2312" w:eastAsia="仿宋_GB2312" w:hAnsi="仿宋_GB2312" w:cs="仿宋_GB2312"/>
                <w:szCs w:val="21"/>
              </w:rPr>
              <w:t>17</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质量管理程序，占</w:t>
            </w:r>
            <w:r>
              <w:rPr>
                <w:rFonts w:ascii="仿宋_GB2312" w:eastAsia="仿宋_GB2312" w:hAnsi="仿宋_GB2312" w:cs="仿宋_GB2312"/>
                <w:szCs w:val="21"/>
              </w:rPr>
              <w:t>8分：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（1）未办理质量监督及开工备案手续的，扣2分；主体工程开工后办理质量监督手续的，扣1分；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（2）未按规定组织施工图设计审查的，扣2分；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3）未组织或者委托监理单位组织勘察、设计交底的，扣2分;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（4）未按规定履行重大设计变更报批手续的，每项扣2分;一般设计变更程序不符合要求的，每项扣1分；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（5）未组织编制项目划分方案或划分方案未报质量监督机构确认的，扣2分; 项目划分调整后未重新报送批准的，扣1分；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6）未有效督促勘察设计、施工、监理单位按照合同约定派驻人员的，扣3分；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（7）未对施工、监理、设计等单位主要人员变更进行审批，或主要人员变更不满足合同约定的，每人扣1分；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（8）未按规定组织（或委托监理）对重要隐蔽单元工程及关键部位单元工程、分部工程、单位工程等质量</w:t>
            </w:r>
            <w:r>
              <w:rPr>
                <w:rFonts w:ascii="仿宋_GB2312" w:eastAsia="仿宋_GB2312" w:hAnsi="仿宋_GB2312" w:cs="仿宋_GB2312" w:hint="eastAsia"/>
                <w:szCs w:val="21"/>
              </w:rPr>
              <w:lastRenderedPageBreak/>
              <w:t>评定、验收，或质量评定、验收工作程序不规范、不及时的，每项（次）扣1分；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9）未按规定报送重要隐蔽（关键部位）单元工程、分部工程和单位工程等施工质量结论的,每项（次）扣1分；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10）未按照档案管理的有关规定建立健全项目档案的，扣1分；未督促指导其他参建单位收集、整理工程建设各环节文件资料的，扣1分；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11）未组织开展《水利工程质量管理规定》学习和教育培训的，扣1分</w:t>
            </w:r>
          </w:p>
        </w:tc>
      </w:tr>
      <w:tr w:rsidR="002D30F5">
        <w:trPr>
          <w:trHeight w:val="1570"/>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p>
        </w:tc>
        <w:tc>
          <w:tcPr>
            <w:tcW w:w="1454" w:type="dxa"/>
            <w:vMerge/>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p>
        </w:tc>
        <w:tc>
          <w:tcPr>
            <w:tcW w:w="519" w:type="dxa"/>
            <w:vMerge/>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质量检查工作，占6分：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（1）未按规定对勘察、设计、施工、监理等参建单位的主要人员出勤情况、合同履约情况、质量行为和工程实体质量进行检查的，扣6分；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（2）检查内容不全或记录不完整的，每项（次）扣2分;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3）未组织责任单位</w:t>
            </w:r>
            <w:r>
              <w:rPr>
                <w:rFonts w:ascii="仿宋_GB2312" w:eastAsia="仿宋_GB2312" w:hAnsi="仿宋_GB2312" w:cs="仿宋_GB2312" w:hint="eastAsia"/>
                <w:szCs w:val="21"/>
              </w:rPr>
              <w:t>对检查发现问题整改落实的，每项（次）扣</w:t>
            </w:r>
            <w:r>
              <w:rPr>
                <w:rFonts w:ascii="仿宋_GB2312" w:eastAsia="仿宋_GB2312" w:hAnsi="仿宋_GB2312" w:cs="仿宋_GB2312"/>
                <w:szCs w:val="21"/>
              </w:rPr>
              <w:t>2分</w:t>
            </w:r>
          </w:p>
        </w:tc>
      </w:tr>
      <w:tr w:rsidR="002D30F5">
        <w:trPr>
          <w:trHeight w:val="1151"/>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质量问题整改落实，占3分：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（1）针对考核年度内历次</w:t>
            </w:r>
            <w:proofErr w:type="gramStart"/>
            <w:r>
              <w:rPr>
                <w:rFonts w:ascii="仿宋_GB2312" w:eastAsia="仿宋_GB2312" w:hAnsi="仿宋_GB2312" w:cs="仿宋_GB2312" w:hint="eastAsia"/>
                <w:szCs w:val="21"/>
              </w:rPr>
              <w:t>稽察</w:t>
            </w:r>
            <w:proofErr w:type="gramEnd"/>
            <w:r>
              <w:rPr>
                <w:rFonts w:ascii="仿宋_GB2312" w:eastAsia="仿宋_GB2312" w:hAnsi="仿宋_GB2312" w:cs="仿宋_GB2312" w:hint="eastAsia"/>
                <w:szCs w:val="21"/>
              </w:rPr>
              <w:t>、巡查、检查等发现的质量问题，未组织有关参建单位制定整改方案、落实整改责任，明确处理标准和时限，开展整改工作的，扣3分；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2）质量问题整改超过整改时限、整改不到位或整改情况无记录的，每项（次）扣1分</w:t>
            </w:r>
          </w:p>
        </w:tc>
      </w:tr>
      <w:tr w:rsidR="002D30F5">
        <w:trPr>
          <w:trHeight w:val="1010"/>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安全度汛</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落实情况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lang/>
              </w:rPr>
            </w:pPr>
            <w:r>
              <w:rPr>
                <w:rFonts w:ascii="仿宋_GB2312" w:eastAsia="仿宋_GB2312" w:hAnsi="仿宋_GB2312" w:cs="仿宋_GB2312" w:hint="eastAsia"/>
                <w:szCs w:val="21"/>
              </w:rPr>
              <w:t>3</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未组织编制度汛方案和超标准洪水应急预案的，扣3分；编制不规范的，扣</w:t>
            </w:r>
            <w:r>
              <w:rPr>
                <w:rFonts w:ascii="仿宋_GB2312" w:eastAsia="仿宋_GB2312" w:hAnsi="仿宋_GB2312" w:cs="仿宋_GB2312"/>
                <w:szCs w:val="21"/>
              </w:rPr>
              <w:t>2分；未及时报送水行政主管部门备案的，扣1分；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hint="eastAsia"/>
                <w:szCs w:val="21"/>
              </w:rPr>
              <w:t>未组织安全度汛检查和隐患排查的，扣</w:t>
            </w:r>
            <w:r>
              <w:rPr>
                <w:rFonts w:ascii="仿宋_GB2312" w:eastAsia="仿宋_GB2312" w:hAnsi="仿宋_GB2312" w:cs="仿宋_GB2312" w:hint="eastAsia"/>
                <w:szCs w:val="21"/>
                <w:lang/>
              </w:rPr>
              <w:t>3</w:t>
            </w:r>
            <w:r>
              <w:rPr>
                <w:rFonts w:ascii="仿宋_GB2312" w:eastAsia="仿宋_GB2312" w:hAnsi="仿宋_GB2312" w:cs="仿宋_GB2312" w:hint="eastAsia"/>
                <w:szCs w:val="21"/>
              </w:rPr>
              <w:t>分；对发现的安全度汛隐患整改落实不到位的，每项扣1分；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3）工程形象面貌在汛前不满足安全度汛要求的，扣2分；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4）未建立安全度汛组织机构的，扣3分；</w:t>
            </w:r>
          </w:p>
          <w:p w:rsidR="002D30F5" w:rsidRDefault="002D30F5">
            <w:pPr>
              <w:widowControl/>
              <w:adjustRightInd w:val="0"/>
              <w:snapToGrid w:val="0"/>
              <w:jc w:val="left"/>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5）未组织安全度汛培训和演练的，扣1分</w:t>
            </w:r>
          </w:p>
        </w:tc>
      </w:tr>
      <w:tr w:rsidR="002D30F5">
        <w:trPr>
          <w:trHeight w:val="983"/>
          <w:jc w:val="center"/>
        </w:trPr>
        <w:tc>
          <w:tcPr>
            <w:tcW w:w="1037"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勘察设计</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单位</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（10分）</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质量管理体系</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建立情况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lang/>
              </w:rPr>
            </w:pPr>
            <w:r>
              <w:rPr>
                <w:rFonts w:ascii="仿宋_GB2312" w:eastAsia="仿宋_GB2312" w:hAnsi="仿宋_GB2312" w:cs="仿宋_GB2312" w:hint="eastAsia"/>
                <w:szCs w:val="21"/>
              </w:rPr>
              <w:t>2</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（1）未按照规定在施工现场设立设计代表机构，或者未派驻具有相应技术能力的人员担任设计代表的，扣2分；</w:t>
            </w:r>
            <w:proofErr w:type="gramStart"/>
            <w:r>
              <w:rPr>
                <w:rFonts w:ascii="仿宋_GB2312" w:eastAsia="仿宋_GB2312" w:hAnsi="仿宋_GB2312" w:cs="仿宋_GB2312" w:hint="eastAsia"/>
                <w:szCs w:val="21"/>
              </w:rPr>
              <w:t>现场设代机构</w:t>
            </w:r>
            <w:proofErr w:type="gramEnd"/>
            <w:r>
              <w:rPr>
                <w:rFonts w:ascii="仿宋_GB2312" w:eastAsia="仿宋_GB2312" w:hAnsi="仿宋_GB2312" w:cs="仿宋_GB2312" w:hint="eastAsia"/>
                <w:szCs w:val="21"/>
              </w:rPr>
              <w:t>技术力量不满足合同约定或工作需要的，扣1分；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（2）未严格执行勘察、设计文件的校审、会签、批准制度的，每项扣1分</w:t>
            </w:r>
          </w:p>
        </w:tc>
      </w:tr>
      <w:tr w:rsidR="002D30F5">
        <w:trPr>
          <w:trHeight w:val="252"/>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restart"/>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1454"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质量主体责任</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履行情况</w:t>
            </w:r>
          </w:p>
        </w:tc>
        <w:tc>
          <w:tcPr>
            <w:tcW w:w="519" w:type="dxa"/>
            <w:vMerge w:val="restart"/>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勘察设计成果质量，占4分：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（1）未及时提供勘察、设计成果，影响工程建设的，扣2分;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2）未按照工程建设强制性标准进行勘察、设计的，每项扣1分;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（3）勘察、设计成果内容与深度不满足</w:t>
            </w:r>
            <w:r>
              <w:rPr>
                <w:rFonts w:ascii="仿宋_GB2312" w:eastAsia="仿宋_GB2312" w:hAnsi="仿宋_GB2312" w:cs="仿宋_GB2312" w:hint="eastAsia"/>
              </w:rPr>
              <w:t>相关技术标准</w:t>
            </w:r>
            <w:r>
              <w:rPr>
                <w:rFonts w:ascii="仿宋_GB2312" w:eastAsia="仿宋_GB2312" w:hAnsi="仿宋_GB2312" w:cs="仿宋_GB2312" w:hint="eastAsia"/>
                <w:szCs w:val="21"/>
              </w:rPr>
              <w:t>要求的，扣2分；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4）初步设计审查意见落实不到位的，每项扣2分；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（5）病险水库除险加固项目的可行性研究、初步设计和后续设计变更内容与安全鉴定成果核查意见指出的问题不对应的，每项扣2分；</w:t>
            </w:r>
          </w:p>
          <w:p w:rsidR="002D30F5" w:rsidRDefault="002D30F5">
            <w:pPr>
              <w:widowControl/>
              <w:adjustRightInd w:val="0"/>
              <w:snapToGrid w:val="0"/>
              <w:jc w:val="left"/>
              <w:textAlignment w:val="center"/>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szCs w:val="21"/>
              </w:rPr>
              <w:t>6）未明确工程安全度汛标准及工程形象面貌要求的，扣2分</w:t>
            </w:r>
          </w:p>
        </w:tc>
      </w:tr>
      <w:tr w:rsidR="002D30F5">
        <w:trPr>
          <w:trHeight w:val="1393"/>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勘察设计质量服务工作，占4分：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（1）未按照规定进行勘察、设计交底的，扣2分；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（2）未按照规定执行设计变更的，每项扣1分；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3）未按照规定参加工程验收并对施工质量是否满足设计要求提出明确评价意见的，每次扣1分；</w:t>
            </w:r>
          </w:p>
          <w:p w:rsidR="002D30F5" w:rsidRDefault="002D30F5">
            <w:pPr>
              <w:widowControl/>
              <w:adjustRightInd w:val="0"/>
              <w:snapToGrid w:val="0"/>
              <w:jc w:val="left"/>
              <w:textAlignment w:val="center"/>
            </w:pPr>
            <w:r>
              <w:rPr>
                <w:rFonts w:ascii="仿宋_GB2312" w:eastAsia="仿宋_GB2312" w:hAnsi="仿宋_GB2312" w:cs="仿宋_GB2312" w:hint="eastAsia"/>
                <w:szCs w:val="21"/>
              </w:rPr>
              <w:t>（4）无现场服务工作记录的，扣2分；记录不完整的，扣1分</w:t>
            </w:r>
          </w:p>
        </w:tc>
      </w:tr>
      <w:tr w:rsidR="002D30F5">
        <w:trPr>
          <w:trHeight w:val="1306"/>
          <w:jc w:val="center"/>
        </w:trPr>
        <w:tc>
          <w:tcPr>
            <w:tcW w:w="1037"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施工单位</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（25分）</w:t>
            </w:r>
          </w:p>
        </w:tc>
        <w:tc>
          <w:tcPr>
            <w:tcW w:w="519"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1454"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质量管理体系建立情况</w:t>
            </w:r>
          </w:p>
        </w:tc>
        <w:tc>
          <w:tcPr>
            <w:tcW w:w="519"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履</w:t>
            </w:r>
            <w:proofErr w:type="gramEnd"/>
            <w:r>
              <w:rPr>
                <w:rFonts w:ascii="仿宋_GB2312" w:eastAsia="仿宋_GB2312" w:hAnsi="仿宋_GB2312" w:cs="仿宋_GB2312" w:hint="eastAsia"/>
                <w:szCs w:val="21"/>
              </w:rPr>
              <w:t>职能力，占4分：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（1）未按合同约定设立现场施工管理机构，或未配备项目经理、技术负责人的，扣4分；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（2）项目经理、技术负责人及主要质量管理技术人员驻场不满足合同约定或工作需要的，扣2分;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lang/>
              </w:rPr>
              <w:t>3</w:t>
            </w:r>
            <w:r>
              <w:rPr>
                <w:rFonts w:ascii="仿宋_GB2312" w:eastAsia="仿宋_GB2312" w:hAnsi="仿宋_GB2312" w:cs="仿宋_GB2312" w:hint="eastAsia"/>
                <w:szCs w:val="21"/>
              </w:rPr>
              <w:t>）更换项目经理和技术负责人</w:t>
            </w:r>
            <w:proofErr w:type="gramStart"/>
            <w:r>
              <w:rPr>
                <w:rFonts w:ascii="仿宋_GB2312" w:eastAsia="仿宋_GB2312" w:hAnsi="仿宋_GB2312" w:cs="仿宋_GB2312" w:hint="eastAsia"/>
                <w:szCs w:val="21"/>
              </w:rPr>
              <w:t>未经项目</w:t>
            </w:r>
            <w:proofErr w:type="gramEnd"/>
            <w:r>
              <w:rPr>
                <w:rFonts w:ascii="仿宋_GB2312" w:eastAsia="仿宋_GB2312" w:hAnsi="仿宋_GB2312" w:cs="仿宋_GB2312" w:hint="eastAsia"/>
                <w:szCs w:val="21"/>
              </w:rPr>
              <w:t>法人书面同意，或者更换后的人员资格低于合同约定条件的，每人扣</w:t>
            </w:r>
            <w:r>
              <w:rPr>
                <w:rFonts w:ascii="仿宋_GB2312" w:eastAsia="仿宋_GB2312" w:hAnsi="仿宋_GB2312" w:cs="仿宋_GB2312"/>
                <w:szCs w:val="21"/>
              </w:rPr>
              <w:t>1分</w:t>
            </w:r>
          </w:p>
        </w:tc>
      </w:tr>
      <w:tr w:rsidR="002D30F5">
        <w:trPr>
          <w:trHeight w:val="971"/>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质量管理制度，占4分：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（1）未建立施工质量管理制度的，扣4分；质量管理制度不健全或缺乏针对性的，每项扣1分；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（2）未签订质量责任书和工程质量终身责任承诺书、公示质量责任人的，扣2分</w:t>
            </w:r>
          </w:p>
        </w:tc>
      </w:tr>
      <w:tr w:rsidR="002D30F5">
        <w:trPr>
          <w:trHeight w:val="2280"/>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1454"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质量主体责任履行情况</w:t>
            </w:r>
          </w:p>
        </w:tc>
        <w:tc>
          <w:tcPr>
            <w:tcW w:w="519"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质量控制程序，占5分：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（1）未报验施工准备情况资料和现场工艺试验、检测方案及成果的，每项（次）扣2分；报验成果材料针对性不强或报批不及时的，每项（次）扣1分;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（2）未开展单元（工序）质量验收评定工作的，每项（次）扣3分；单元（工序）工程质量验收评定不规范或不及时的，每项（次）扣1分;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3）隐蔽工程未经验收或者验收不通过擅自隐蔽的，每项（次）扣1分;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（4）质量缺陷未按要求处理的，每项（次）扣2分；质量缺陷处理情况无相关资料的，扣1分；</w:t>
            </w:r>
          </w:p>
          <w:p w:rsidR="002D30F5" w:rsidRDefault="002D30F5">
            <w:pPr>
              <w:widowControl/>
              <w:adjustRightInd w:val="0"/>
              <w:snapToGrid w:val="0"/>
              <w:textAlignment w:val="center"/>
              <w:rPr>
                <w:rFonts w:eastAsia="仿宋_GB2312"/>
                <w:b/>
                <w:bCs/>
                <w:sz w:val="32"/>
                <w:szCs w:val="24"/>
              </w:rPr>
            </w:pPr>
            <w:r>
              <w:rPr>
                <w:rFonts w:ascii="仿宋_GB2312" w:eastAsia="仿宋_GB2312" w:hAnsi="仿宋_GB2312" w:cs="仿宋_GB2312" w:hint="eastAsia"/>
                <w:szCs w:val="21"/>
              </w:rPr>
              <w:t>（</w:t>
            </w:r>
            <w:r>
              <w:rPr>
                <w:rFonts w:ascii="仿宋_GB2312" w:eastAsia="仿宋_GB2312" w:hAnsi="仿宋_GB2312" w:cs="仿宋_GB2312"/>
                <w:szCs w:val="21"/>
              </w:rPr>
              <w:t>5）伪造工程检验或者验收资料的，扣5</w:t>
            </w:r>
            <w:r>
              <w:rPr>
                <w:rFonts w:ascii="仿宋_GB2312" w:eastAsia="仿宋_GB2312" w:hAnsi="仿宋_GB2312" w:cs="仿宋_GB2312" w:hint="eastAsia"/>
                <w:szCs w:val="21"/>
              </w:rPr>
              <w:t>分</w:t>
            </w:r>
          </w:p>
        </w:tc>
      </w:tr>
      <w:tr w:rsidR="002D30F5">
        <w:trPr>
          <w:trHeight w:val="2120"/>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工程质量全过程控制，占9分：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1）未按批准的设计文件施工的，扣9分;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开展原材料、中间产品、设备质量检验的，每项（次）扣2分；原材料、中间产品、设备质量检验的项目、数量不满足技术标准、合同约定和批准的设计文件，或质量检验结果未报监理单位复核的，每项（次）扣1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（3）未按规范和施工合同约定实施施工过程质量检验的，每项（次）扣2分；检验项目、检验数量、检验方法不符合要求，或质量检验结果未报监理单位复核的，每项（次）扣1分；</w:t>
            </w:r>
          </w:p>
          <w:p w:rsidR="002D30F5" w:rsidRDefault="002D30F5">
            <w:pPr>
              <w:widowControl/>
              <w:adjustRightInd w:val="0"/>
              <w:snapToGrid w:val="0"/>
              <w:jc w:val="left"/>
              <w:textAlignment w:val="center"/>
              <w:rPr>
                <w:rFonts w:ascii="仿宋_GB2312" w:eastAsia="仿宋_GB2312" w:hAnsi="仿宋_GB2312" w:cs="仿宋_GB2312"/>
                <w:sz w:val="32"/>
                <w:szCs w:val="21"/>
              </w:rPr>
            </w:pPr>
            <w:r>
              <w:rPr>
                <w:rFonts w:ascii="仿宋_GB2312" w:eastAsia="仿宋_GB2312" w:hAnsi="仿宋_GB2312" w:cs="仿宋_GB2312" w:hint="eastAsia"/>
                <w:szCs w:val="21"/>
              </w:rPr>
              <w:t>（4）委托不具有相应资质等级的水利工程质量检测单位对检测项目实施检测的，扣2分</w:t>
            </w:r>
          </w:p>
        </w:tc>
      </w:tr>
      <w:tr w:rsidR="002D30F5">
        <w:trPr>
          <w:trHeight w:val="1151"/>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安全度汛</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落实情况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（1）未制定安全度汛措施的，扣3分；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（2）未组织汛前隐患排查整改和汛期安全巡查的，扣2分；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（3）对发现的安全度汛隐患整改落实不到位的，每项（次）扣1分;</w:t>
            </w:r>
          </w:p>
          <w:p w:rsidR="002D30F5" w:rsidRDefault="002D30F5">
            <w:pPr>
              <w:widowControl/>
              <w:adjustRightInd w:val="0"/>
              <w:snapToGrid w:val="0"/>
              <w:textAlignment w:val="center"/>
              <w:rPr>
                <w:rFonts w:ascii="仿宋_GB2312" w:eastAsia="仿宋_GB2312" w:hAnsi="仿宋_GB2312" w:cs="仿宋_GB2312"/>
                <w:sz w:val="32"/>
                <w:szCs w:val="21"/>
              </w:rPr>
            </w:pPr>
            <w:r>
              <w:rPr>
                <w:rFonts w:ascii="仿宋_GB2312" w:eastAsia="仿宋_GB2312" w:hAnsi="仿宋_GB2312" w:cs="仿宋_GB2312" w:hint="eastAsia"/>
                <w:szCs w:val="21"/>
              </w:rPr>
              <w:t>（4）未明确防汛抢险队伍并配备防汛物资及设备的，扣2分</w:t>
            </w:r>
          </w:p>
        </w:tc>
      </w:tr>
      <w:tr w:rsidR="002D30F5">
        <w:trPr>
          <w:trHeight w:val="1680"/>
          <w:jc w:val="center"/>
        </w:trPr>
        <w:tc>
          <w:tcPr>
            <w:tcW w:w="1037"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监理单位</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（20分）</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质量管理体系</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建立情况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（1）未按照合同约定设立现场监理机构或派驻监理人员的，扣3分;聘用无注册监理工程师（水利工程）证书人员从事水利工程建设监理执业活动的，</w:t>
            </w:r>
            <w:r>
              <w:rPr>
                <w:rFonts w:ascii="仿宋_GB2312" w:eastAsia="仿宋_GB2312" w:hAnsi="仿宋_GB2312" w:cs="仿宋_GB2312" w:hint="eastAsia"/>
                <w:szCs w:val="21"/>
                <w:lang/>
              </w:rPr>
              <w:t>扣</w:t>
            </w:r>
            <w:r>
              <w:rPr>
                <w:rFonts w:ascii="仿宋_GB2312" w:eastAsia="仿宋_GB2312" w:hAnsi="仿宋_GB2312" w:cs="仿宋_GB2312"/>
                <w:szCs w:val="21"/>
                <w:lang/>
              </w:rPr>
              <w:t>2</w:t>
            </w:r>
            <w:r>
              <w:rPr>
                <w:rFonts w:ascii="仿宋_GB2312" w:eastAsia="仿宋_GB2312" w:hAnsi="仿宋_GB2312" w:cs="仿宋_GB2312" w:hint="eastAsia"/>
                <w:szCs w:val="21"/>
                <w:lang/>
              </w:rPr>
              <w:t>分</w:t>
            </w:r>
            <w:r>
              <w:rPr>
                <w:rFonts w:ascii="仿宋_GB2312" w:eastAsia="仿宋_GB2312" w:hAnsi="仿宋_GB2312" w:cs="仿宋_GB2312"/>
                <w:szCs w:val="21"/>
                <w:lang/>
              </w:rPr>
              <w:t>；</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（2）总监理工程师等主要监理人员驻场不满足合同约定或工作需要的，扣2分;</w:t>
            </w:r>
          </w:p>
          <w:p w:rsidR="002D30F5" w:rsidRDefault="002D30F5">
            <w:pPr>
              <w:widowControl/>
              <w:adjustRightInd w:val="0"/>
              <w:snapToGrid w:val="0"/>
              <w:jc w:val="left"/>
              <w:textAlignment w:val="center"/>
              <w:rPr>
                <w:rFonts w:ascii="仿宋_GB2312" w:eastAsia="仿宋_GB2312" w:hAnsi="仿宋_GB2312" w:cs="仿宋_GB2312"/>
                <w:szCs w:val="21"/>
                <w:lang/>
              </w:rPr>
            </w:pPr>
            <w:r>
              <w:rPr>
                <w:rFonts w:ascii="仿宋_GB2312" w:eastAsia="仿宋_GB2312" w:hAnsi="仿宋_GB2312" w:cs="仿宋_GB2312" w:hint="eastAsia"/>
                <w:szCs w:val="21"/>
              </w:rPr>
              <w:t>（</w:t>
            </w:r>
            <w:r>
              <w:rPr>
                <w:rFonts w:ascii="仿宋_GB2312" w:eastAsia="仿宋_GB2312" w:hAnsi="仿宋_GB2312" w:cs="仿宋_GB2312"/>
                <w:szCs w:val="21"/>
                <w:lang/>
              </w:rPr>
              <w:t>3</w:t>
            </w:r>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更换总</w:t>
            </w:r>
            <w:proofErr w:type="gramEnd"/>
            <w:r>
              <w:rPr>
                <w:rFonts w:ascii="仿宋_GB2312" w:eastAsia="仿宋_GB2312" w:hAnsi="仿宋_GB2312" w:cs="仿宋_GB2312" w:hint="eastAsia"/>
                <w:szCs w:val="21"/>
              </w:rPr>
              <w:t>监理工程师和监理工程师</w:t>
            </w:r>
            <w:proofErr w:type="gramStart"/>
            <w:r>
              <w:rPr>
                <w:rFonts w:ascii="仿宋_GB2312" w:eastAsia="仿宋_GB2312" w:hAnsi="仿宋_GB2312" w:cs="仿宋_GB2312" w:hint="eastAsia"/>
                <w:szCs w:val="21"/>
              </w:rPr>
              <w:t>未经项目</w:t>
            </w:r>
            <w:proofErr w:type="gramEnd"/>
            <w:r>
              <w:rPr>
                <w:rFonts w:ascii="仿宋_GB2312" w:eastAsia="仿宋_GB2312" w:hAnsi="仿宋_GB2312" w:cs="仿宋_GB2312" w:hint="eastAsia"/>
                <w:szCs w:val="21"/>
              </w:rPr>
              <w:t>法人书面同意，或者更换后的人员资格低于合同约定条件的，扣2分</w:t>
            </w:r>
            <w:r>
              <w:rPr>
                <w:rFonts w:ascii="仿宋_GB2312" w:eastAsia="仿宋_GB2312" w:hAnsi="仿宋_GB2312" w:cs="仿宋_GB2312"/>
                <w:szCs w:val="21"/>
                <w:lang/>
              </w:rPr>
              <w:t>;</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lang/>
              </w:rPr>
              <w:t>4</w:t>
            </w:r>
            <w:r>
              <w:rPr>
                <w:rFonts w:ascii="仿宋_GB2312" w:eastAsia="仿宋_GB2312" w:hAnsi="仿宋_GB2312" w:cs="仿宋_GB2312" w:hint="eastAsia"/>
                <w:szCs w:val="21"/>
              </w:rPr>
              <w:t>）未制定监理规划和监理实施细则的，扣3分；监理规划和监理实施细则缺乏针对性的，扣2分</w:t>
            </w:r>
          </w:p>
        </w:tc>
      </w:tr>
      <w:tr w:rsidR="002D30F5">
        <w:trPr>
          <w:trHeight w:val="2301"/>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1454"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质量主体责任</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履行情况</w:t>
            </w:r>
          </w:p>
        </w:tc>
        <w:tc>
          <w:tcPr>
            <w:tcW w:w="519" w:type="dxa"/>
            <w:vMerge w:val="restart"/>
            <w:vAlign w:val="center"/>
          </w:tcPr>
          <w:p w:rsidR="002D30F5" w:rsidRDefault="002D30F5">
            <w:pPr>
              <w:adjustRightInd w:val="0"/>
              <w:snapToGrid w:val="0"/>
              <w:spacing w:line="360" w:lineRule="auto"/>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质量管理程序履行，占6分：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（1）未参加或主持</w:t>
            </w:r>
            <w:r>
              <w:rPr>
                <w:rFonts w:ascii="仿宋_GB2312" w:eastAsia="仿宋_GB2312" w:hAnsi="仿宋_GB2312" w:cs="仿宋_GB2312" w:hint="eastAsia"/>
              </w:rPr>
              <w:t>勘察、</w:t>
            </w:r>
            <w:r>
              <w:rPr>
                <w:rFonts w:ascii="仿宋_GB2312" w:eastAsia="仿宋_GB2312" w:hAnsi="仿宋_GB2312" w:cs="仿宋_GB2312" w:hint="eastAsia"/>
                <w:szCs w:val="21"/>
              </w:rPr>
              <w:t>设计交底的，扣2分;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（2）未对施工质量管理体系、施工组织设计、专项施工方案、归档文件、施工图纸、现场工艺试验方案、度汛措施、应急预案等进行审查、审核或审批的，每项扣1分；不及时或不规范的，每项扣0.5分；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（3）签发指示、通知、批复等监理文件不及时或不规范的，每项（次）扣1分；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（4）现场监理记录不规范或不齐全的，每项（次）扣1分；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5）伪造监理记录或平行检验资料的，扣6分</w:t>
            </w:r>
          </w:p>
        </w:tc>
      </w:tr>
      <w:tr w:rsidR="002D30F5">
        <w:trPr>
          <w:trHeight w:val="3300"/>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1454"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质量检查控制，占9分：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（1）未按照有关技术标准和合同约定开展跟踪或平行检测的，扣5分；跟踪或平行检测项目和数量不满足有关技术标准或合同约定的，扣3分；</w:t>
            </w:r>
          </w:p>
          <w:p w:rsidR="002D30F5" w:rsidRDefault="002D30F5">
            <w:pPr>
              <w:widowControl/>
              <w:adjustRightInd w:val="0"/>
              <w:snapToGrid w:val="0"/>
              <w:textAlignment w:val="center"/>
              <w:rPr>
                <w:rFonts w:ascii="仿宋_GB2312" w:eastAsia="仿宋_GB2312" w:hAnsi="仿宋_GB2312" w:cs="仿宋_GB2312"/>
                <w:szCs w:val="21"/>
                <w:lang/>
              </w:rPr>
            </w:pPr>
            <w:r>
              <w:rPr>
                <w:rFonts w:ascii="仿宋_GB2312" w:eastAsia="仿宋_GB2312" w:hAnsi="仿宋_GB2312" w:cs="仿宋_GB2312" w:hint="eastAsia"/>
                <w:szCs w:val="21"/>
              </w:rPr>
              <w:t>（2）委托不具有相应资质等级的水利工程质量检测单位对检测项目实施跟踪或平行检测的，或与施工自检单位同体的，扣2分</w:t>
            </w:r>
            <w:r>
              <w:rPr>
                <w:rFonts w:ascii="仿宋_GB2312" w:eastAsia="仿宋_GB2312" w:hAnsi="仿宋_GB2312" w:cs="仿宋_GB2312"/>
                <w:szCs w:val="21"/>
                <w:lang/>
              </w:rPr>
              <w:t>;</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（3）旁站监理、巡视检查施工现场管理、实体质量、施工单位技术标准执行情况等工作开展不规范或记录不完整的，每项（次）扣1分；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（4）未对原材料、中间产品、工程设备、施工设备进行核验、验收或检查的，每项（次）扣1分；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5）未开展度汛措施落实情况检查的，扣2分；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（6）验收和评定工程质量不及时或不规范的，每项（次）扣1分；</w:t>
            </w:r>
          </w:p>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（7）未督促检查发现问题整改到位的，每项（次）扣1分</w:t>
            </w:r>
          </w:p>
        </w:tc>
      </w:tr>
      <w:tr w:rsidR="002D30F5">
        <w:trPr>
          <w:trHeight w:val="1067"/>
          <w:jc w:val="center"/>
        </w:trPr>
        <w:tc>
          <w:tcPr>
            <w:tcW w:w="1037"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项目质量监管</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5分）</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质量监督</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工作计划</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9722" w:type="dxa"/>
            <w:vAlign w:val="center"/>
          </w:tcPr>
          <w:p w:rsidR="002D30F5" w:rsidRDefault="002D30F5">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）未制定质量监督工作计划或未制定跨年度工程年度质量监督工作计划的，扣</w:t>
            </w:r>
            <w:r>
              <w:rPr>
                <w:rFonts w:ascii="仿宋_GB2312" w:eastAsia="仿宋_GB2312" w:hAnsi="仿宋_GB2312" w:cs="仿宋_GB2312"/>
                <w:szCs w:val="21"/>
              </w:rPr>
              <w:t>2</w:t>
            </w:r>
            <w:r>
              <w:rPr>
                <w:rFonts w:ascii="仿宋_GB2312" w:eastAsia="仿宋_GB2312" w:hAnsi="仿宋_GB2312" w:cs="仿宋_GB2312" w:hint="eastAsia"/>
                <w:szCs w:val="21"/>
              </w:rPr>
              <w:t>分</w:t>
            </w:r>
            <w:r>
              <w:rPr>
                <w:rFonts w:ascii="仿宋_GB2312" w:eastAsia="仿宋_GB2312" w:hAnsi="仿宋_GB2312" w:cs="仿宋_GB2312"/>
                <w:szCs w:val="21"/>
              </w:rPr>
              <w:t>;</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hint="eastAsia"/>
                <w:szCs w:val="21"/>
              </w:rPr>
              <w:t>）制定的质量监督工作计划内容不全或针对性不强的，扣</w:t>
            </w:r>
            <w:r>
              <w:rPr>
                <w:rFonts w:ascii="仿宋_GB2312" w:eastAsia="仿宋_GB2312" w:hAnsi="仿宋_GB2312" w:cs="仿宋_GB2312"/>
                <w:szCs w:val="21"/>
              </w:rPr>
              <w:t>1</w:t>
            </w:r>
            <w:r>
              <w:rPr>
                <w:rFonts w:ascii="仿宋_GB2312" w:eastAsia="仿宋_GB2312" w:hAnsi="仿宋_GB2312" w:cs="仿宋_GB2312" w:hint="eastAsia"/>
                <w:szCs w:val="21"/>
              </w:rPr>
              <w:t>分</w:t>
            </w:r>
          </w:p>
        </w:tc>
      </w:tr>
      <w:tr w:rsidR="002D30F5">
        <w:trPr>
          <w:trHeight w:val="949"/>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工程质量监督</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检查情况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（1）未对各参建单位的质量行为和工程实体质量进行检查的，扣3分；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（2）未对检查发现的问题督促整改落实到位的，每项（次）扣1分</w:t>
            </w:r>
          </w:p>
        </w:tc>
      </w:tr>
      <w:tr w:rsidR="002D30F5">
        <w:trPr>
          <w:trHeight w:val="852"/>
          <w:jc w:val="center"/>
        </w:trPr>
        <w:tc>
          <w:tcPr>
            <w:tcW w:w="1037" w:type="dxa"/>
            <w:vMerge w:val="restart"/>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施工现场管理及</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实体质量</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（10分）</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施工现场</w:t>
            </w:r>
          </w:p>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管理情况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szCs w:val="21"/>
              </w:rPr>
              <w:t>4</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（1）未按施工规范和技术要求组织现场施工的，扣</w:t>
            </w:r>
            <w:r>
              <w:rPr>
                <w:rFonts w:ascii="仿宋_GB2312" w:eastAsia="仿宋_GB2312" w:hAnsi="仿宋_GB2312" w:cs="仿宋_GB2312"/>
                <w:szCs w:val="21"/>
              </w:rPr>
              <w:t>3</w:t>
            </w:r>
            <w:r>
              <w:rPr>
                <w:rFonts w:ascii="仿宋_GB2312" w:eastAsia="仿宋_GB2312" w:hAnsi="仿宋_GB2312" w:cs="仿宋_GB2312" w:hint="eastAsia"/>
                <w:szCs w:val="21"/>
              </w:rPr>
              <w:t>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（2）主要原材料、中间产品、构配件、设备等管理不规范的，每个问题扣1分</w:t>
            </w:r>
          </w:p>
        </w:tc>
      </w:tr>
      <w:tr w:rsidR="002D30F5">
        <w:trPr>
          <w:trHeight w:val="1038"/>
          <w:jc w:val="center"/>
        </w:trPr>
        <w:tc>
          <w:tcPr>
            <w:tcW w:w="1037" w:type="dxa"/>
            <w:vMerge/>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1454"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实体质量情况</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szCs w:val="21"/>
              </w:rPr>
              <w:t>6</w:t>
            </w:r>
          </w:p>
        </w:tc>
        <w:tc>
          <w:tcPr>
            <w:tcW w:w="9722" w:type="dxa"/>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（1）存在影响结构安全或使用功能的质量问题的，扣6分；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（2）已完工序和工程实体质量存在质量通病的，每类问题扣1分；已完工程存在外观质量缺陷的，每个缺陷扣1分</w:t>
            </w:r>
          </w:p>
        </w:tc>
      </w:tr>
      <w:tr w:rsidR="002D30F5">
        <w:trPr>
          <w:trHeight w:val="819"/>
          <w:jc w:val="center"/>
        </w:trPr>
        <w:tc>
          <w:tcPr>
            <w:tcW w:w="1037" w:type="dxa"/>
            <w:vAlign w:val="center"/>
          </w:tcPr>
          <w:p w:rsidR="002D30F5" w:rsidRDefault="002D30F5">
            <w:pPr>
              <w:widowControl/>
              <w:adjustRightInd w:val="0"/>
              <w:snapToGrid w:val="0"/>
              <w:jc w:val="center"/>
              <w:textAlignment w:val="center"/>
              <w:rPr>
                <w:rFonts w:eastAsia="仿宋_GB2312"/>
                <w:szCs w:val="21"/>
              </w:rPr>
            </w:pPr>
            <w:r>
              <w:rPr>
                <w:rFonts w:eastAsia="仿宋_GB2312" w:hint="eastAsia"/>
                <w:szCs w:val="21"/>
              </w:rPr>
              <w:t>其他</w:t>
            </w:r>
          </w:p>
          <w:p w:rsidR="002D30F5" w:rsidRDefault="002D30F5">
            <w:pPr>
              <w:widowControl/>
              <w:adjustRightInd w:val="0"/>
              <w:snapToGrid w:val="0"/>
              <w:jc w:val="center"/>
              <w:textAlignment w:val="center"/>
              <w:rPr>
                <w:rFonts w:eastAsia="仿宋_GB2312"/>
                <w:sz w:val="32"/>
                <w:szCs w:val="24"/>
              </w:rPr>
            </w:pPr>
            <w:r>
              <w:rPr>
                <w:rFonts w:eastAsia="仿宋_GB2312" w:hint="eastAsia"/>
                <w:szCs w:val="21"/>
              </w:rPr>
              <w:t>扣分项</w:t>
            </w:r>
          </w:p>
        </w:tc>
        <w:tc>
          <w:tcPr>
            <w:tcW w:w="519" w:type="dxa"/>
            <w:vAlign w:val="center"/>
          </w:tcPr>
          <w:p w:rsidR="002D30F5" w:rsidRDefault="002D30F5">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11695" w:type="dxa"/>
            <w:gridSpan w:val="3"/>
            <w:vAlign w:val="center"/>
          </w:tcPr>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（1）发生严重违法违规行为的，每发生一起扣20分；</w:t>
            </w:r>
          </w:p>
          <w:p w:rsidR="002D30F5" w:rsidRDefault="002D30F5">
            <w:pPr>
              <w:widowControl/>
              <w:adjustRightInd w:val="0"/>
              <w:snapToGrid w:val="0"/>
              <w:jc w:val="left"/>
              <w:textAlignment w:val="center"/>
              <w:rPr>
                <w:rFonts w:ascii="仿宋_GB2312" w:eastAsia="仿宋_GB2312" w:hAnsi="仿宋_GB2312" w:cs="仿宋_GB2312"/>
                <w:szCs w:val="21"/>
              </w:rPr>
            </w:pPr>
            <w:r>
              <w:rPr>
                <w:rFonts w:ascii="仿宋_GB2312" w:eastAsia="仿宋_GB2312" w:hAnsi="仿宋_GB2312" w:cs="仿宋_GB2312" w:hint="eastAsia"/>
                <w:szCs w:val="21"/>
              </w:rPr>
              <w:t>（2）存在弄虚作假、故意隐瞒情况的，该项目质量管理效果评价得分为0</w:t>
            </w:r>
          </w:p>
        </w:tc>
      </w:tr>
    </w:tbl>
    <w:p w:rsidR="002D30F5" w:rsidRDefault="002D30F5">
      <w:pPr>
        <w:rPr>
          <w:color w:val="000000"/>
        </w:rPr>
      </w:pPr>
    </w:p>
    <w:sectPr w:rsidR="002D30F5">
      <w:footerReference w:type="default" r:id="rId6"/>
      <w:pgSz w:w="16838" w:h="11906" w:orient="landscape"/>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0C2" w:rsidRDefault="00C110C2">
      <w:r>
        <w:separator/>
      </w:r>
    </w:p>
  </w:endnote>
  <w:endnote w:type="continuationSeparator" w:id="0">
    <w:p w:rsidR="00C110C2" w:rsidRDefault="00C11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B8" w:rsidRDefault="004E11B8">
    <w:pPr>
      <w:pStyle w:val="a6"/>
      <w:jc w:val="center"/>
    </w:pPr>
    <w:fldSimple w:instr=" PAGE   \* MERGEFORMAT ">
      <w:r w:rsidRPr="004E11B8">
        <w:rPr>
          <w:noProof/>
          <w:lang w:val="zh-CN"/>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0C2" w:rsidRDefault="00C110C2">
      <w:r>
        <w:separator/>
      </w:r>
    </w:p>
  </w:footnote>
  <w:footnote w:type="continuationSeparator" w:id="0">
    <w:p w:rsidR="00C110C2" w:rsidRDefault="00C110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5E1"/>
    <w:rsid w:val="00063672"/>
    <w:rsid w:val="00074553"/>
    <w:rsid w:val="000C2421"/>
    <w:rsid w:val="000C34ED"/>
    <w:rsid w:val="000C7719"/>
    <w:rsid w:val="00172A27"/>
    <w:rsid w:val="001859A7"/>
    <w:rsid w:val="001F5FC0"/>
    <w:rsid w:val="00230CA4"/>
    <w:rsid w:val="00237F0C"/>
    <w:rsid w:val="00271800"/>
    <w:rsid w:val="002D18E8"/>
    <w:rsid w:val="002D30F5"/>
    <w:rsid w:val="0033081F"/>
    <w:rsid w:val="00330AF4"/>
    <w:rsid w:val="00370B68"/>
    <w:rsid w:val="00383E36"/>
    <w:rsid w:val="003851E5"/>
    <w:rsid w:val="003A7D35"/>
    <w:rsid w:val="003D4454"/>
    <w:rsid w:val="00400042"/>
    <w:rsid w:val="0040641F"/>
    <w:rsid w:val="00413204"/>
    <w:rsid w:val="00417528"/>
    <w:rsid w:val="00423F61"/>
    <w:rsid w:val="00466B4D"/>
    <w:rsid w:val="004B1B69"/>
    <w:rsid w:val="004C741E"/>
    <w:rsid w:val="004E11B8"/>
    <w:rsid w:val="004E7B6A"/>
    <w:rsid w:val="004F4077"/>
    <w:rsid w:val="00537D0F"/>
    <w:rsid w:val="00544F76"/>
    <w:rsid w:val="0055745C"/>
    <w:rsid w:val="005870D1"/>
    <w:rsid w:val="006135F5"/>
    <w:rsid w:val="00676BA0"/>
    <w:rsid w:val="00692492"/>
    <w:rsid w:val="006A7DF9"/>
    <w:rsid w:val="006D0F17"/>
    <w:rsid w:val="006D60C6"/>
    <w:rsid w:val="006E5120"/>
    <w:rsid w:val="006F1BD3"/>
    <w:rsid w:val="007045E2"/>
    <w:rsid w:val="00742AC6"/>
    <w:rsid w:val="0076592A"/>
    <w:rsid w:val="00766815"/>
    <w:rsid w:val="007808E2"/>
    <w:rsid w:val="00791025"/>
    <w:rsid w:val="007A2267"/>
    <w:rsid w:val="007A5D05"/>
    <w:rsid w:val="007E1024"/>
    <w:rsid w:val="007F102B"/>
    <w:rsid w:val="00801ABC"/>
    <w:rsid w:val="00821307"/>
    <w:rsid w:val="00824620"/>
    <w:rsid w:val="00831497"/>
    <w:rsid w:val="00860CC9"/>
    <w:rsid w:val="008B2063"/>
    <w:rsid w:val="008F2B05"/>
    <w:rsid w:val="00901042"/>
    <w:rsid w:val="00907A5B"/>
    <w:rsid w:val="0091779C"/>
    <w:rsid w:val="00953D6D"/>
    <w:rsid w:val="00957FC6"/>
    <w:rsid w:val="00985EBA"/>
    <w:rsid w:val="0099037B"/>
    <w:rsid w:val="009B4B57"/>
    <w:rsid w:val="009C1435"/>
    <w:rsid w:val="009C1BE6"/>
    <w:rsid w:val="009C2228"/>
    <w:rsid w:val="009C3FE4"/>
    <w:rsid w:val="009D051B"/>
    <w:rsid w:val="009F1611"/>
    <w:rsid w:val="00A32A40"/>
    <w:rsid w:val="00A5157D"/>
    <w:rsid w:val="00A5523F"/>
    <w:rsid w:val="00A93A4E"/>
    <w:rsid w:val="00AB47BC"/>
    <w:rsid w:val="00AD0910"/>
    <w:rsid w:val="00B1390C"/>
    <w:rsid w:val="00B2776B"/>
    <w:rsid w:val="00B573F6"/>
    <w:rsid w:val="00B74F29"/>
    <w:rsid w:val="00BD6A90"/>
    <w:rsid w:val="00C110C2"/>
    <w:rsid w:val="00C23E3A"/>
    <w:rsid w:val="00C82A37"/>
    <w:rsid w:val="00CC0153"/>
    <w:rsid w:val="00D069B0"/>
    <w:rsid w:val="00D41D43"/>
    <w:rsid w:val="00D4277B"/>
    <w:rsid w:val="00D6191B"/>
    <w:rsid w:val="00D709E8"/>
    <w:rsid w:val="00D82EA9"/>
    <w:rsid w:val="00D90FCB"/>
    <w:rsid w:val="00D9614E"/>
    <w:rsid w:val="00DC4E4E"/>
    <w:rsid w:val="00E63C24"/>
    <w:rsid w:val="00E74153"/>
    <w:rsid w:val="00EA6531"/>
    <w:rsid w:val="00EA6567"/>
    <w:rsid w:val="00EE3867"/>
    <w:rsid w:val="00EF75C4"/>
    <w:rsid w:val="00F06466"/>
    <w:rsid w:val="00F26BBA"/>
    <w:rsid w:val="00FE1117"/>
    <w:rsid w:val="01C7781D"/>
    <w:rsid w:val="08DE45B5"/>
    <w:rsid w:val="0AE92A74"/>
    <w:rsid w:val="0EBE8AB1"/>
    <w:rsid w:val="0F37D1B7"/>
    <w:rsid w:val="12BD4501"/>
    <w:rsid w:val="14795A57"/>
    <w:rsid w:val="156C5731"/>
    <w:rsid w:val="177D51C1"/>
    <w:rsid w:val="18B31DEF"/>
    <w:rsid w:val="197D29AE"/>
    <w:rsid w:val="1F57F1E4"/>
    <w:rsid w:val="1F67D2E2"/>
    <w:rsid w:val="20563E4E"/>
    <w:rsid w:val="26013B1B"/>
    <w:rsid w:val="27F66652"/>
    <w:rsid w:val="2BBF0477"/>
    <w:rsid w:val="2BF73483"/>
    <w:rsid w:val="2E734DC9"/>
    <w:rsid w:val="2FFF8AD0"/>
    <w:rsid w:val="337CF898"/>
    <w:rsid w:val="34623E1F"/>
    <w:rsid w:val="35E6B329"/>
    <w:rsid w:val="35FC8558"/>
    <w:rsid w:val="36AE9DEB"/>
    <w:rsid w:val="37E77399"/>
    <w:rsid w:val="37F5B7E4"/>
    <w:rsid w:val="3C7B0544"/>
    <w:rsid w:val="3CCD3451"/>
    <w:rsid w:val="3CFD9A32"/>
    <w:rsid w:val="3DFA0A88"/>
    <w:rsid w:val="3E6D8C9D"/>
    <w:rsid w:val="3F77EA44"/>
    <w:rsid w:val="3F7DCFA4"/>
    <w:rsid w:val="3FBDEA9A"/>
    <w:rsid w:val="3FBFEB22"/>
    <w:rsid w:val="3FDA7486"/>
    <w:rsid w:val="3FDF678D"/>
    <w:rsid w:val="3FDFEB36"/>
    <w:rsid w:val="3FEE21FF"/>
    <w:rsid w:val="3FFF2995"/>
    <w:rsid w:val="45FD2A1B"/>
    <w:rsid w:val="47890B5E"/>
    <w:rsid w:val="4BB772C7"/>
    <w:rsid w:val="4BF2684E"/>
    <w:rsid w:val="4FE7F6C0"/>
    <w:rsid w:val="4FF97CDE"/>
    <w:rsid w:val="52FF65F8"/>
    <w:rsid w:val="53F7C3BD"/>
    <w:rsid w:val="557D914B"/>
    <w:rsid w:val="55DFAD07"/>
    <w:rsid w:val="55ED29E1"/>
    <w:rsid w:val="56C360E7"/>
    <w:rsid w:val="57BB6605"/>
    <w:rsid w:val="59F70AE4"/>
    <w:rsid w:val="59FED872"/>
    <w:rsid w:val="5AD51F46"/>
    <w:rsid w:val="5C87DD84"/>
    <w:rsid w:val="5D63808B"/>
    <w:rsid w:val="5DB2651F"/>
    <w:rsid w:val="5DBBEC49"/>
    <w:rsid w:val="5DDD247C"/>
    <w:rsid w:val="5EFF30E0"/>
    <w:rsid w:val="5FBF3E9C"/>
    <w:rsid w:val="5FFFF9BE"/>
    <w:rsid w:val="611E0EB1"/>
    <w:rsid w:val="67DDA157"/>
    <w:rsid w:val="69647589"/>
    <w:rsid w:val="6B5C2261"/>
    <w:rsid w:val="6BF60459"/>
    <w:rsid w:val="6CF73FAB"/>
    <w:rsid w:val="6EFF1681"/>
    <w:rsid w:val="6F7F78AC"/>
    <w:rsid w:val="6F9B46B9"/>
    <w:rsid w:val="6FBB2EDD"/>
    <w:rsid w:val="6FD55E3E"/>
    <w:rsid w:val="6FFFF89C"/>
    <w:rsid w:val="717D3337"/>
    <w:rsid w:val="727F621C"/>
    <w:rsid w:val="7290698D"/>
    <w:rsid w:val="72EF906D"/>
    <w:rsid w:val="73BF45A0"/>
    <w:rsid w:val="74327048"/>
    <w:rsid w:val="759B479A"/>
    <w:rsid w:val="75FBF665"/>
    <w:rsid w:val="7751784F"/>
    <w:rsid w:val="775578DD"/>
    <w:rsid w:val="77D7A167"/>
    <w:rsid w:val="77EEC5B4"/>
    <w:rsid w:val="77FE363E"/>
    <w:rsid w:val="7979CE1B"/>
    <w:rsid w:val="79FC14E0"/>
    <w:rsid w:val="7AB67484"/>
    <w:rsid w:val="7ABF811A"/>
    <w:rsid w:val="7ACFA885"/>
    <w:rsid w:val="7ADFC5B2"/>
    <w:rsid w:val="7AFB31D8"/>
    <w:rsid w:val="7B4A4108"/>
    <w:rsid w:val="7BB950D0"/>
    <w:rsid w:val="7BFB10E6"/>
    <w:rsid w:val="7CEF4E31"/>
    <w:rsid w:val="7DBFDA38"/>
    <w:rsid w:val="7E0F64C6"/>
    <w:rsid w:val="7E650802"/>
    <w:rsid w:val="7EE6C9F9"/>
    <w:rsid w:val="7EEFA6DF"/>
    <w:rsid w:val="7EEFDFFA"/>
    <w:rsid w:val="7F7C9E5F"/>
    <w:rsid w:val="7F7ECC73"/>
    <w:rsid w:val="7F7F431B"/>
    <w:rsid w:val="7FADA543"/>
    <w:rsid w:val="7FAE19AC"/>
    <w:rsid w:val="7FAF7D51"/>
    <w:rsid w:val="7FBBF51E"/>
    <w:rsid w:val="7FE9F66B"/>
    <w:rsid w:val="7FFB2042"/>
    <w:rsid w:val="7FFB5077"/>
    <w:rsid w:val="7FFDD510"/>
    <w:rsid w:val="8FF55E28"/>
    <w:rsid w:val="95DD1B37"/>
    <w:rsid w:val="9BEE1483"/>
    <w:rsid w:val="9DEF510F"/>
    <w:rsid w:val="AFD47F0F"/>
    <w:rsid w:val="B677209D"/>
    <w:rsid w:val="B6F7400F"/>
    <w:rsid w:val="B7FE31A6"/>
    <w:rsid w:val="B96F2B0C"/>
    <w:rsid w:val="BA75882B"/>
    <w:rsid w:val="BAFB5722"/>
    <w:rsid w:val="BB2FA2F6"/>
    <w:rsid w:val="BBED845A"/>
    <w:rsid w:val="BBFFBC33"/>
    <w:rsid w:val="BD9FD809"/>
    <w:rsid w:val="BDFF3160"/>
    <w:rsid w:val="BDFFF417"/>
    <w:rsid w:val="BF3F0060"/>
    <w:rsid w:val="BF997809"/>
    <w:rsid w:val="BFE7836C"/>
    <w:rsid w:val="CABF65B7"/>
    <w:rsid w:val="CFDF5DDC"/>
    <w:rsid w:val="D32FF278"/>
    <w:rsid w:val="D6CE3911"/>
    <w:rsid w:val="D7AF07C4"/>
    <w:rsid w:val="D7F7A296"/>
    <w:rsid w:val="D7FFF12D"/>
    <w:rsid w:val="D9FB0B9B"/>
    <w:rsid w:val="DAEDC780"/>
    <w:rsid w:val="DB7F0EA0"/>
    <w:rsid w:val="DBCF9CE6"/>
    <w:rsid w:val="DC9FFCA8"/>
    <w:rsid w:val="DD77FDCA"/>
    <w:rsid w:val="DDDF7A73"/>
    <w:rsid w:val="DDF65F8D"/>
    <w:rsid w:val="DEE43AF7"/>
    <w:rsid w:val="DEF7F8F4"/>
    <w:rsid w:val="DF6382AF"/>
    <w:rsid w:val="DF7AEF9A"/>
    <w:rsid w:val="DF97FC4D"/>
    <w:rsid w:val="DFB7F391"/>
    <w:rsid w:val="DFBFCBC0"/>
    <w:rsid w:val="DFD9028E"/>
    <w:rsid w:val="E15E7F2A"/>
    <w:rsid w:val="E8F801FB"/>
    <w:rsid w:val="E9763A70"/>
    <w:rsid w:val="EA3F7AB8"/>
    <w:rsid w:val="EAFBDC1B"/>
    <w:rsid w:val="EB66E4A8"/>
    <w:rsid w:val="EEDE877C"/>
    <w:rsid w:val="EFBD3A91"/>
    <w:rsid w:val="EFCFA562"/>
    <w:rsid w:val="EFDBAAAF"/>
    <w:rsid w:val="EFEEDC94"/>
    <w:rsid w:val="F3D3FC60"/>
    <w:rsid w:val="F3DFEB57"/>
    <w:rsid w:val="F3EA5BB5"/>
    <w:rsid w:val="F45F40AA"/>
    <w:rsid w:val="F51BAD20"/>
    <w:rsid w:val="F5AFE4C2"/>
    <w:rsid w:val="F5E15980"/>
    <w:rsid w:val="F5EB4788"/>
    <w:rsid w:val="F6A40E6B"/>
    <w:rsid w:val="F6DFAA2F"/>
    <w:rsid w:val="F77E2D2E"/>
    <w:rsid w:val="F7FB831C"/>
    <w:rsid w:val="F9BF1828"/>
    <w:rsid w:val="FA93114F"/>
    <w:rsid w:val="FAE82B85"/>
    <w:rsid w:val="FAFB3A7F"/>
    <w:rsid w:val="FAFF5A81"/>
    <w:rsid w:val="FB3BF978"/>
    <w:rsid w:val="FB7F09CA"/>
    <w:rsid w:val="FBCFCD38"/>
    <w:rsid w:val="FBDD3815"/>
    <w:rsid w:val="FD8DD379"/>
    <w:rsid w:val="FDBC6FB3"/>
    <w:rsid w:val="FDDF80E5"/>
    <w:rsid w:val="FDFD294D"/>
    <w:rsid w:val="FDFFD63A"/>
    <w:rsid w:val="FE79A76E"/>
    <w:rsid w:val="FEEFF9FF"/>
    <w:rsid w:val="FEFCC4E2"/>
    <w:rsid w:val="FEFDDF6D"/>
    <w:rsid w:val="FEFE1C9B"/>
    <w:rsid w:val="FEFF3158"/>
    <w:rsid w:val="FEFF4740"/>
    <w:rsid w:val="FF3F4E9A"/>
    <w:rsid w:val="FF8FD1E3"/>
    <w:rsid w:val="FFB70B3A"/>
    <w:rsid w:val="FFBB5CB0"/>
    <w:rsid w:val="FFBFBE90"/>
    <w:rsid w:val="FFD7CF27"/>
    <w:rsid w:val="FFF3D3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Calibri" w:hAnsi="Calibri"/>
      <w:kern w:val="2"/>
      <w:sz w:val="21"/>
      <w:szCs w:val="2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spacing w:before="100" w:beforeAutospacing="1" w:after="100" w:afterAutospacing="1"/>
      <w:jc w:val="left"/>
      <w:outlineLvl w:val="4"/>
    </w:pPr>
    <w:rPr>
      <w:rFonts w:ascii="宋体" w:hAnsi="宋体" w:hint="eastAsia"/>
      <w:b/>
      <w:kern w:val="0"/>
      <w:sz w:val="20"/>
      <w:szCs w:val="20"/>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440" w:lineRule="exact"/>
      <w:ind w:firstLineChars="200" w:firstLine="480"/>
    </w:pPr>
    <w:rPr>
      <w:szCs w:val="24"/>
    </w:rPr>
  </w:style>
  <w:style w:type="paragraph" w:styleId="a4">
    <w:name w:val="annotation text"/>
    <w:basedOn w:val="a"/>
    <w:link w:val="Char"/>
    <w:qFormat/>
    <w:pPr>
      <w:jc w:val="left"/>
    </w:pPr>
    <w:rPr>
      <w:lang/>
    </w:rPr>
  </w:style>
  <w:style w:type="character" w:customStyle="1" w:styleId="Char">
    <w:name w:val="批注文字 Char"/>
    <w:link w:val="a4"/>
    <w:qFormat/>
    <w:rPr>
      <w:rFonts w:ascii="Calibri" w:hAnsi="Calibri"/>
      <w:kern w:val="2"/>
      <w:sz w:val="21"/>
      <w:szCs w:val="22"/>
    </w:rPr>
  </w:style>
  <w:style w:type="paragraph" w:styleId="a5">
    <w:name w:val="Body Text"/>
    <w:basedOn w:val="a"/>
    <w:qFormat/>
    <w:pPr>
      <w:spacing w:after="120"/>
    </w:p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paragraph" w:styleId="a9">
    <w:name w:val="annotation subject"/>
    <w:basedOn w:val="a4"/>
    <w:next w:val="a4"/>
    <w:link w:val="Char1"/>
    <w:qFormat/>
    <w:rPr>
      <w:b/>
      <w:bCs/>
    </w:rPr>
  </w:style>
  <w:style w:type="character" w:customStyle="1" w:styleId="Char1">
    <w:name w:val="批注主题 Char"/>
    <w:link w:val="a9"/>
    <w:qFormat/>
    <w:rPr>
      <w:rFonts w:ascii="Calibri" w:hAnsi="Calibri"/>
      <w:b/>
      <w:bCs/>
      <w:kern w:val="2"/>
      <w:sz w:val="21"/>
      <w:szCs w:val="22"/>
    </w:rPr>
  </w:style>
  <w:style w:type="character" w:styleId="aa">
    <w:name w:val="Strong"/>
    <w:qFormat/>
    <w:rPr>
      <w:b/>
    </w:rPr>
  </w:style>
  <w:style w:type="character" w:styleId="ab">
    <w:name w:val="Emphasis"/>
    <w:qFormat/>
    <w:rPr>
      <w:i/>
    </w:rPr>
  </w:style>
  <w:style w:type="character" w:styleId="ac">
    <w:name w:val="annotation reference"/>
    <w:qFormat/>
    <w:rPr>
      <w:sz w:val="21"/>
      <w:szCs w:val="21"/>
    </w:rPr>
  </w:style>
  <w:style w:type="paragraph" w:customStyle="1" w:styleId="Revision">
    <w:name w:val="Revision"/>
    <w:uiPriority w:val="99"/>
    <w:semiHidden/>
    <w:qFormat/>
    <w:rPr>
      <w:rFonts w:ascii="Calibri" w:hAnsi="Calibri"/>
      <w:kern w:val="2"/>
      <w:sz w:val="21"/>
      <w:szCs w:val="22"/>
    </w:rPr>
  </w:style>
  <w:style w:type="character" w:customStyle="1" w:styleId="Char0">
    <w:name w:val="页脚 Char"/>
    <w:basedOn w:val="a0"/>
    <w:link w:val="a6"/>
    <w:uiPriority w:val="99"/>
    <w:rsid w:val="004E11B8"/>
    <w:rPr>
      <w:rFonts w:ascii="Calibri" w:hAnsi="Calibri"/>
      <w:kern w:val="2"/>
      <w:sz w:val="18"/>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戚波</dc:creator>
  <cp:keywords/>
  <dc:description/>
  <cp:lastModifiedBy>俞榕森</cp:lastModifiedBy>
  <cp:revision>1</cp:revision>
  <cp:lastPrinted>2023-06-06T23:20:00Z</cp:lastPrinted>
  <dcterms:created xsi:type="dcterms:W3CDTF">2023-06-25T15:19:00Z</dcterms:created>
  <dcterms:modified xsi:type="dcterms:W3CDTF">2023-07-17T01:31:00Z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0A39F455EFBE4713BA4270C65EF8B242</vt:lpwstr>
  </property>
</Properties>
</file>