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sz w:val="44"/>
          <w:szCs w:val="44"/>
          <w:lang w:val="en-US" w:eastAsia="zh-CN"/>
        </w:rPr>
      </w:pPr>
      <w:bookmarkStart w:id="0" w:name="_Toc196072306"/>
      <w:bookmarkStart w:id="12" w:name="_GoBack"/>
      <w:bookmarkEnd w:id="12"/>
    </w:p>
    <w:p>
      <w:pPr>
        <w:jc w:val="center"/>
        <w:rPr>
          <w:rFonts w:hint="eastAsia" w:ascii="方正小标宋简体" w:hAnsi="方正小标宋简体" w:eastAsia="方正小标宋简体" w:cs="方正小标宋简体"/>
          <w:b w:val="0"/>
          <w:bCs/>
          <w:sz w:val="44"/>
          <w:szCs w:val="44"/>
          <w:lang w:val="en-US" w:eastAsia="zh-CN"/>
        </w:rPr>
      </w:pPr>
    </w:p>
    <w:p>
      <w:pPr>
        <w:jc w:val="center"/>
        <w:rPr>
          <w:rFonts w:hint="eastAsia" w:ascii="方正小标宋简体" w:hAnsi="方正小标宋简体" w:eastAsia="方正小标宋简体" w:cs="方正小标宋简体"/>
          <w:b w:val="0"/>
          <w:bCs/>
          <w:sz w:val="44"/>
          <w:szCs w:val="44"/>
          <w:lang w:val="en-US" w:eastAsia="zh-CN"/>
        </w:rPr>
      </w:pPr>
    </w:p>
    <w:p>
      <w:pPr>
        <w:jc w:val="center"/>
        <w:rPr>
          <w:rFonts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上海市节约用水</w:t>
      </w:r>
      <w:r>
        <w:rPr>
          <w:rFonts w:ascii="方正小标宋简体" w:hAnsi="方正小标宋简体" w:eastAsia="方正小标宋简体" w:cs="方正小标宋简体"/>
          <w:b w:val="0"/>
          <w:bCs/>
          <w:sz w:val="44"/>
          <w:szCs w:val="44"/>
        </w:rPr>
        <w:t>实施方案</w:t>
      </w:r>
    </w:p>
    <w:p>
      <w:pPr>
        <w:jc w:val="center"/>
        <w:rPr>
          <w:rFonts w:hint="default" w:eastAsia="方正小标宋简体"/>
          <w:bCs/>
          <w:lang w:val="en-US" w:eastAsia="zh-CN"/>
        </w:rPr>
      </w:pP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lang w:val="en-US" w:eastAsia="zh-CN"/>
        </w:rPr>
        <w:t>2026-2030年</w:t>
      </w:r>
      <w:r>
        <w:rPr>
          <w:rFonts w:hint="eastAsia" w:ascii="方正小标宋简体" w:hAnsi="方正小标宋简体" w:eastAsia="方正小标宋简体" w:cs="方正小标宋简体"/>
          <w:b w:val="0"/>
          <w:bCs/>
          <w:sz w:val="44"/>
          <w:szCs w:val="44"/>
          <w:lang w:eastAsia="zh-CN"/>
        </w:rPr>
        <w:t>）</w:t>
      </w:r>
    </w:p>
    <w:p>
      <w:pPr>
        <w:pStyle w:val="15"/>
        <w:spacing w:line="360" w:lineRule="auto"/>
        <w:rPr>
          <w:rFonts w:hint="eastAsia"/>
          <w:b w:val="0"/>
          <w:sz w:val="32"/>
          <w:szCs w:val="44"/>
        </w:rPr>
      </w:pPr>
    </w:p>
    <w:p>
      <w:pPr>
        <w:pStyle w:val="15"/>
        <w:ind w:firstLine="883"/>
        <w:rPr>
          <w:rFonts w:hint="eastAsia"/>
          <w:sz w:val="44"/>
          <w:szCs w:val="44"/>
        </w:rPr>
      </w:pPr>
    </w:p>
    <w:p>
      <w:pPr>
        <w:pStyle w:val="15"/>
        <w:ind w:firstLine="883"/>
        <w:rPr>
          <w:rFonts w:hint="eastAsia"/>
          <w:sz w:val="44"/>
          <w:szCs w:val="44"/>
        </w:rPr>
      </w:pPr>
    </w:p>
    <w:p>
      <w:pPr>
        <w:pStyle w:val="15"/>
        <w:ind w:firstLine="883"/>
        <w:rPr>
          <w:rFonts w:hint="eastAsia"/>
          <w:sz w:val="44"/>
          <w:szCs w:val="44"/>
        </w:rPr>
      </w:pPr>
    </w:p>
    <w:p>
      <w:pPr>
        <w:pStyle w:val="15"/>
        <w:ind w:firstLine="883"/>
        <w:rPr>
          <w:rFonts w:hint="eastAsia"/>
          <w:sz w:val="44"/>
          <w:szCs w:val="44"/>
        </w:rPr>
      </w:pPr>
    </w:p>
    <w:p>
      <w:pPr>
        <w:pStyle w:val="15"/>
        <w:ind w:firstLine="883"/>
        <w:rPr>
          <w:rFonts w:hint="eastAsia"/>
          <w:sz w:val="44"/>
          <w:szCs w:val="44"/>
        </w:rPr>
      </w:pPr>
    </w:p>
    <w:p>
      <w:pPr>
        <w:pStyle w:val="15"/>
        <w:jc w:val="both"/>
        <w:rPr>
          <w:rFonts w:hint="eastAsia"/>
          <w:sz w:val="44"/>
          <w:szCs w:val="44"/>
        </w:rPr>
      </w:pPr>
    </w:p>
    <w:p>
      <w:pPr>
        <w:pStyle w:val="15"/>
        <w:ind w:firstLine="883"/>
        <w:rPr>
          <w:rFonts w:hint="eastAsia"/>
          <w:sz w:val="44"/>
          <w:szCs w:val="44"/>
        </w:rPr>
      </w:pPr>
    </w:p>
    <w:p>
      <w:pPr>
        <w:pStyle w:val="15"/>
        <w:spacing w:line="360" w:lineRule="auto"/>
        <w:rPr>
          <w:rFonts w:hint="eastAsia" w:ascii="楷体_GB2312" w:eastAsia="楷体_GB2312"/>
          <w:sz w:val="32"/>
          <w:szCs w:val="30"/>
          <w:lang w:eastAsia="zh-CN"/>
        </w:rPr>
      </w:pPr>
      <w:r>
        <w:rPr>
          <w:rFonts w:hint="eastAsia" w:ascii="楷体_GB2312" w:eastAsia="楷体_GB2312"/>
          <w:sz w:val="32"/>
          <w:szCs w:val="30"/>
        </w:rPr>
        <w:t>上海市</w:t>
      </w:r>
      <w:r>
        <w:rPr>
          <w:rFonts w:hint="eastAsia" w:ascii="楷体_GB2312" w:eastAsia="楷体_GB2312"/>
          <w:sz w:val="32"/>
          <w:szCs w:val="30"/>
          <w:lang w:eastAsia="zh-CN"/>
        </w:rPr>
        <w:t>水务局</w:t>
      </w:r>
    </w:p>
    <w:p>
      <w:pPr>
        <w:pStyle w:val="15"/>
        <w:spacing w:line="360" w:lineRule="auto"/>
        <w:rPr>
          <w:rFonts w:hint="eastAsia" w:ascii="楷体_GB2312" w:eastAsia="楷体_GB2312"/>
          <w:sz w:val="32"/>
          <w:szCs w:val="30"/>
        </w:rPr>
      </w:pPr>
      <w:r>
        <w:rPr>
          <w:rFonts w:hint="eastAsia" w:ascii="楷体_GB2312" w:eastAsia="楷体_GB2312"/>
          <w:sz w:val="32"/>
          <w:szCs w:val="30"/>
        </w:rPr>
        <w:t>202</w:t>
      </w:r>
      <w:r>
        <w:rPr>
          <w:rFonts w:ascii="楷体_GB2312" w:eastAsia="楷体_GB2312"/>
          <w:sz w:val="32"/>
          <w:szCs w:val="30"/>
        </w:rPr>
        <w:t>6</w:t>
      </w:r>
      <w:r>
        <w:rPr>
          <w:rFonts w:hint="eastAsia" w:ascii="楷体_GB2312" w:eastAsia="楷体_GB2312"/>
          <w:sz w:val="32"/>
          <w:szCs w:val="30"/>
        </w:rPr>
        <w:t>年</w:t>
      </w:r>
      <w:r>
        <w:rPr>
          <w:rFonts w:hint="eastAsia" w:ascii="楷体_GB2312" w:eastAsia="楷体_GB2312"/>
          <w:sz w:val="32"/>
          <w:szCs w:val="30"/>
          <w:lang w:eastAsia="zh"/>
        </w:rPr>
        <w:t>9</w:t>
      </w:r>
      <w:r>
        <w:rPr>
          <w:rFonts w:hint="eastAsia" w:ascii="楷体_GB2312" w:eastAsia="楷体_GB2312"/>
          <w:sz w:val="32"/>
          <w:szCs w:val="30"/>
        </w:rPr>
        <w:t>月</w:t>
      </w:r>
    </w:p>
    <w:p>
      <w:pPr>
        <w:pStyle w:val="15"/>
        <w:ind w:firstLine="643"/>
        <w:jc w:val="both"/>
        <w:rPr>
          <w:rFonts w:hint="eastAsia"/>
          <w:sz w:val="32"/>
          <w:szCs w:val="30"/>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lang w:eastAsia="zh-CN"/>
        </w:rPr>
        <w:sectPr>
          <w:footerReference r:id="rId3" w:type="default"/>
          <w:pgSz w:w="11906" w:h="16838"/>
          <w:pgMar w:top="1440" w:right="1800" w:bottom="1440" w:left="1800" w:header="851" w:footer="992" w:gutter="0"/>
          <w:cols w:space="720" w:num="1"/>
          <w:docGrid w:type="lines" w:linePitch="312" w:charSpace="0"/>
        </w:sectPr>
      </w:pPr>
    </w:p>
    <w:p>
      <w:pPr>
        <w:pStyle w:val="15"/>
        <w:spacing w:beforeLines="0" w:afterLines="0" w:line="600" w:lineRule="exact"/>
        <w:ind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为推进“十五五”时期节水事业高质量发展，根据《上海市水系统治理“十五五”规划》，制定本方案。</w:t>
      </w:r>
    </w:p>
    <w:p>
      <w:pPr>
        <w:pStyle w:val="2"/>
        <w:pageBreakBefore w:val="0"/>
        <w:widowControl w:val="0"/>
        <w:numPr>
          <w:ilvl w:val="0"/>
          <w:numId w:val="0"/>
        </w:numPr>
        <w:kinsoku/>
        <w:wordWrap/>
        <w:overflowPunct/>
        <w:topLinePunct w:val="0"/>
        <w:autoSpaceDE/>
        <w:autoSpaceDN/>
        <w:bidi w:val="0"/>
        <w:adjustRightInd/>
        <w:snapToGrid/>
        <w:spacing w:beforeLines="0" w:afterLines="0" w:line="600" w:lineRule="exact"/>
        <w:ind w:firstLine="640" w:firstLineChars="200"/>
        <w:textAlignment w:val="auto"/>
        <w:rPr>
          <w:rFonts w:hint="eastAsia" w:ascii="黑体" w:hAnsi="黑体" w:eastAsia="黑体" w:cs="黑体"/>
          <w:sz w:val="32"/>
          <w:lang w:eastAsia="zh-CN"/>
        </w:rPr>
      </w:pPr>
      <w:r>
        <w:rPr>
          <w:rFonts w:hint="eastAsia" w:ascii="黑体" w:hAnsi="黑体" w:eastAsia="黑体" w:cs="黑体"/>
          <w:sz w:val="32"/>
          <w:lang w:eastAsia="zh-CN"/>
        </w:rPr>
        <w:t>一、</w:t>
      </w:r>
      <w:bookmarkEnd w:id="0"/>
      <w:r>
        <w:rPr>
          <w:rFonts w:hint="eastAsia" w:ascii="黑体" w:hAnsi="黑体" w:eastAsia="黑体" w:cs="黑体"/>
          <w:sz w:val="32"/>
          <w:lang w:eastAsia="zh-CN"/>
        </w:rPr>
        <w:t>总体思路</w:t>
      </w:r>
    </w:p>
    <w:p>
      <w:pPr>
        <w:pStyle w:val="3"/>
        <w:keepNext/>
        <w:keepLines/>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以习近平新时代中国特色社会主义思想为指导，贯彻落实“节水优先、空间均衡、系统治理、两手发力”的新时期治水思路，按照“以水定城、以水定地、以水定人、以水定产”的要求，</w:t>
      </w:r>
      <w:r>
        <w:rPr>
          <w:rFonts w:hint="eastAsia" w:ascii="仿宋_GB2312" w:hAnsi="仿宋_GB2312" w:eastAsia="仿宋_GB2312" w:cs="仿宋_GB2312"/>
          <w:b w:val="0"/>
          <w:bCs w:val="0"/>
          <w:sz w:val="32"/>
          <w:szCs w:val="32"/>
          <w:lang w:eastAsia="zh-CN"/>
        </w:rPr>
        <w:t>坚持</w:t>
      </w:r>
      <w:r>
        <w:rPr>
          <w:rFonts w:hint="eastAsia" w:ascii="仿宋_GB2312" w:hAnsi="仿宋_GB2312" w:eastAsia="仿宋_GB2312" w:cs="仿宋_GB2312"/>
          <w:b w:val="0"/>
          <w:bCs w:val="0"/>
          <w:sz w:val="32"/>
          <w:szCs w:val="32"/>
        </w:rPr>
        <w:t>节水优先、刚性约束</w:t>
      </w:r>
      <w:r>
        <w:rPr>
          <w:rFonts w:hint="eastAsia" w:ascii="仿宋_GB2312" w:hAnsi="仿宋_GB2312" w:eastAsia="仿宋_GB2312" w:cs="仿宋_GB2312"/>
          <w:b w:val="0"/>
          <w:bCs w:val="0"/>
          <w:sz w:val="32"/>
          <w:szCs w:val="32"/>
          <w:lang w:eastAsia="zh"/>
        </w:rPr>
        <w:t>，</w:t>
      </w:r>
      <w:r>
        <w:rPr>
          <w:rFonts w:hint="eastAsia" w:ascii="仿宋_GB2312" w:hAnsi="仿宋_GB2312" w:eastAsia="仿宋_GB2312" w:cs="仿宋_GB2312"/>
          <w:b w:val="0"/>
          <w:bCs w:val="0"/>
          <w:sz w:val="32"/>
          <w:szCs w:val="32"/>
        </w:rPr>
        <w:t>市场主导、两手发力</w:t>
      </w:r>
      <w:r>
        <w:rPr>
          <w:rFonts w:hint="eastAsia" w:ascii="仿宋_GB2312" w:hAnsi="仿宋_GB2312" w:eastAsia="仿宋_GB2312" w:cs="仿宋_GB2312"/>
          <w:b w:val="0"/>
          <w:bCs w:val="0"/>
          <w:sz w:val="32"/>
          <w:szCs w:val="32"/>
          <w:lang w:eastAsia="zh"/>
        </w:rPr>
        <w:t>，</w:t>
      </w:r>
      <w:r>
        <w:rPr>
          <w:rFonts w:hint="eastAsia" w:ascii="仿宋_GB2312" w:hAnsi="仿宋_GB2312" w:eastAsia="仿宋_GB2312" w:cs="仿宋_GB2312"/>
          <w:b w:val="0"/>
          <w:bCs w:val="0"/>
          <w:sz w:val="32"/>
          <w:szCs w:val="32"/>
        </w:rPr>
        <w:t>统筹协调、分类施策</w:t>
      </w:r>
      <w:r>
        <w:rPr>
          <w:rFonts w:hint="eastAsia" w:ascii="仿宋_GB2312" w:hAnsi="仿宋_GB2312" w:eastAsia="仿宋_GB2312" w:cs="仿宋_GB2312"/>
          <w:b w:val="0"/>
          <w:bCs w:val="0"/>
          <w:sz w:val="32"/>
          <w:szCs w:val="32"/>
          <w:lang w:eastAsia="zh"/>
        </w:rPr>
        <w:t>，</w:t>
      </w:r>
      <w:r>
        <w:rPr>
          <w:rFonts w:hint="eastAsia" w:ascii="仿宋_GB2312" w:hAnsi="仿宋_GB2312" w:eastAsia="仿宋_GB2312" w:cs="仿宋_GB2312"/>
          <w:b w:val="0"/>
          <w:bCs w:val="0"/>
          <w:sz w:val="32"/>
          <w:szCs w:val="32"/>
        </w:rPr>
        <w:t>创新引领、智慧发展</w:t>
      </w:r>
      <w:r>
        <w:rPr>
          <w:rFonts w:hint="eastAsia" w:ascii="仿宋_GB2312" w:hAnsi="仿宋_GB2312" w:eastAsia="仿宋_GB2312" w:cs="仿宋_GB2312"/>
          <w:b w:val="0"/>
          <w:bCs w:val="0"/>
          <w:sz w:val="32"/>
          <w:szCs w:val="32"/>
          <w:lang w:eastAsia="zh-CN"/>
        </w:rPr>
        <w:t>的基本原则，</w:t>
      </w:r>
      <w:r>
        <w:rPr>
          <w:rFonts w:hint="eastAsia" w:ascii="仿宋_GB2312" w:hAnsi="仿宋_GB2312" w:eastAsia="仿宋_GB2312" w:cs="仿宋_GB2312"/>
          <w:b w:val="0"/>
          <w:bCs w:val="0"/>
          <w:sz w:val="32"/>
          <w:szCs w:val="32"/>
        </w:rPr>
        <w:t>进一步强化水资源刚性约束作用，提高水资源利用效率，以新质生产力和</w:t>
      </w:r>
      <w:r>
        <w:rPr>
          <w:rFonts w:hint="eastAsia" w:ascii="仿宋_GB2312" w:hAnsi="仿宋_GB2312" w:eastAsia="仿宋_GB2312" w:cs="仿宋_GB2312"/>
          <w:b w:val="0"/>
          <w:bCs w:val="0"/>
          <w:sz w:val="32"/>
          <w:szCs w:val="32"/>
          <w:lang w:eastAsia="zh"/>
        </w:rPr>
        <w:t>碳达峰碳中和</w:t>
      </w:r>
      <w:r>
        <w:rPr>
          <w:rFonts w:hint="eastAsia" w:ascii="仿宋_GB2312" w:hAnsi="仿宋_GB2312" w:eastAsia="仿宋_GB2312" w:cs="仿宋_GB2312"/>
          <w:b w:val="0"/>
          <w:bCs w:val="0"/>
          <w:sz w:val="32"/>
          <w:szCs w:val="32"/>
        </w:rPr>
        <w:t>战略为动力，以提升节水社会化、法治化、专业化、智能化水平为路径，推动节水产业发展，高标准建设节水型社会（城市），构建共建共治共享的节水治理新格局，有力支撑经济社会健康绿色发展。</w:t>
      </w:r>
    </w:p>
    <w:p>
      <w:pPr>
        <w:pStyle w:val="3"/>
        <w:keepNext/>
        <w:keepLines/>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至2030年，进一步完善市场经济激励机制</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持续开展节水型社会（城市）建设</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推广合同节水</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发展节水产业，提升智慧节水管理水平，打造节水数智引领城市。</w:t>
      </w:r>
    </w:p>
    <w:p>
      <w:pPr>
        <w:spacing w:line="360" w:lineRule="auto"/>
        <w:ind w:firstLine="482"/>
        <w:jc w:val="center"/>
        <w:rPr>
          <w:rFonts w:hint="eastAsia" w:ascii="宋体" w:hAnsi="宋体" w:eastAsia="宋体" w:cs="Times New Roman"/>
          <w:b/>
          <w:sz w:val="28"/>
          <w:szCs w:val="28"/>
          <w:highlight w:val="none"/>
        </w:rPr>
      </w:pPr>
      <w:r>
        <w:rPr>
          <w:rFonts w:hint="eastAsia" w:ascii="宋体" w:hAnsi="宋体" w:eastAsia="宋体" w:cs="Times New Roman"/>
          <w:b/>
          <w:sz w:val="28"/>
          <w:szCs w:val="28"/>
        </w:rPr>
        <w:t>表</w:t>
      </w:r>
      <w:r>
        <w:rPr>
          <w:rFonts w:hint="eastAsia" w:ascii="宋体" w:hAnsi="宋体" w:cs="Times New Roman"/>
          <w:b/>
          <w:sz w:val="28"/>
          <w:szCs w:val="28"/>
          <w:lang w:val="en-US" w:eastAsia="zh-CN"/>
        </w:rPr>
        <w:t>1</w:t>
      </w:r>
      <w:r>
        <w:rPr>
          <w:rFonts w:ascii="宋体" w:hAnsi="宋体" w:eastAsia="宋体" w:cs="Times New Roman"/>
          <w:b/>
          <w:sz w:val="28"/>
          <w:szCs w:val="28"/>
        </w:rPr>
        <w:t xml:space="preserve">-1 </w:t>
      </w:r>
      <w:r>
        <w:rPr>
          <w:rFonts w:ascii="宋体" w:hAnsi="宋体" w:eastAsia="宋体" w:cs="Times New Roman"/>
          <w:b/>
          <w:sz w:val="28"/>
          <w:szCs w:val="28"/>
          <w:highlight w:val="none"/>
        </w:rPr>
        <w:t xml:space="preserve"> </w:t>
      </w:r>
      <w:r>
        <w:rPr>
          <w:rFonts w:hint="eastAsia" w:ascii="宋体" w:hAnsi="宋体" w:eastAsia="宋体" w:cs="Times New Roman"/>
          <w:b/>
          <w:sz w:val="28"/>
          <w:szCs w:val="28"/>
          <w:highlight w:val="none"/>
        </w:rPr>
        <w:t>上海市节约用水“十五五”</w:t>
      </w:r>
      <w:r>
        <w:rPr>
          <w:rFonts w:hint="eastAsia" w:ascii="宋体" w:hAnsi="宋体" w:eastAsia="宋体" w:cs="Times New Roman"/>
          <w:b/>
          <w:sz w:val="28"/>
          <w:szCs w:val="28"/>
          <w:highlight w:val="none"/>
          <w:lang w:eastAsia="zh-CN"/>
        </w:rPr>
        <w:t>实施方案</w:t>
      </w:r>
      <w:r>
        <w:rPr>
          <w:rFonts w:hint="eastAsia" w:ascii="宋体" w:hAnsi="宋体" w:eastAsia="宋体" w:cs="Times New Roman"/>
          <w:b/>
          <w:sz w:val="28"/>
          <w:szCs w:val="28"/>
          <w:highlight w:val="none"/>
        </w:rPr>
        <w:t>主要指标</w:t>
      </w:r>
    </w:p>
    <w:tbl>
      <w:tblPr>
        <w:tblStyle w:val="11"/>
        <w:tblW w:w="5176"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118"/>
        <w:gridCol w:w="1347"/>
        <w:gridCol w:w="2085"/>
        <w:gridCol w:w="217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3" w:hRule="atLeast"/>
          <w:tblHeader/>
          <w:jc w:val="center"/>
        </w:trPr>
        <w:tc>
          <w:tcPr>
            <w:tcW w:w="1787" w:type="pct"/>
            <w:tcBorders>
              <w:top w:val="single" w:color="auto" w:sz="4" w:space="0"/>
            </w:tcBorders>
            <w:noWrap w:val="0"/>
            <w:tcMar>
              <w:left w:w="11" w:type="dxa"/>
              <w:right w:w="11" w:type="dxa"/>
            </w:tcMar>
            <w:vAlign w:val="center"/>
          </w:tcPr>
          <w:p>
            <w:pPr>
              <w:snapToGrid w:val="0"/>
              <w:jc w:val="center"/>
              <w:rPr>
                <w:rFonts w:hint="eastAsia" w:ascii="宋体" w:hAnsi="宋体" w:eastAsia="宋体" w:cs="Times New Roman"/>
                <w:b/>
                <w:bCs w:val="0"/>
                <w:kern w:val="0"/>
                <w:sz w:val="24"/>
                <w:szCs w:val="24"/>
              </w:rPr>
            </w:pPr>
            <w:r>
              <w:rPr>
                <w:rFonts w:hint="eastAsia" w:ascii="宋体" w:hAnsi="宋体" w:eastAsia="宋体" w:cs="Times New Roman"/>
                <w:b/>
                <w:bCs w:val="0"/>
                <w:kern w:val="0"/>
                <w:sz w:val="24"/>
                <w:szCs w:val="24"/>
              </w:rPr>
              <w:t>指标</w:t>
            </w:r>
          </w:p>
        </w:tc>
        <w:tc>
          <w:tcPr>
            <w:tcW w:w="772" w:type="pct"/>
            <w:tcBorders>
              <w:top w:val="single" w:color="auto" w:sz="4" w:space="0"/>
            </w:tcBorders>
            <w:noWrap w:val="0"/>
            <w:vAlign w:val="center"/>
          </w:tcPr>
          <w:p>
            <w:pPr>
              <w:snapToGrid w:val="0"/>
              <w:jc w:val="center"/>
              <w:rPr>
                <w:rFonts w:hint="eastAsia" w:ascii="宋体" w:hAnsi="宋体" w:eastAsia="宋体" w:cs="Times New Roman"/>
                <w:b/>
                <w:bCs w:val="0"/>
                <w:kern w:val="0"/>
                <w:sz w:val="24"/>
                <w:szCs w:val="24"/>
                <w:lang w:eastAsia="zh-CN"/>
              </w:rPr>
            </w:pPr>
            <w:r>
              <w:rPr>
                <w:rFonts w:hint="eastAsia" w:ascii="宋体" w:hAnsi="宋体" w:eastAsia="宋体" w:cs="Times New Roman"/>
                <w:b/>
                <w:bCs w:val="0"/>
                <w:kern w:val="0"/>
                <w:sz w:val="24"/>
                <w:szCs w:val="24"/>
                <w:lang w:eastAsia="zh-CN"/>
              </w:rPr>
              <w:t>指标属性</w:t>
            </w:r>
          </w:p>
        </w:tc>
        <w:tc>
          <w:tcPr>
            <w:tcW w:w="1195" w:type="pct"/>
            <w:tcBorders>
              <w:top w:val="single" w:color="auto" w:sz="4" w:space="0"/>
            </w:tcBorders>
            <w:noWrap w:val="0"/>
            <w:vAlign w:val="center"/>
          </w:tcPr>
          <w:p>
            <w:pPr>
              <w:snapToGrid w:val="0"/>
              <w:jc w:val="center"/>
              <w:rPr>
                <w:rFonts w:hint="eastAsia" w:ascii="宋体" w:hAnsi="宋体" w:eastAsia="宋体" w:cs="Times New Roman"/>
                <w:b/>
                <w:bCs w:val="0"/>
                <w:kern w:val="0"/>
                <w:sz w:val="24"/>
                <w:szCs w:val="24"/>
              </w:rPr>
            </w:pPr>
            <w:r>
              <w:rPr>
                <w:rFonts w:ascii="宋体" w:hAnsi="宋体" w:eastAsia="宋体" w:cs="Times New Roman"/>
                <w:b/>
                <w:bCs w:val="0"/>
                <w:kern w:val="0"/>
                <w:sz w:val="24"/>
                <w:szCs w:val="24"/>
              </w:rPr>
              <w:t>202</w:t>
            </w:r>
            <w:r>
              <w:rPr>
                <w:rFonts w:hint="eastAsia" w:ascii="宋体" w:hAnsi="宋体" w:eastAsia="宋体" w:cs="Times New Roman"/>
                <w:b/>
                <w:bCs w:val="0"/>
                <w:kern w:val="0"/>
                <w:sz w:val="24"/>
                <w:szCs w:val="24"/>
              </w:rPr>
              <w:t>5年现状值</w:t>
            </w:r>
          </w:p>
        </w:tc>
        <w:tc>
          <w:tcPr>
            <w:tcW w:w="1245" w:type="pct"/>
            <w:tcBorders>
              <w:top w:val="single" w:color="auto" w:sz="4" w:space="0"/>
            </w:tcBorders>
            <w:noWrap w:val="0"/>
            <w:vAlign w:val="center"/>
          </w:tcPr>
          <w:p>
            <w:pPr>
              <w:snapToGrid w:val="0"/>
              <w:jc w:val="center"/>
              <w:rPr>
                <w:rFonts w:hint="eastAsia" w:ascii="宋体" w:hAnsi="宋体" w:eastAsia="宋体" w:cs="Times New Roman"/>
                <w:b/>
                <w:bCs w:val="0"/>
                <w:kern w:val="0"/>
                <w:sz w:val="24"/>
                <w:szCs w:val="24"/>
              </w:rPr>
            </w:pPr>
            <w:r>
              <w:rPr>
                <w:rFonts w:ascii="宋体" w:hAnsi="宋体" w:eastAsia="宋体" w:cs="Times New Roman"/>
                <w:b/>
                <w:bCs w:val="0"/>
                <w:kern w:val="0"/>
                <w:sz w:val="24"/>
                <w:szCs w:val="24"/>
              </w:rPr>
              <w:t>20</w:t>
            </w:r>
            <w:r>
              <w:rPr>
                <w:rFonts w:hint="eastAsia" w:ascii="宋体" w:hAnsi="宋体" w:eastAsia="宋体" w:cs="Times New Roman"/>
                <w:b/>
                <w:bCs w:val="0"/>
                <w:kern w:val="0"/>
                <w:sz w:val="24"/>
                <w:szCs w:val="24"/>
              </w:rPr>
              <w:t>30年目标值</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3" w:hRule="atLeast"/>
          <w:jc w:val="center"/>
        </w:trPr>
        <w:tc>
          <w:tcPr>
            <w:tcW w:w="1787" w:type="pct"/>
            <w:noWrap w:val="0"/>
            <w:tcMar>
              <w:left w:w="11" w:type="dxa"/>
              <w:right w:w="11" w:type="dxa"/>
            </w:tcMar>
            <w:vAlign w:val="center"/>
          </w:tcPr>
          <w:p>
            <w:pPr>
              <w:snapToGrid w:val="0"/>
              <w:jc w:val="center"/>
              <w:rPr>
                <w:rFonts w:hint="eastAsia" w:ascii="仿宋_GB2312" w:hAnsi="仿宋_GB2312" w:eastAsia="仿宋_GB2312" w:cs="仿宋_GB2312"/>
                <w:bCs/>
                <w:kern w:val="0"/>
                <w:sz w:val="21"/>
                <w:szCs w:val="21"/>
              </w:rPr>
            </w:pPr>
            <w:r>
              <w:rPr>
                <w:rFonts w:hint="eastAsia" w:ascii="仿宋_GB2312" w:hAnsi="仿宋_GB2312" w:eastAsia="仿宋_GB2312" w:cs="仿宋_GB2312"/>
                <w:bCs/>
                <w:kern w:val="0"/>
                <w:sz w:val="21"/>
                <w:szCs w:val="21"/>
              </w:rPr>
              <w:t>用水总量</w:t>
            </w:r>
            <w:r>
              <w:rPr>
                <w:rFonts w:hint="eastAsia" w:ascii="仿宋_GB2312" w:hAnsi="仿宋_GB2312" w:eastAsia="仿宋_GB2312" w:cs="仿宋_GB2312"/>
                <w:bCs/>
                <w:kern w:val="0"/>
                <w:sz w:val="21"/>
                <w:szCs w:val="21"/>
                <w:lang w:eastAsia="zh-CN"/>
              </w:rPr>
              <w:t>（</w:t>
            </w:r>
            <w:r>
              <w:rPr>
                <w:rFonts w:hint="eastAsia" w:ascii="仿宋_GB2312" w:hAnsi="仿宋_GB2312" w:eastAsia="仿宋_GB2312" w:cs="仿宋_GB2312"/>
                <w:kern w:val="0"/>
                <w:sz w:val="21"/>
                <w:szCs w:val="21"/>
              </w:rPr>
              <w:t>亿立方米</w:t>
            </w:r>
            <w:r>
              <w:rPr>
                <w:rFonts w:hint="eastAsia" w:ascii="仿宋_GB2312" w:hAnsi="仿宋_GB2312" w:eastAsia="仿宋_GB2312" w:cs="仿宋_GB2312"/>
                <w:bCs/>
                <w:kern w:val="0"/>
                <w:sz w:val="21"/>
                <w:szCs w:val="21"/>
                <w:lang w:eastAsia="zh-CN"/>
              </w:rPr>
              <w:t>）</w:t>
            </w:r>
          </w:p>
        </w:tc>
        <w:tc>
          <w:tcPr>
            <w:tcW w:w="772" w:type="pct"/>
            <w:noWrap w:val="0"/>
            <w:vAlign w:val="center"/>
          </w:tcPr>
          <w:p>
            <w:pPr>
              <w:snapToGrid w:val="0"/>
              <w:jc w:val="center"/>
              <w:rPr>
                <w:rFonts w:hint="eastAsia" w:ascii="仿宋_GB2312" w:hAnsi="仿宋_GB2312" w:eastAsia="仿宋_GB2312" w:cs="仿宋_GB2312"/>
                <w:kern w:val="0"/>
                <w:sz w:val="21"/>
                <w:szCs w:val="21"/>
                <w:lang w:eastAsia="zh-CN"/>
              </w:rPr>
            </w:pPr>
            <w:r>
              <w:rPr>
                <w:rFonts w:hint="eastAsia" w:ascii="仿宋_GB2312" w:hAnsi="仿宋_GB2312" w:eastAsia="仿宋_GB2312" w:cs="仿宋_GB2312"/>
                <w:kern w:val="0"/>
                <w:sz w:val="21"/>
                <w:szCs w:val="21"/>
                <w:lang w:eastAsia="zh-CN"/>
              </w:rPr>
              <w:t>约束性</w:t>
            </w:r>
          </w:p>
        </w:tc>
        <w:tc>
          <w:tcPr>
            <w:tcW w:w="1195" w:type="pct"/>
            <w:noWrap w:val="0"/>
            <w:vAlign w:val="center"/>
          </w:tcPr>
          <w:p>
            <w:pPr>
              <w:snapToGrid w:val="0"/>
              <w:jc w:val="center"/>
              <w:rPr>
                <w:rFonts w:hint="eastAsia" w:ascii="仿宋_GB2312" w:hAnsi="仿宋_GB2312" w:eastAsia="仿宋_GB2312" w:cs="仿宋_GB2312"/>
                <w:kern w:val="0"/>
                <w:sz w:val="21"/>
                <w:szCs w:val="21"/>
                <w:vertAlign w:val="superscript"/>
              </w:rPr>
            </w:pPr>
            <w:r>
              <w:rPr>
                <w:rFonts w:hint="eastAsia" w:ascii="仿宋_GB2312" w:hAnsi="仿宋_GB2312" w:eastAsia="仿宋_GB2312" w:cs="仿宋_GB2312"/>
                <w:kern w:val="0"/>
                <w:sz w:val="21"/>
                <w:szCs w:val="21"/>
              </w:rPr>
              <w:t>69.41</w:t>
            </w:r>
          </w:p>
        </w:tc>
        <w:tc>
          <w:tcPr>
            <w:tcW w:w="1245" w:type="pct"/>
            <w:noWrap w:val="0"/>
            <w:vAlign w:val="center"/>
          </w:tcPr>
          <w:p>
            <w:pPr>
              <w:snapToGrid w:val="0"/>
              <w:jc w:val="center"/>
              <w:rPr>
                <w:rFonts w:hint="eastAsia" w:ascii="仿宋_GB2312" w:hAnsi="仿宋_GB2312" w:eastAsia="仿宋_GB2312" w:cs="仿宋_GB2312"/>
                <w:b/>
                <w:bCs/>
                <w:kern w:val="0"/>
                <w:sz w:val="21"/>
                <w:szCs w:val="21"/>
              </w:rPr>
            </w:pPr>
            <w:r>
              <w:rPr>
                <w:rFonts w:hint="eastAsia" w:ascii="仿宋_GB2312" w:hAnsi="仿宋_GB2312" w:eastAsia="仿宋_GB2312" w:cs="仿宋_GB2312"/>
                <w:bCs/>
                <w:kern w:val="0"/>
                <w:sz w:val="21"/>
                <w:szCs w:val="21"/>
                <w:lang w:eastAsia="zh-CN"/>
              </w:rPr>
              <w:t>达到</w:t>
            </w:r>
            <w:r>
              <w:rPr>
                <w:rFonts w:hint="eastAsia" w:ascii="仿宋_GB2312" w:hAnsi="仿宋_GB2312" w:eastAsia="仿宋_GB2312" w:cs="仿宋_GB2312"/>
                <w:bCs/>
                <w:kern w:val="0"/>
                <w:sz w:val="21"/>
                <w:szCs w:val="21"/>
              </w:rPr>
              <w:t>国家要求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3" w:hRule="atLeast"/>
          <w:jc w:val="center"/>
        </w:trPr>
        <w:tc>
          <w:tcPr>
            <w:tcW w:w="1787" w:type="pct"/>
            <w:noWrap w:val="0"/>
            <w:tcMar>
              <w:left w:w="11" w:type="dxa"/>
              <w:right w:w="11" w:type="dxa"/>
            </w:tcMar>
            <w:vAlign w:val="center"/>
          </w:tcPr>
          <w:p>
            <w:pPr>
              <w:snapToGrid w:val="0"/>
              <w:jc w:val="center"/>
              <w:rPr>
                <w:rFonts w:hint="eastAsia" w:ascii="仿宋_GB2312" w:hAnsi="仿宋_GB2312" w:eastAsia="仿宋_GB2312" w:cs="仿宋_GB2312"/>
                <w:bCs/>
                <w:kern w:val="0"/>
                <w:sz w:val="21"/>
                <w:szCs w:val="21"/>
                <w:lang w:val="en-US" w:eastAsia="zh-CN"/>
              </w:rPr>
            </w:pPr>
            <w:r>
              <w:rPr>
                <w:rFonts w:hint="eastAsia" w:ascii="仿宋_GB2312" w:hAnsi="仿宋_GB2312" w:eastAsia="仿宋_GB2312" w:cs="仿宋_GB2312"/>
                <w:bCs/>
                <w:kern w:val="0"/>
                <w:sz w:val="21"/>
                <w:szCs w:val="21"/>
              </w:rPr>
              <w:t>万元</w:t>
            </w:r>
            <w:r>
              <w:rPr>
                <w:rFonts w:hint="eastAsia" w:ascii="仿宋_GB2312" w:hAnsi="仿宋_GB2312" w:eastAsia="仿宋_GB2312" w:cs="仿宋_GB2312"/>
                <w:bCs/>
                <w:kern w:val="0"/>
                <w:sz w:val="21"/>
                <w:szCs w:val="21"/>
                <w:lang w:val="en-US" w:eastAsia="zh-CN"/>
              </w:rPr>
              <w:t>GDP用水量下降（%）</w:t>
            </w:r>
          </w:p>
        </w:tc>
        <w:tc>
          <w:tcPr>
            <w:tcW w:w="772" w:type="pct"/>
            <w:noWrap w:val="0"/>
            <w:vAlign w:val="center"/>
          </w:tcPr>
          <w:p>
            <w:pPr>
              <w:snapToGrid w:val="0"/>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lang w:eastAsia="zh-CN"/>
              </w:rPr>
              <w:t>约束性</w:t>
            </w:r>
          </w:p>
        </w:tc>
        <w:tc>
          <w:tcPr>
            <w:tcW w:w="1195" w:type="pct"/>
            <w:noWrap w:val="0"/>
            <w:vAlign w:val="center"/>
          </w:tcPr>
          <w:p>
            <w:pPr>
              <w:snapToGrid w:val="0"/>
              <w:jc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lang w:val="en-US" w:eastAsia="zh-CN"/>
              </w:rPr>
              <w:t>37</w:t>
            </w:r>
          </w:p>
          <w:p>
            <w:pPr>
              <w:snapToGrid w:val="0"/>
              <w:jc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lang w:val="en-US" w:eastAsia="zh-CN"/>
              </w:rPr>
              <w:t>（较“十三五”末）</w:t>
            </w:r>
          </w:p>
        </w:tc>
        <w:tc>
          <w:tcPr>
            <w:tcW w:w="1245" w:type="pct"/>
            <w:noWrap w:val="0"/>
            <w:vAlign w:val="center"/>
          </w:tcPr>
          <w:p>
            <w:pPr>
              <w:snapToGrid w:val="0"/>
              <w:jc w:val="center"/>
              <w:rPr>
                <w:rFonts w:hint="eastAsia" w:ascii="仿宋_GB2312" w:hAnsi="仿宋_GB2312" w:eastAsia="仿宋_GB2312" w:cs="仿宋_GB2312"/>
                <w:b/>
                <w:bCs/>
                <w:kern w:val="0"/>
                <w:sz w:val="21"/>
                <w:szCs w:val="21"/>
              </w:rPr>
            </w:pPr>
            <w:r>
              <w:rPr>
                <w:rFonts w:hint="eastAsia" w:ascii="仿宋_GB2312" w:hAnsi="仿宋_GB2312" w:eastAsia="仿宋_GB2312" w:cs="仿宋_GB2312"/>
                <w:bCs/>
                <w:kern w:val="0"/>
                <w:sz w:val="21"/>
                <w:szCs w:val="21"/>
                <w:lang w:eastAsia="zh-CN"/>
              </w:rPr>
              <w:t>达到</w:t>
            </w:r>
            <w:r>
              <w:rPr>
                <w:rFonts w:hint="eastAsia" w:ascii="仿宋_GB2312" w:hAnsi="仿宋_GB2312" w:eastAsia="仿宋_GB2312" w:cs="仿宋_GB2312"/>
                <w:bCs/>
                <w:kern w:val="0"/>
                <w:sz w:val="21"/>
                <w:szCs w:val="21"/>
              </w:rPr>
              <w:t>国家要求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3" w:hRule="atLeast"/>
          <w:jc w:val="center"/>
        </w:trPr>
        <w:tc>
          <w:tcPr>
            <w:tcW w:w="1787" w:type="pct"/>
            <w:noWrap w:val="0"/>
            <w:tcMar>
              <w:left w:w="11" w:type="dxa"/>
              <w:right w:w="11" w:type="dxa"/>
            </w:tcMar>
            <w:vAlign w:val="center"/>
          </w:tcPr>
          <w:p>
            <w:pPr>
              <w:snapToGrid w:val="0"/>
              <w:jc w:val="center"/>
              <w:rPr>
                <w:rFonts w:hint="eastAsia" w:ascii="仿宋_GB2312" w:hAnsi="仿宋_GB2312" w:eastAsia="仿宋_GB2312" w:cs="仿宋_GB2312"/>
                <w:bCs/>
                <w:kern w:val="0"/>
                <w:sz w:val="21"/>
                <w:szCs w:val="21"/>
              </w:rPr>
            </w:pPr>
            <w:r>
              <w:rPr>
                <w:rFonts w:hint="eastAsia" w:ascii="仿宋_GB2312" w:hAnsi="仿宋_GB2312" w:eastAsia="仿宋_GB2312" w:cs="仿宋_GB2312"/>
                <w:bCs/>
                <w:kern w:val="0"/>
                <w:sz w:val="21"/>
                <w:szCs w:val="21"/>
              </w:rPr>
              <w:t>万元工业增加值用水量</w:t>
            </w:r>
            <w:r>
              <w:rPr>
                <w:rFonts w:hint="eastAsia" w:ascii="仿宋_GB2312" w:hAnsi="仿宋_GB2312" w:eastAsia="仿宋_GB2312" w:cs="仿宋_GB2312"/>
                <w:bCs/>
                <w:kern w:val="0"/>
                <w:sz w:val="21"/>
                <w:szCs w:val="21"/>
                <w:lang w:val="en-US" w:eastAsia="zh-CN"/>
              </w:rPr>
              <w:t>下降（%）</w:t>
            </w:r>
          </w:p>
        </w:tc>
        <w:tc>
          <w:tcPr>
            <w:tcW w:w="772" w:type="pct"/>
            <w:noWrap w:val="0"/>
            <w:vAlign w:val="center"/>
          </w:tcPr>
          <w:p>
            <w:pPr>
              <w:snapToGrid w:val="0"/>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lang w:eastAsia="zh-CN"/>
              </w:rPr>
              <w:t>预期性</w:t>
            </w:r>
          </w:p>
        </w:tc>
        <w:tc>
          <w:tcPr>
            <w:tcW w:w="1195" w:type="pct"/>
            <w:noWrap w:val="0"/>
            <w:vAlign w:val="center"/>
          </w:tcPr>
          <w:p>
            <w:pPr>
              <w:snapToGrid w:val="0"/>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lang w:val="en-US" w:eastAsia="zh-CN"/>
              </w:rPr>
              <w:t>1</w:t>
            </w:r>
            <w:r>
              <w:rPr>
                <w:rFonts w:hint="eastAsia" w:ascii="仿宋_GB2312" w:hAnsi="仿宋_GB2312" w:eastAsia="仿宋_GB2312" w:cs="仿宋_GB2312"/>
                <w:kern w:val="0"/>
                <w:sz w:val="21"/>
                <w:szCs w:val="21"/>
              </w:rPr>
              <w:t>8</w:t>
            </w:r>
          </w:p>
          <w:p>
            <w:pPr>
              <w:snapToGrid w:val="0"/>
              <w:jc w:val="center"/>
              <w:rPr>
                <w:rFonts w:hint="eastAsia" w:ascii="仿宋_GB2312" w:hAnsi="仿宋_GB2312" w:eastAsia="仿宋_GB2312" w:cs="仿宋_GB2312"/>
                <w:kern w:val="0"/>
                <w:sz w:val="21"/>
                <w:szCs w:val="21"/>
                <w:lang w:eastAsia="zh-CN"/>
              </w:rPr>
            </w:pPr>
            <w:r>
              <w:rPr>
                <w:rFonts w:hint="eastAsia" w:ascii="仿宋_GB2312" w:hAnsi="仿宋_GB2312" w:eastAsia="仿宋_GB2312" w:cs="仿宋_GB2312"/>
                <w:kern w:val="0"/>
                <w:sz w:val="21"/>
                <w:szCs w:val="21"/>
                <w:lang w:val="en-US" w:eastAsia="zh-CN"/>
              </w:rPr>
              <w:t>（较“十三五”末）</w:t>
            </w:r>
          </w:p>
        </w:tc>
        <w:tc>
          <w:tcPr>
            <w:tcW w:w="1245" w:type="pct"/>
            <w:noWrap w:val="0"/>
            <w:vAlign w:val="center"/>
          </w:tcPr>
          <w:p>
            <w:pPr>
              <w:snapToGrid w:val="0"/>
              <w:jc w:val="center"/>
              <w:rPr>
                <w:rFonts w:hint="eastAsia" w:ascii="仿宋_GB2312" w:hAnsi="仿宋_GB2312" w:eastAsia="仿宋_GB2312" w:cs="仿宋_GB2312"/>
                <w:b/>
                <w:kern w:val="0"/>
                <w:sz w:val="21"/>
                <w:szCs w:val="21"/>
              </w:rPr>
            </w:pPr>
            <w:r>
              <w:rPr>
                <w:rFonts w:hint="eastAsia" w:ascii="仿宋_GB2312" w:hAnsi="仿宋_GB2312" w:eastAsia="仿宋_GB2312" w:cs="仿宋_GB2312"/>
                <w:bCs/>
                <w:kern w:val="0"/>
                <w:sz w:val="21"/>
                <w:szCs w:val="21"/>
                <w:lang w:eastAsia="zh-CN"/>
              </w:rPr>
              <w:t>达到</w:t>
            </w:r>
            <w:r>
              <w:rPr>
                <w:rFonts w:hint="eastAsia" w:ascii="仿宋_GB2312" w:hAnsi="仿宋_GB2312" w:eastAsia="仿宋_GB2312" w:cs="仿宋_GB2312"/>
                <w:bCs/>
                <w:kern w:val="0"/>
                <w:sz w:val="21"/>
                <w:szCs w:val="21"/>
              </w:rPr>
              <w:t>国家要求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3" w:hRule="atLeast"/>
          <w:jc w:val="center"/>
        </w:trPr>
        <w:tc>
          <w:tcPr>
            <w:tcW w:w="1787" w:type="pct"/>
            <w:noWrap w:val="0"/>
            <w:tcMar>
              <w:left w:w="11" w:type="dxa"/>
              <w:right w:w="11" w:type="dxa"/>
            </w:tcMar>
            <w:vAlign w:val="center"/>
          </w:tcPr>
          <w:p>
            <w:pPr>
              <w:snapToGrid w:val="0"/>
              <w:jc w:val="both"/>
              <w:rPr>
                <w:rFonts w:hint="eastAsia" w:ascii="仿宋_GB2312" w:hAnsi="仿宋_GB2312" w:eastAsia="仿宋_GB2312" w:cs="仿宋_GB2312"/>
                <w:bCs/>
                <w:kern w:val="0"/>
                <w:sz w:val="21"/>
                <w:szCs w:val="21"/>
                <w:lang w:eastAsia="zh-CN"/>
              </w:rPr>
            </w:pPr>
            <w:r>
              <w:rPr>
                <w:rFonts w:hint="eastAsia" w:ascii="仿宋_GB2312" w:hAnsi="仿宋_GB2312" w:eastAsia="仿宋_GB2312" w:cs="仿宋_GB2312"/>
                <w:bCs/>
                <w:kern w:val="0"/>
                <w:sz w:val="21"/>
                <w:szCs w:val="21"/>
              </w:rPr>
              <w:t>农田灌溉水有效利用系数</w:t>
            </w:r>
            <w:r>
              <w:rPr>
                <w:rFonts w:hint="eastAsia" w:ascii="仿宋_GB2312" w:hAnsi="仿宋_GB2312" w:eastAsia="仿宋_GB2312" w:cs="仿宋_GB2312"/>
                <w:bCs/>
                <w:kern w:val="0"/>
                <w:sz w:val="21"/>
                <w:szCs w:val="21"/>
                <w:lang w:eastAsia="zh-CN"/>
              </w:rPr>
              <w:t>（</w:t>
            </w:r>
            <w:r>
              <w:rPr>
                <w:rFonts w:hint="eastAsia" w:ascii="仿宋_GB2312" w:hAnsi="仿宋_GB2312" w:eastAsia="仿宋_GB2312" w:cs="仿宋_GB2312"/>
                <w:bCs/>
                <w:kern w:val="0"/>
                <w:sz w:val="21"/>
                <w:szCs w:val="21"/>
                <w:lang w:val="en-US" w:eastAsia="zh-CN"/>
              </w:rPr>
              <w:t>/</w:t>
            </w:r>
            <w:r>
              <w:rPr>
                <w:rFonts w:hint="eastAsia" w:ascii="仿宋_GB2312" w:hAnsi="仿宋_GB2312" w:eastAsia="仿宋_GB2312" w:cs="仿宋_GB2312"/>
                <w:bCs/>
                <w:kern w:val="0"/>
                <w:sz w:val="21"/>
                <w:szCs w:val="21"/>
                <w:lang w:eastAsia="zh-CN"/>
              </w:rPr>
              <w:t>）</w:t>
            </w:r>
          </w:p>
        </w:tc>
        <w:tc>
          <w:tcPr>
            <w:tcW w:w="772" w:type="pct"/>
            <w:noWrap w:val="0"/>
            <w:vAlign w:val="center"/>
          </w:tcPr>
          <w:p>
            <w:pPr>
              <w:snapToGrid w:val="0"/>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lang w:eastAsia="zh-CN"/>
              </w:rPr>
              <w:t>约束性</w:t>
            </w:r>
          </w:p>
        </w:tc>
        <w:tc>
          <w:tcPr>
            <w:tcW w:w="1195" w:type="pct"/>
            <w:noWrap w:val="0"/>
            <w:vAlign w:val="center"/>
          </w:tcPr>
          <w:p>
            <w:pPr>
              <w:snapToGrid w:val="0"/>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0.740</w:t>
            </w:r>
          </w:p>
        </w:tc>
        <w:tc>
          <w:tcPr>
            <w:tcW w:w="1245" w:type="pct"/>
            <w:noWrap w:val="0"/>
            <w:vAlign w:val="center"/>
          </w:tcPr>
          <w:p>
            <w:pPr>
              <w:snapToGrid w:val="0"/>
              <w:jc w:val="center"/>
              <w:rPr>
                <w:rFonts w:hint="eastAsia" w:ascii="仿宋_GB2312" w:hAnsi="仿宋_GB2312" w:eastAsia="仿宋_GB2312" w:cs="仿宋_GB2312"/>
                <w:b/>
                <w:bCs/>
                <w:kern w:val="0"/>
                <w:sz w:val="21"/>
                <w:szCs w:val="21"/>
                <w:lang w:val="en-US" w:eastAsia="zh-CN"/>
              </w:rPr>
            </w:pPr>
            <w:r>
              <w:rPr>
                <w:rFonts w:hint="eastAsia" w:ascii="仿宋_GB2312" w:hAnsi="仿宋_GB2312" w:eastAsia="仿宋_GB2312" w:cs="仿宋_GB2312"/>
                <w:bCs/>
                <w:kern w:val="0"/>
                <w:sz w:val="21"/>
                <w:szCs w:val="21"/>
                <w:lang w:val="en-US" w:eastAsia="zh-CN"/>
              </w:rPr>
              <w:t>&gt;</w:t>
            </w:r>
            <w:r>
              <w:rPr>
                <w:rFonts w:hint="eastAsia" w:ascii="仿宋_GB2312" w:hAnsi="仿宋_GB2312" w:eastAsia="仿宋_GB2312" w:cs="仿宋_GB2312"/>
                <w:b w:val="0"/>
                <w:bCs w:val="0"/>
                <w:kern w:val="0"/>
                <w:sz w:val="21"/>
                <w:szCs w:val="21"/>
                <w:lang w:val="en-US" w:eastAsia="zh-CN"/>
              </w:rPr>
              <w:t>0.740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3" w:hRule="atLeast"/>
          <w:jc w:val="center"/>
        </w:trPr>
        <w:tc>
          <w:tcPr>
            <w:tcW w:w="1787" w:type="pct"/>
            <w:noWrap w:val="0"/>
            <w:tcMar>
              <w:left w:w="11" w:type="dxa"/>
              <w:right w:w="11" w:type="dxa"/>
            </w:tcMar>
            <w:vAlign w:val="center"/>
          </w:tcPr>
          <w:p>
            <w:pPr>
              <w:snapToGrid w:val="0"/>
              <w:jc w:val="center"/>
              <w:rPr>
                <w:rFonts w:hint="eastAsia" w:ascii="仿宋_GB2312" w:hAnsi="仿宋_GB2312" w:eastAsia="仿宋_GB2312" w:cs="仿宋_GB2312"/>
                <w:bCs/>
                <w:kern w:val="0"/>
                <w:sz w:val="21"/>
                <w:szCs w:val="21"/>
              </w:rPr>
            </w:pPr>
            <w:r>
              <w:rPr>
                <w:rFonts w:hint="eastAsia" w:ascii="仿宋_GB2312" w:hAnsi="仿宋_GB2312" w:eastAsia="仿宋_GB2312" w:cs="仿宋_GB2312"/>
                <w:bCs/>
                <w:kern w:val="0"/>
                <w:sz w:val="21"/>
                <w:szCs w:val="21"/>
              </w:rPr>
              <w:t>城镇公共供水管网漏损率</w:t>
            </w:r>
            <w:r>
              <w:rPr>
                <w:rFonts w:hint="eastAsia" w:ascii="仿宋_GB2312" w:hAnsi="仿宋_GB2312" w:eastAsia="仿宋_GB2312" w:cs="仿宋_GB2312"/>
                <w:bCs/>
                <w:kern w:val="0"/>
                <w:sz w:val="21"/>
                <w:szCs w:val="21"/>
                <w:lang w:eastAsia="zh-CN"/>
              </w:rPr>
              <w:t>（</w:t>
            </w:r>
            <w:r>
              <w:rPr>
                <w:rFonts w:hint="eastAsia" w:ascii="仿宋_GB2312" w:hAnsi="仿宋_GB2312" w:eastAsia="仿宋_GB2312" w:cs="仿宋_GB2312"/>
                <w:kern w:val="0"/>
                <w:sz w:val="21"/>
                <w:szCs w:val="21"/>
              </w:rPr>
              <w:t>%</w:t>
            </w:r>
            <w:r>
              <w:rPr>
                <w:rFonts w:hint="eastAsia" w:ascii="仿宋_GB2312" w:hAnsi="仿宋_GB2312" w:eastAsia="仿宋_GB2312" w:cs="仿宋_GB2312"/>
                <w:bCs/>
                <w:kern w:val="0"/>
                <w:sz w:val="21"/>
                <w:szCs w:val="21"/>
                <w:lang w:eastAsia="zh-CN"/>
              </w:rPr>
              <w:t>）</w:t>
            </w:r>
          </w:p>
        </w:tc>
        <w:tc>
          <w:tcPr>
            <w:tcW w:w="772" w:type="pct"/>
            <w:noWrap w:val="0"/>
            <w:vAlign w:val="center"/>
          </w:tcPr>
          <w:p>
            <w:pPr>
              <w:snapToGrid w:val="0"/>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lang w:eastAsia="zh-CN"/>
              </w:rPr>
              <w:t>约束性</w:t>
            </w:r>
          </w:p>
        </w:tc>
        <w:tc>
          <w:tcPr>
            <w:tcW w:w="1195" w:type="pct"/>
            <w:noWrap w:val="0"/>
            <w:vAlign w:val="center"/>
          </w:tcPr>
          <w:p>
            <w:pPr>
              <w:snapToGrid w:val="0"/>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6.0</w:t>
            </w:r>
          </w:p>
        </w:tc>
        <w:tc>
          <w:tcPr>
            <w:tcW w:w="1245" w:type="pct"/>
            <w:noWrap w:val="0"/>
            <w:vAlign w:val="center"/>
          </w:tcPr>
          <w:p>
            <w:pPr>
              <w:snapToGrid w:val="0"/>
              <w:jc w:val="center"/>
              <w:rPr>
                <w:rFonts w:hint="eastAsia" w:ascii="仿宋_GB2312" w:hAnsi="仿宋_GB2312" w:eastAsia="仿宋_GB2312" w:cs="仿宋_GB2312"/>
                <w:b/>
                <w:bCs/>
                <w:kern w:val="0"/>
                <w:sz w:val="21"/>
                <w:szCs w:val="21"/>
              </w:rPr>
            </w:pPr>
            <w:r>
              <w:rPr>
                <w:rFonts w:hint="eastAsia" w:ascii="仿宋_GB2312" w:hAnsi="仿宋_GB2312" w:eastAsia="仿宋_GB2312" w:cs="仿宋_GB2312"/>
                <w:bCs/>
                <w:kern w:val="0"/>
                <w:sz w:val="21"/>
                <w:szCs w:val="21"/>
              </w:rPr>
              <w:t>≤6.0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3" w:hRule="atLeast"/>
          <w:jc w:val="center"/>
        </w:trPr>
        <w:tc>
          <w:tcPr>
            <w:tcW w:w="1787" w:type="pct"/>
            <w:noWrap w:val="0"/>
            <w:tcMar>
              <w:left w:w="11" w:type="dxa"/>
              <w:right w:w="11" w:type="dxa"/>
            </w:tcMar>
            <w:vAlign w:val="center"/>
          </w:tcPr>
          <w:p>
            <w:pPr>
              <w:snapToGrid w:val="0"/>
              <w:jc w:val="center"/>
              <w:rPr>
                <w:rFonts w:hint="eastAsia" w:ascii="仿宋_GB2312" w:hAnsi="仿宋_GB2312" w:eastAsia="仿宋_GB2312" w:cs="仿宋_GB2312"/>
                <w:bCs/>
                <w:kern w:val="0"/>
                <w:sz w:val="21"/>
                <w:szCs w:val="21"/>
                <w:lang w:val="en-US" w:eastAsia="zh-CN"/>
              </w:rPr>
            </w:pPr>
            <w:r>
              <w:rPr>
                <w:rFonts w:hint="eastAsia" w:ascii="仿宋_GB2312" w:hAnsi="仿宋_GB2312" w:eastAsia="仿宋_GB2312" w:cs="仿宋_GB2312"/>
                <w:bCs/>
                <w:kern w:val="0"/>
                <w:sz w:val="21"/>
                <w:szCs w:val="21"/>
              </w:rPr>
              <w:t>非常规水利用量</w:t>
            </w:r>
            <w:r>
              <w:rPr>
                <w:rFonts w:hint="eastAsia" w:ascii="仿宋_GB2312" w:hAnsi="仿宋_GB2312" w:eastAsia="仿宋_GB2312" w:cs="仿宋_GB2312"/>
                <w:bCs/>
                <w:kern w:val="0"/>
                <w:sz w:val="21"/>
                <w:szCs w:val="21"/>
                <w:lang w:eastAsia="zh-CN"/>
              </w:rPr>
              <w:t>（</w:t>
            </w:r>
            <w:r>
              <w:rPr>
                <w:rFonts w:hint="eastAsia" w:ascii="仿宋_GB2312" w:hAnsi="仿宋_GB2312" w:eastAsia="仿宋_GB2312" w:cs="仿宋_GB2312"/>
                <w:kern w:val="0"/>
                <w:sz w:val="21"/>
                <w:szCs w:val="21"/>
              </w:rPr>
              <w:t>亿立方米</w:t>
            </w:r>
            <w:r>
              <w:rPr>
                <w:rFonts w:hint="eastAsia" w:ascii="仿宋_GB2312" w:hAnsi="仿宋_GB2312" w:eastAsia="仿宋_GB2312" w:cs="仿宋_GB2312"/>
                <w:bCs/>
                <w:kern w:val="0"/>
                <w:sz w:val="21"/>
                <w:szCs w:val="21"/>
                <w:lang w:eastAsia="zh-CN"/>
              </w:rPr>
              <w:t>）</w:t>
            </w:r>
          </w:p>
        </w:tc>
        <w:tc>
          <w:tcPr>
            <w:tcW w:w="772" w:type="pct"/>
            <w:noWrap w:val="0"/>
            <w:vAlign w:val="center"/>
          </w:tcPr>
          <w:p>
            <w:pPr>
              <w:snapToGrid w:val="0"/>
              <w:jc w:val="center"/>
              <w:rPr>
                <w:rFonts w:hint="eastAsia" w:ascii="仿宋_GB2312" w:hAnsi="仿宋_GB2312" w:eastAsia="仿宋_GB2312" w:cs="仿宋_GB2312"/>
                <w:kern w:val="0"/>
                <w:sz w:val="21"/>
                <w:szCs w:val="21"/>
                <w:lang w:eastAsia="zh-CN"/>
              </w:rPr>
            </w:pPr>
            <w:r>
              <w:rPr>
                <w:rFonts w:hint="eastAsia" w:ascii="仿宋_GB2312" w:hAnsi="仿宋_GB2312" w:eastAsia="仿宋_GB2312" w:cs="仿宋_GB2312"/>
                <w:kern w:val="0"/>
                <w:sz w:val="21"/>
                <w:szCs w:val="21"/>
                <w:lang w:eastAsia="zh-CN"/>
              </w:rPr>
              <w:t>约束性</w:t>
            </w:r>
          </w:p>
        </w:tc>
        <w:tc>
          <w:tcPr>
            <w:tcW w:w="1195" w:type="pct"/>
            <w:noWrap w:val="0"/>
            <w:vAlign w:val="center"/>
          </w:tcPr>
          <w:p>
            <w:pPr>
              <w:snapToGrid w:val="0"/>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1.47</w:t>
            </w:r>
          </w:p>
        </w:tc>
        <w:tc>
          <w:tcPr>
            <w:tcW w:w="1245" w:type="pct"/>
            <w:noWrap w:val="0"/>
            <w:vAlign w:val="center"/>
          </w:tcPr>
          <w:p>
            <w:pPr>
              <w:snapToGrid w:val="0"/>
              <w:jc w:val="center"/>
              <w:rPr>
                <w:rFonts w:hint="eastAsia" w:ascii="仿宋_GB2312" w:hAnsi="仿宋_GB2312" w:eastAsia="仿宋_GB2312" w:cs="仿宋_GB2312"/>
                <w:bCs/>
                <w:kern w:val="0"/>
                <w:sz w:val="21"/>
                <w:szCs w:val="21"/>
                <w:lang w:val="en-US" w:eastAsia="zh-CN"/>
              </w:rPr>
            </w:pPr>
            <w:r>
              <w:rPr>
                <w:rFonts w:hint="eastAsia" w:ascii="仿宋_GB2312" w:hAnsi="仿宋_GB2312" w:eastAsia="仿宋_GB2312" w:cs="仿宋_GB2312"/>
                <w:bCs/>
                <w:kern w:val="0"/>
                <w:sz w:val="21"/>
                <w:szCs w:val="21"/>
                <w:lang w:eastAsia="zh-CN"/>
              </w:rPr>
              <w:t>达到</w:t>
            </w:r>
            <w:r>
              <w:rPr>
                <w:rFonts w:hint="eastAsia" w:ascii="仿宋_GB2312" w:hAnsi="仿宋_GB2312" w:eastAsia="仿宋_GB2312" w:cs="仿宋_GB2312"/>
                <w:bCs/>
                <w:kern w:val="0"/>
                <w:sz w:val="21"/>
                <w:szCs w:val="21"/>
              </w:rPr>
              <w:t>国家要求</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firstLine="640" w:firstLineChars="200"/>
        <w:textAlignment w:val="auto"/>
        <w:rPr>
          <w:rFonts w:hint="eastAsia" w:ascii="黑体" w:hAnsi="黑体" w:eastAsia="黑体" w:cs="黑体"/>
          <w:sz w:val="32"/>
          <w:lang w:eastAsia="zh-CN"/>
        </w:rPr>
      </w:pPr>
      <w:r>
        <w:rPr>
          <w:rFonts w:hint="eastAsia" w:ascii="黑体" w:hAnsi="黑体" w:eastAsia="黑体" w:cs="黑体"/>
          <w:sz w:val="32"/>
          <w:lang w:eastAsia="zh-CN"/>
        </w:rPr>
        <w:t>二、节水制度政策</w:t>
      </w:r>
      <w:bookmarkStart w:id="1" w:name="_Toc196072335"/>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（一）建立健全节水</w:t>
      </w:r>
      <w:r>
        <w:rPr>
          <w:rFonts w:hint="eastAsia" w:ascii="楷体_GB2312" w:hAnsi="楷体_GB2312" w:eastAsia="楷体_GB2312" w:cs="楷体_GB2312"/>
          <w:b/>
          <w:bCs/>
          <w:sz w:val="32"/>
          <w:szCs w:val="32"/>
          <w:lang w:eastAsia="zh-CN"/>
        </w:rPr>
        <w:t>法规</w:t>
      </w:r>
      <w:r>
        <w:rPr>
          <w:rFonts w:hint="eastAsia" w:ascii="楷体_GB2312" w:hAnsi="楷体_GB2312" w:eastAsia="楷体_GB2312" w:cs="楷体_GB2312"/>
          <w:b/>
          <w:bCs/>
          <w:sz w:val="32"/>
          <w:szCs w:val="32"/>
        </w:rPr>
        <w:t>标准</w:t>
      </w:r>
      <w:bookmarkEnd w:id="1"/>
      <w:bookmarkStart w:id="2" w:name="_Toc196072336"/>
    </w:p>
    <w:p>
      <w:pPr>
        <w:spacing w:beforeLines="0" w:afterLines="0"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执行国家《节约用水条例》，贯彻《上海市节约用水条例》，结合本市实际管理需要，制定配套的节约用水相关政策措施。适时修订《上海市水平衡测试管理规定》《上海市非居民用水超定额累进加价制度实施细则》等政策规定，进一步完善水平衡测试、超定额累进加价和节水减排扶持激励政策等，完善水价形成机制。</w:t>
      </w:r>
    </w:p>
    <w:p>
      <w:pPr>
        <w:spacing w:beforeLines="0" w:afterLines="0" w:line="600" w:lineRule="exact"/>
        <w:ind w:firstLine="640" w:firstLineChars="200"/>
        <w:rPr>
          <w:rFonts w:hint="eastAsia" w:ascii="仿宋_GB2312" w:hAnsi="仿宋_GB2312" w:eastAsia="仿宋_GB2312" w:cs="仿宋_GB2312"/>
          <w:b w:val="0"/>
          <w:bCs w:val="0"/>
          <w:sz w:val="32"/>
          <w:szCs w:val="32"/>
        </w:rPr>
      </w:pPr>
      <w:bookmarkStart w:id="3" w:name="OLE_LINK6"/>
      <w:r>
        <w:rPr>
          <w:rFonts w:hint="eastAsia" w:ascii="仿宋_GB2312" w:hAnsi="仿宋_GB2312" w:eastAsia="仿宋_GB2312" w:cs="仿宋_GB2312"/>
          <w:b w:val="0"/>
          <w:bCs w:val="0"/>
          <w:sz w:val="32"/>
          <w:szCs w:val="32"/>
        </w:rPr>
        <w:t>采取多种形式加大用水定额宣传力度，针对重点行业用水单位开展定额贯标，充分发挥用水定额标准引领和约束作用，推进用水定额全过程管理。结合行业实际和节水科技发展逐步启动工业、居民生活、服务业、建筑业用水定额检视评估，及时开展新一轮用水定额标准修订工作，进一步完善用水标准体系。</w:t>
      </w:r>
    </w:p>
    <w:bookmarkEnd w:id="3"/>
    <w:p>
      <w:pPr>
        <w:spacing w:beforeLines="0" w:afterLines="0"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巩固年用水量1万立方米及以上的工业</w:t>
      </w:r>
      <w:r>
        <w:rPr>
          <w:rFonts w:hint="eastAsia" w:ascii="仿宋_GB2312" w:hAnsi="仿宋_GB2312" w:eastAsia="仿宋_GB2312" w:cs="仿宋_GB2312"/>
          <w:b w:val="0"/>
          <w:bCs w:val="0"/>
          <w:sz w:val="32"/>
          <w:szCs w:val="32"/>
          <w:lang w:eastAsia="zh"/>
        </w:rPr>
        <w:t>、</w:t>
      </w:r>
      <w:r>
        <w:rPr>
          <w:rFonts w:hint="eastAsia" w:ascii="仿宋_GB2312" w:hAnsi="仿宋_GB2312" w:eastAsia="仿宋_GB2312" w:cs="仿宋_GB2312"/>
          <w:b w:val="0"/>
          <w:bCs w:val="0"/>
          <w:sz w:val="32"/>
          <w:szCs w:val="32"/>
        </w:rPr>
        <w:t>服务业单位计划用水管理全覆盖成果，提高计划用水管理的精细化水平。有序推进水预算试点</w:t>
      </w:r>
      <w:r>
        <w:rPr>
          <w:rFonts w:hint="eastAsia" w:ascii="仿宋_GB2312" w:hAnsi="仿宋_GB2312" w:eastAsia="仿宋_GB2312" w:cs="仿宋_GB2312"/>
          <w:b w:val="0"/>
          <w:bCs w:val="0"/>
          <w:sz w:val="32"/>
          <w:szCs w:val="32"/>
          <w:lang w:eastAsia="zh-CN"/>
        </w:rPr>
        <w:t>的项目实施，推动水预算管理对象全面纳入管理</w:t>
      </w:r>
      <w:r>
        <w:rPr>
          <w:rFonts w:hint="eastAsia" w:ascii="仿宋_GB2312" w:hAnsi="仿宋_GB2312" w:eastAsia="仿宋_GB2312" w:cs="仿宋_GB2312"/>
          <w:b w:val="0"/>
          <w:bCs w:val="0"/>
          <w:sz w:val="32"/>
          <w:szCs w:val="32"/>
        </w:rPr>
        <w:t>。加强节水评价审查，提高节水评价报告编制质量。</w:t>
      </w:r>
    </w:p>
    <w:p>
      <w:pPr>
        <w:pStyle w:val="2"/>
        <w:spacing w:beforeLines="0" w:afterLines="0" w:line="600" w:lineRule="exact"/>
        <w:rPr>
          <w:rFonts w:hint="eastAsia"/>
        </w:rPr>
      </w:pPr>
    </w:p>
    <w:p>
      <w:pPr>
        <w:numPr>
          <w:ilvl w:val="0"/>
          <w:numId w:val="1"/>
        </w:numPr>
        <w:spacing w:beforeLines="0" w:afterLines="0" w:line="600" w:lineRule="exact"/>
        <w:ind w:firstLine="642"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加强用水计量监测</w:t>
      </w:r>
      <w:bookmarkEnd w:id="2"/>
    </w:p>
    <w:p>
      <w:pPr>
        <w:spacing w:beforeLines="0" w:afterLines="0" w:line="600" w:lineRule="exact"/>
        <w:ind w:firstLine="640" w:firstLineChars="200"/>
        <w:rPr>
          <w:rFonts w:hint="eastAsia" w:ascii="仿宋_GB2312" w:hAnsi="仿宋_GB2312" w:eastAsia="仿宋_GB2312" w:cs="仿宋_GB2312"/>
          <w:b w:val="0"/>
          <w:bCs w:val="0"/>
          <w:sz w:val="32"/>
          <w:szCs w:val="32"/>
        </w:rPr>
      </w:pPr>
      <w:bookmarkStart w:id="4" w:name="_Toc196072337"/>
      <w:r>
        <w:rPr>
          <w:rFonts w:hint="eastAsia" w:ascii="仿宋_GB2312" w:hAnsi="仿宋_GB2312" w:eastAsia="仿宋_GB2312" w:cs="仿宋_GB2312"/>
          <w:b w:val="0"/>
          <w:bCs w:val="0"/>
          <w:sz w:val="32"/>
          <w:szCs w:val="32"/>
        </w:rPr>
        <w:t>加强计量设施（器具）配备和管理</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进一步扩大取水在线计量覆盖面</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着力提高数据到报率和数据质量。更新、扩大全市农业小型灌区样本点，建立小型灌区样本点用水在线计量体系。</w:t>
      </w:r>
      <w:bookmarkStart w:id="5" w:name="OLE_LINK7"/>
      <w:r>
        <w:rPr>
          <w:rFonts w:hint="eastAsia" w:ascii="仿宋_GB2312" w:hAnsi="仿宋_GB2312" w:eastAsia="仿宋_GB2312" w:cs="仿宋_GB2312"/>
          <w:b w:val="0"/>
          <w:bCs w:val="0"/>
          <w:sz w:val="32"/>
          <w:szCs w:val="32"/>
        </w:rPr>
        <w:t>研究取水在线计量设施运维规程，逐步完善取用水全过程计量体系。</w:t>
      </w:r>
    </w:p>
    <w:bookmarkEnd w:id="5"/>
    <w:p>
      <w:pPr>
        <w:spacing w:beforeLines="0" w:afterLines="0"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加强供水管网智慧化管理，持续推进智能水表安装。推进城镇供水管网分区计量管理，居民小区计量监测总表覆盖率不低于80%。加快建立用水全过程精准计量体系，实现工业和生活用水计量的数字化、网络化和智能化。</w:t>
      </w:r>
    </w:p>
    <w:p>
      <w:pPr>
        <w:spacing w:beforeLines="0" w:afterLines="0" w:line="600" w:lineRule="exact"/>
        <w:ind w:firstLine="640" w:firstLineChars="200"/>
        <w:rPr>
          <w:rFonts w:hint="eastAsia" w:ascii="仿宋_GB2312" w:hAnsi="仿宋_GB2312" w:eastAsia="仿宋_GB2312" w:cs="仿宋_GB2312"/>
          <w:b/>
          <w:bCs/>
        </w:rPr>
      </w:pPr>
      <w:r>
        <w:rPr>
          <w:rFonts w:hint="eastAsia" w:ascii="仿宋_GB2312" w:hAnsi="仿宋_GB2312" w:eastAsia="仿宋_GB2312" w:cs="仿宋_GB2312"/>
          <w:b w:val="0"/>
          <w:bCs w:val="0"/>
          <w:sz w:val="32"/>
          <w:szCs w:val="32"/>
          <w:lang w:eastAsia="zh-CN"/>
        </w:rPr>
        <w:t>完善</w:t>
      </w:r>
      <w:r>
        <w:rPr>
          <w:rFonts w:hint="eastAsia" w:ascii="仿宋_GB2312" w:hAnsi="仿宋_GB2312" w:eastAsia="仿宋_GB2312" w:cs="仿宋_GB2312"/>
          <w:b w:val="0"/>
          <w:bCs w:val="0"/>
          <w:sz w:val="32"/>
          <w:szCs w:val="32"/>
        </w:rPr>
        <w:t>水资源管理平台，实现对用水量的实时监测、精准计量和动态管理。强化优化各行业节水全过程监测体系建设要求，以新质生产力提升节水智慧化管理水平。</w:t>
      </w:r>
    </w:p>
    <w:p>
      <w:pPr>
        <w:numPr>
          <w:ilvl w:val="0"/>
          <w:numId w:val="1"/>
        </w:numPr>
        <w:spacing w:beforeLines="0" w:afterLines="0" w:line="600" w:lineRule="exact"/>
        <w:ind w:left="0" w:leftChars="0" w:firstLine="642"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完善节水市场机制</w:t>
      </w:r>
      <w:bookmarkEnd w:id="4"/>
    </w:p>
    <w:p>
      <w:pPr>
        <w:spacing w:beforeLines="0" w:afterLines="0"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深入开展水效提升行动，打造“合同节水+智慧节水”新模式，激发市场主体活力。指导重点用水企业开展内部用水集成网络建设，提高企业用水效能。</w:t>
      </w:r>
      <w:bookmarkStart w:id="6" w:name="_Toc196072338"/>
    </w:p>
    <w:p>
      <w:pPr>
        <w:numPr>
          <w:ilvl w:val="0"/>
          <w:numId w:val="0"/>
        </w:numPr>
        <w:spacing w:beforeLines="0" w:afterLines="0"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全面推行水资源费改税，以水资源税改革为杠杆，通过经济手段激发节水内生动力，推动水资源集约化利用。健全供水价格动态调整机制，优化居民阶梯水价制度，遏制不合理用水需求。</w:t>
      </w:r>
    </w:p>
    <w:p>
      <w:pPr>
        <w:numPr>
          <w:ilvl w:val="0"/>
          <w:numId w:val="0"/>
        </w:numPr>
        <w:spacing w:beforeLines="0" w:afterLines="0" w:line="60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b w:val="0"/>
          <w:bCs w:val="0"/>
          <w:sz w:val="32"/>
          <w:szCs w:val="32"/>
        </w:rPr>
        <w:t>健全用水权交易平台，推动用水权交易市场发展壮大。积极探索再生水交易。通过用水权交易优化资源配置，引导水资源向高效益、高效率方向转移，实现价值变现，激发“水活力”。</w:t>
      </w:r>
    </w:p>
    <w:p>
      <w:pPr>
        <w:numPr>
          <w:ilvl w:val="0"/>
          <w:numId w:val="1"/>
        </w:numPr>
        <w:spacing w:beforeLines="0" w:afterLines="0" w:line="600" w:lineRule="exact"/>
        <w:ind w:left="0" w:leftChars="0" w:firstLine="642"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发展节水产业</w:t>
      </w:r>
      <w:bookmarkEnd w:id="6"/>
    </w:p>
    <w:p>
      <w:pPr>
        <w:spacing w:beforeLines="0" w:afterLines="0"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加大政策扶持力度，推广合同节水管理，建设30项以上合同节水管理示范项目，树立行业标杆。推广“节水惠”“取水贷”等专属融资服务，降低企业节水改造成本，解决融资难题。依托长三角节水产业创新发展联盟，定期开展科技创新、政策解读、供需对接等系列活动。加快先进节水技术和产品开发，推进节水科技协同发展。</w:t>
      </w:r>
    </w:p>
    <w:p>
      <w:pPr>
        <w:spacing w:beforeLines="0" w:afterLines="0"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推动工业节水技术改造，大力推广节水工艺和技术。发展社会化、专业化、规范化的节水服务产业，包括节水咨询、设计、检测、计量、技术改造、运行管理、产品认证等服务，促进节水产业的发展，强化节水成果转化。引导重点区域节水产业集群发展，积极培育节水重点企业，发挥龙头企业引领作用。</w:t>
      </w:r>
    </w:p>
    <w:p>
      <w:pPr>
        <w:keepNext w:val="0"/>
        <w:keepLines w:val="0"/>
        <w:pageBreakBefore w:val="0"/>
        <w:widowControl w:val="0"/>
        <w:kinsoku/>
        <w:wordWrap/>
        <w:overflowPunct/>
        <w:topLinePunct w:val="0"/>
        <w:autoSpaceDE/>
        <w:autoSpaceDN/>
        <w:bidi w:val="0"/>
        <w:adjustRightInd/>
        <w:snapToGrid/>
        <w:spacing w:before="156" w:beforeLines="0" w:after="156" w:afterLines="0" w:line="600" w:lineRule="exact"/>
        <w:ind w:firstLine="642" w:firstLineChars="200"/>
        <w:textAlignment w:val="auto"/>
        <w:rPr>
          <w:rFonts w:hint="eastAsia" w:ascii="楷体_GB2312" w:hAnsi="楷体_GB2312" w:eastAsia="楷体_GB2312" w:cs="楷体_GB2312"/>
          <w:b/>
          <w:bCs/>
          <w:sz w:val="32"/>
          <w:szCs w:val="32"/>
        </w:rPr>
      </w:pPr>
      <w:bookmarkStart w:id="7" w:name="_Toc196072339"/>
      <w:r>
        <w:rPr>
          <w:rFonts w:hint="eastAsia" w:ascii="楷体_GB2312" w:hAnsi="楷体_GB2312" w:eastAsia="楷体_GB2312" w:cs="楷体_GB2312"/>
          <w:b/>
          <w:bCs/>
          <w:sz w:val="32"/>
          <w:szCs w:val="32"/>
        </w:rPr>
        <w:t>（五）节水型社会</w:t>
      </w:r>
      <w:bookmarkEnd w:id="7"/>
      <w:r>
        <w:rPr>
          <w:rFonts w:hint="eastAsia" w:ascii="楷体_GB2312" w:hAnsi="楷体_GB2312" w:eastAsia="楷体_GB2312" w:cs="楷体_GB2312"/>
          <w:b/>
          <w:bCs/>
          <w:sz w:val="32"/>
          <w:szCs w:val="32"/>
        </w:rPr>
        <w:t>建设</w:t>
      </w:r>
    </w:p>
    <w:p>
      <w:p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持续实施国家节水行动。推动建立完善节水产品绿色认证、水效标识制度，健全节水产品推广普及机制，加强国情水情教育和节水宣传，营造全社会惜水爱水节水的良好氛围。持续开展水效领跑者引领行动，强化各领域节水示范引领。持续完善节水减排专项扶持工作。</w:t>
      </w:r>
    </w:p>
    <w:p>
      <w:p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强化市、区两级联动，跟踪节水减排专项资金政策施行情况，推动扶持资金助力先导产业、重点行业持续健康发展。实施水预算管理。探索建立城镇水预算管理制度，分类探索规范水预算管理的实施路径和政策措施，建立完善水预算编制、审核和水预算执行、监督机制。</w:t>
      </w:r>
    </w:p>
    <w:p>
      <w:p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以再生水为重点，完善非常规水利用技术标准体系，推动非常规水纳入区域水资源统一配置。推动工业水循环利用，努力实现工业废污水“零排放”。</w:t>
      </w:r>
    </w:p>
    <w:p>
      <w:pPr>
        <w:spacing w:beforeLines="0" w:afterLines="0" w:line="600" w:lineRule="exact"/>
        <w:ind w:firstLine="640" w:firstLineChars="200"/>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 xml:space="preserve">开展节水与降碳关系机制课题研究，探索节约用水管理与碳排放控制双赢战略路线，探索水碳协同的内在机制与影响因素，并提出节水降碳的技术和管理措施。  </w:t>
      </w:r>
    </w:p>
    <w:p>
      <w:p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联合高等院校、科研机构及行业骨干企业，构建“政产学研用”协同创新的节水人才培养体系。重点加强节水战略管理人才、科技创新人才和专业技能人才梯队建设，打造结构合理、专业过硬的高素质人才队伍，为提升节水治理现代化水平提供坚实人才支撑。</w:t>
      </w:r>
    </w:p>
    <w:p>
      <w:pPr>
        <w:keepNext w:val="0"/>
        <w:keepLines w:val="0"/>
        <w:pageBreakBefore w:val="0"/>
        <w:widowControl/>
        <w:numPr>
          <w:ilvl w:val="-1"/>
          <w:numId w:val="0"/>
        </w:numPr>
        <w:kinsoku/>
        <w:wordWrap/>
        <w:overflowPunct/>
        <w:topLinePunct w:val="0"/>
        <w:autoSpaceDE/>
        <w:autoSpaceDN/>
        <w:bidi w:val="0"/>
        <w:adjustRightInd/>
        <w:snapToGrid/>
        <w:spacing w:beforeLines="0" w:afterLines="0" w:line="60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三、重点领域节水</w:t>
      </w:r>
      <w:bookmarkStart w:id="8" w:name="_Toc196072341"/>
    </w:p>
    <w:p>
      <w:pPr>
        <w:keepNext w:val="0"/>
        <w:keepLines w:val="0"/>
        <w:pageBreakBefore w:val="0"/>
        <w:widowControl/>
        <w:numPr>
          <w:ilvl w:val="-1"/>
          <w:numId w:val="0"/>
        </w:numPr>
        <w:kinsoku/>
        <w:wordWrap/>
        <w:overflowPunct/>
        <w:topLinePunct w:val="0"/>
        <w:autoSpaceDE/>
        <w:autoSpaceDN/>
        <w:bidi w:val="0"/>
        <w:adjustRightInd/>
        <w:snapToGrid/>
        <w:spacing w:beforeLines="0" w:afterLines="0" w:line="600" w:lineRule="exact"/>
        <w:ind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农业节水增效</w:t>
      </w:r>
      <w:bookmarkEnd w:id="8"/>
    </w:p>
    <w:p>
      <w:pPr>
        <w:keepNext w:val="0"/>
        <w:keepLines w:val="0"/>
        <w:pageBreakBefore w:val="0"/>
        <w:widowControl/>
        <w:numPr>
          <w:ilvl w:val="-1"/>
          <w:numId w:val="0"/>
        </w:numPr>
        <w:kinsoku/>
        <w:wordWrap/>
        <w:overflowPunct/>
        <w:topLinePunct w:val="0"/>
        <w:autoSpaceDE/>
        <w:autoSpaceDN/>
        <w:bidi w:val="0"/>
        <w:adjustRightInd/>
        <w:snapToGrid/>
        <w:spacing w:beforeLines="0" w:afterLines="0"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优化调整农业</w:t>
      </w:r>
      <w:r>
        <w:rPr>
          <w:rFonts w:hint="eastAsia" w:ascii="仿宋_GB2312" w:hAnsi="仿宋_GB2312" w:eastAsia="仿宋_GB2312" w:cs="仿宋_GB2312"/>
          <w:b w:val="0"/>
          <w:bCs w:val="0"/>
          <w:sz w:val="32"/>
          <w:szCs w:val="32"/>
          <w:lang w:eastAsia="zh-CN"/>
        </w:rPr>
        <w:t>结构，</w:t>
      </w:r>
      <w:r>
        <w:rPr>
          <w:rFonts w:hint="eastAsia" w:ascii="仿宋_GB2312" w:hAnsi="仿宋_GB2312" w:eastAsia="仿宋_GB2312" w:cs="仿宋_GB2312"/>
          <w:b w:val="0"/>
          <w:bCs w:val="0"/>
          <w:sz w:val="32"/>
          <w:szCs w:val="32"/>
        </w:rPr>
        <w:t>根据经济社会发展水平和水环境状况，优化调整农业生产布局和农作物种植结构，推动农业绿色转型，发展节水高效现代农业。开展农业灌溉用水定额的制定与修订。</w:t>
      </w:r>
    </w:p>
    <w:p>
      <w:pPr>
        <w:keepNext w:val="0"/>
        <w:keepLines w:val="0"/>
        <w:pageBreakBefore w:val="0"/>
        <w:widowControl/>
        <w:numPr>
          <w:ilvl w:val="-1"/>
          <w:numId w:val="0"/>
        </w:numPr>
        <w:kinsoku/>
        <w:wordWrap/>
        <w:overflowPunct/>
        <w:topLinePunct w:val="0"/>
        <w:autoSpaceDE/>
        <w:autoSpaceDN/>
        <w:bidi w:val="0"/>
        <w:adjustRightInd/>
        <w:snapToGrid/>
        <w:spacing w:beforeLines="0" w:afterLines="0"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推广农业节水灌溉技术</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鼓励发展智能精准灌溉系统</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推广新建、改建、扩建灌溉工程设施同步安装灌溉用水计量设施</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加强农业灌溉设施的运行、维护和管理。农业灌溉用水暂不具备计量条件的，采用以电折水等间接计量方式。</w:t>
      </w:r>
    </w:p>
    <w:p>
      <w:pPr>
        <w:numPr>
          <w:ilvl w:val="0"/>
          <w:numId w:val="0"/>
        </w:numPr>
        <w:spacing w:beforeLines="0" w:afterLines="0"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2"/>
          <w:sz w:val="32"/>
          <w:szCs w:val="32"/>
          <w:lang w:val="en-US" w:eastAsia="zh-CN" w:bidi="ar-SA"/>
        </w:rPr>
        <w:t>促进水产养殖节水，</w:t>
      </w:r>
      <w:r>
        <w:rPr>
          <w:rFonts w:hint="eastAsia" w:ascii="仿宋_GB2312" w:hAnsi="仿宋_GB2312" w:eastAsia="仿宋_GB2312" w:cs="仿宋_GB2312"/>
          <w:b w:val="0"/>
          <w:bCs w:val="0"/>
          <w:sz w:val="32"/>
          <w:szCs w:val="32"/>
        </w:rPr>
        <w:t>推广设施养殖、循环水养殖等水产养殖模式，水产养殖的尾水应治理和循环利用。</w:t>
      </w:r>
    </w:p>
    <w:p>
      <w:pPr>
        <w:keepNext w:val="0"/>
        <w:keepLines w:val="0"/>
        <w:pageBreakBefore w:val="0"/>
        <w:widowControl/>
        <w:numPr>
          <w:ilvl w:val="0"/>
          <w:numId w:val="0"/>
        </w:numPr>
        <w:kinsoku/>
        <w:wordWrap/>
        <w:overflowPunct/>
        <w:topLinePunct w:val="0"/>
        <w:autoSpaceDE/>
        <w:autoSpaceDN/>
        <w:bidi w:val="0"/>
        <w:adjustRightInd/>
        <w:snapToGrid/>
        <w:spacing w:before="156" w:beforeLines="0" w:after="156" w:afterLines="0" w:line="600" w:lineRule="exact"/>
        <w:ind w:firstLine="642" w:firstLineChars="200"/>
        <w:textAlignment w:val="auto"/>
        <w:rPr>
          <w:rFonts w:hint="eastAsia" w:ascii="楷体_GB2312" w:hAnsi="楷体_GB2312" w:eastAsia="楷体_GB2312" w:cs="楷体_GB2312"/>
          <w:b/>
          <w:bCs/>
          <w:sz w:val="32"/>
          <w:szCs w:val="32"/>
        </w:rPr>
      </w:pPr>
      <w:bookmarkStart w:id="9" w:name="_Toc196072342"/>
      <w:r>
        <w:rPr>
          <w:rFonts w:hint="eastAsia" w:ascii="楷体_GB2312" w:hAnsi="楷体_GB2312" w:eastAsia="楷体_GB2312" w:cs="楷体_GB2312"/>
          <w:b/>
          <w:bCs/>
          <w:sz w:val="32"/>
          <w:szCs w:val="32"/>
          <w:lang w:eastAsia="zh-CN"/>
        </w:rPr>
        <w:t>（二）工业节水减排</w:t>
      </w:r>
      <w:bookmarkEnd w:id="9"/>
    </w:p>
    <w:p>
      <w:p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采取循环用水、综合利用以及废水处理回用等措施，持续降低工业用水消耗，提高水的重复利用率。对高耗水企业用水水平超过用水定额的，限期进行节水改造。新建、改建、扩建的高耗水企业用水应符合用水定额先进值。</w:t>
      </w:r>
    </w:p>
    <w:p>
      <w:pPr>
        <w:numPr>
          <w:ilvl w:val="0"/>
          <w:numId w:val="0"/>
        </w:num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产业园区的节约用水工作纳入园区开发、建设、运营的全生命周期管理，促进水资源节约集约利用。对于新建、扩建、改建产业园区，应当统筹园区供水、排水、水处理、再生水利用以及水循环利用设施建设，有条件的园区实施企业间串联供水、梯级利用，推动企业间用水系统集成优化。</w:t>
      </w:r>
    </w:p>
    <w:p>
      <w:pPr>
        <w:numPr>
          <w:ilvl w:val="0"/>
          <w:numId w:val="0"/>
        </w:num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促进公共供水企业节水。提高公共供水企业制水效率，生产自用水比率符合国家和本市相关规定，水厂回用水覆盖率100%。</w:t>
      </w:r>
    </w:p>
    <w:p>
      <w:pPr>
        <w:keepNext w:val="0"/>
        <w:keepLines w:val="0"/>
        <w:pageBreakBefore w:val="0"/>
        <w:widowControl/>
        <w:numPr>
          <w:ilvl w:val="0"/>
          <w:numId w:val="0"/>
        </w:numPr>
        <w:kinsoku/>
        <w:wordWrap/>
        <w:overflowPunct/>
        <w:topLinePunct w:val="0"/>
        <w:autoSpaceDE/>
        <w:autoSpaceDN/>
        <w:bidi w:val="0"/>
        <w:adjustRightInd/>
        <w:snapToGrid/>
        <w:spacing w:before="156" w:beforeLines="0" w:after="156" w:afterLines="0" w:line="600" w:lineRule="exact"/>
        <w:ind w:firstLine="642" w:firstLineChars="200"/>
        <w:textAlignment w:val="auto"/>
        <w:rPr>
          <w:rFonts w:hint="eastAsia" w:ascii="楷体_GB2312" w:hAnsi="楷体_GB2312" w:eastAsia="楷体_GB2312" w:cs="楷体_GB2312"/>
          <w:b/>
          <w:bCs/>
          <w:sz w:val="32"/>
          <w:szCs w:val="32"/>
          <w:lang w:eastAsia="zh-CN"/>
        </w:rPr>
      </w:pPr>
      <w:bookmarkStart w:id="10" w:name="_Toc196072343"/>
      <w:r>
        <w:rPr>
          <w:rFonts w:hint="eastAsia" w:ascii="楷体_GB2312" w:hAnsi="楷体_GB2312" w:eastAsia="楷体_GB2312" w:cs="楷体_GB2312"/>
          <w:b/>
          <w:bCs/>
          <w:sz w:val="32"/>
          <w:szCs w:val="32"/>
          <w:lang w:eastAsia="zh-CN"/>
        </w:rPr>
        <w:t>（三）城镇节水降损</w:t>
      </w:r>
      <w:bookmarkEnd w:id="10"/>
    </w:p>
    <w:p>
      <w:pPr>
        <w:numPr>
          <w:ilvl w:val="0"/>
          <w:numId w:val="0"/>
        </w:num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根据用水定额、经济技术条件以及水量分配方案，编制年度用水计划，并做好各区目标分解，对年度用水实行总量控制。严格监控重点用水单位，指导开展定额对标、节水管理制度建设、节水型产品使用及非常规水利用等工作。</w:t>
      </w:r>
    </w:p>
    <w:p>
      <w:pPr>
        <w:numPr>
          <w:ilvl w:val="0"/>
          <w:numId w:val="0"/>
        </w:num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滚动实施老旧供水管网的更新改造1000公里左右，确保二级DMA分区覆盖率在“十五五”末达到80%，持续降低管网漏损率，提升供水安全保障能力。</w:t>
      </w:r>
    </w:p>
    <w:p>
      <w:pPr>
        <w:numPr>
          <w:ilvl w:val="0"/>
          <w:numId w:val="0"/>
        </w:num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发挥公共机构表率作用，杜绝瓶装水浪费，强制使用二级以上水效器具，建设节约型机关。</w:t>
      </w:r>
    </w:p>
    <w:p>
      <w:pPr>
        <w:keepNext w:val="0"/>
        <w:keepLines w:val="0"/>
        <w:pageBreakBefore w:val="0"/>
        <w:widowControl w:val="0"/>
        <w:numPr>
          <w:ilvl w:val="0"/>
          <w:numId w:val="0"/>
        </w:numPr>
        <w:kinsoku/>
        <w:wordWrap/>
        <w:overflowPunct/>
        <w:topLinePunct w:val="0"/>
        <w:autoSpaceDE/>
        <w:autoSpaceDN/>
        <w:bidi w:val="0"/>
        <w:adjustRightInd/>
        <w:snapToGrid/>
        <w:spacing w:before="156" w:beforeLines="0" w:after="156" w:afterLines="0" w:line="600" w:lineRule="exact"/>
        <w:ind w:leftChars="200" w:firstLine="642" w:firstLineChars="200"/>
        <w:textAlignment w:val="auto"/>
        <w:rPr>
          <w:rFonts w:hint="eastAsia" w:ascii="楷体_GB2312" w:hAnsi="楷体_GB2312" w:eastAsia="楷体_GB2312" w:cs="楷体_GB2312"/>
          <w:b/>
          <w:bCs/>
          <w:sz w:val="32"/>
          <w:szCs w:val="32"/>
          <w:lang w:eastAsia="zh-CN"/>
        </w:rPr>
      </w:pPr>
      <w:bookmarkStart w:id="11" w:name="_Toc196072344"/>
      <w:r>
        <w:rPr>
          <w:rFonts w:hint="eastAsia" w:ascii="楷体_GB2312" w:hAnsi="楷体_GB2312" w:eastAsia="楷体_GB2312" w:cs="楷体_GB2312"/>
          <w:b/>
          <w:bCs/>
          <w:sz w:val="32"/>
          <w:szCs w:val="32"/>
          <w:lang w:eastAsia="zh-CN"/>
        </w:rPr>
        <w:t>（四）非常规水开发利用</w:t>
      </w:r>
      <w:bookmarkEnd w:id="11"/>
    </w:p>
    <w:p>
      <w:pPr>
        <w:numPr>
          <w:ilvl w:val="0"/>
          <w:numId w:val="0"/>
        </w:num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优化配置非常规水，根据水资源状况，将再生水、集蓄雨水、海水淡化水、矿坑（井）水等非常规水纳入水资源统一配置，优化开发利用顶层设计，在有条件的</w:t>
      </w:r>
      <w:r>
        <w:rPr>
          <w:rFonts w:hint="eastAsia" w:ascii="仿宋_GB2312" w:hAnsi="仿宋_GB2312" w:eastAsia="仿宋_GB2312" w:cs="仿宋_GB2312"/>
          <w:b w:val="0"/>
          <w:bCs w:val="0"/>
          <w:sz w:val="32"/>
          <w:szCs w:val="32"/>
          <w:lang w:val="en-US" w:eastAsia="zh-CN"/>
        </w:rPr>
        <w:t>区域</w:t>
      </w:r>
      <w:r>
        <w:rPr>
          <w:rFonts w:hint="eastAsia" w:ascii="仿宋_GB2312" w:hAnsi="仿宋_GB2312" w:eastAsia="仿宋_GB2312" w:cs="仿宋_GB2312"/>
          <w:b w:val="0"/>
          <w:bCs w:val="0"/>
          <w:kern w:val="2"/>
          <w:sz w:val="32"/>
          <w:szCs w:val="32"/>
          <w:lang w:val="en-US" w:eastAsia="zh-CN" w:bidi="ar-SA"/>
        </w:rPr>
        <w:t>和行业优先配置非常规水。水务相关专项规划编制应纳入非常规水开发利用专项内容。</w:t>
      </w:r>
    </w:p>
    <w:p>
      <w:pPr>
        <w:numPr>
          <w:ilvl w:val="0"/>
          <w:numId w:val="0"/>
        </w:num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持续推进污水资源化利用，不断完善再生水利用基础设施，推进全市污水处理厂市政杂用取水点建设，加强污水处理厂再生水厂内自用，推广水源热泵利用。新建、改建、扩建的污水处理厂，有条件的应当配套建设再生水利用设施。</w:t>
      </w:r>
    </w:p>
    <w:p>
      <w:pPr>
        <w:numPr>
          <w:ilvl w:val="0"/>
          <w:numId w:val="0"/>
        </w:num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持续加强雨水集蓄利用，推进海绵城市建设，严格落实年径流总量控制率等约束性指标。新建、改建、扩建项目因地制宜采用下凹式绿地、下沉式广场、渗透铺装、植草沟、雨水花园等措施加强雨水收集利用，配套建设雨水滞渗、收集利用等设施。</w:t>
      </w:r>
    </w:p>
    <w:p>
      <w:p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开发利用海（咸）水淡化资源，研究应用海（咸）水淡化技术，因地制宜发展海（咸）水淡化与综合利用产业。结合近江近海水厂推进海（咸）水淡化研究，持续推进非常规水利用示范。</w:t>
      </w:r>
    </w:p>
    <w:p>
      <w:pPr>
        <w:keepNext w:val="0"/>
        <w:keepLines w:val="0"/>
        <w:pageBreakBefore w:val="0"/>
        <w:widowControl/>
        <w:numPr>
          <w:ilvl w:val="-1"/>
          <w:numId w:val="0"/>
        </w:numPr>
        <w:kinsoku/>
        <w:wordWrap/>
        <w:overflowPunct/>
        <w:topLinePunct w:val="0"/>
        <w:autoSpaceDE/>
        <w:autoSpaceDN/>
        <w:bidi w:val="0"/>
        <w:adjustRightInd/>
        <w:snapToGrid/>
        <w:spacing w:beforeLines="0" w:afterLines="0"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四、长江三角洲战略区节水</w:t>
      </w:r>
    </w:p>
    <w:p>
      <w:pPr>
        <w:spacing w:beforeLines="0" w:afterLines="0" w:line="60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立足长三角作为全国发展强劲活跃增长极与一体化示范区的战略定位，致力建设国家水效先导区。深化区域协同机制，拓展长三角节水产业联盟功能，打破行政壁垒，打造具有区域特色的节水产业集群。助力长三角地区在节水产业领域形成示范效应，为全国节水产业发展提供可借鉴的经验与模式，以高标准、严要求打造节水产业标杆，提升长三角地区在全国节水产业领域的影响力与引领地位。</w:t>
      </w:r>
    </w:p>
    <w:p>
      <w:pPr>
        <w:keepNext w:val="0"/>
        <w:keepLines w:val="0"/>
        <w:pageBreakBefore w:val="0"/>
        <w:widowControl/>
        <w:kinsoku/>
        <w:wordWrap/>
        <w:overflowPunct/>
        <w:topLinePunct w:val="0"/>
        <w:autoSpaceDE/>
        <w:autoSpaceDN/>
        <w:bidi w:val="0"/>
        <w:adjustRightInd/>
        <w:snapToGrid/>
        <w:spacing w:before="156" w:beforeLines="0" w:after="156" w:afterLines="0"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rPr>
        <w:t>依托水利部长三角城镇供水节水及水环境治理重点实验室，</w:t>
      </w:r>
      <w:r>
        <w:rPr>
          <w:rFonts w:hint="eastAsia" w:ascii="仿宋_GB2312" w:hAnsi="仿宋_GB2312" w:eastAsia="仿宋_GB2312" w:cs="仿宋_GB2312"/>
          <w:b w:val="0"/>
          <w:bCs w:val="0"/>
          <w:kern w:val="2"/>
          <w:sz w:val="32"/>
          <w:szCs w:val="32"/>
          <w:lang w:val="en-US" w:eastAsia="zh-CN" w:bidi="ar-SA"/>
        </w:rPr>
        <w:t>深化与江苏、浙江等地方政府的深度合作，探索共建合作平台，推动资源共享、政策对接和项目协同，</w:t>
      </w:r>
      <w:r>
        <w:rPr>
          <w:rFonts w:hint="eastAsia" w:ascii="仿宋_GB2312" w:hAnsi="仿宋_GB2312" w:eastAsia="仿宋_GB2312" w:cs="仿宋_GB2312"/>
          <w:b w:val="0"/>
          <w:bCs w:val="0"/>
          <w:sz w:val="32"/>
          <w:szCs w:val="32"/>
        </w:rPr>
        <w:t>集中攻关智慧管网、AI节水算法、数字孪生等关键技术，打造前沿技术策源地，</w:t>
      </w:r>
      <w:r>
        <w:rPr>
          <w:rFonts w:hint="eastAsia" w:ascii="仿宋_GB2312" w:hAnsi="仿宋_GB2312" w:eastAsia="仿宋_GB2312" w:cs="仿宋_GB2312"/>
          <w:b w:val="0"/>
          <w:bCs w:val="0"/>
          <w:kern w:val="2"/>
          <w:sz w:val="32"/>
          <w:szCs w:val="32"/>
          <w:lang w:val="en-US" w:eastAsia="zh-CN" w:bidi="ar-SA"/>
        </w:rPr>
        <w:t>以提升区域创新能力和服务效能。</w:t>
      </w:r>
    </w:p>
    <w:p>
      <w:pPr>
        <w:numPr>
          <w:ilvl w:val="0"/>
          <w:numId w:val="0"/>
        </w:numPr>
        <w:spacing w:beforeLines="0" w:afterLines="0"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eastAsia="zh-CN"/>
        </w:rPr>
        <w:t>要</w:t>
      </w:r>
      <w:r>
        <w:rPr>
          <w:rFonts w:hint="eastAsia" w:ascii="仿宋_GB2312" w:hAnsi="仿宋_GB2312" w:eastAsia="仿宋_GB2312" w:cs="仿宋_GB2312"/>
          <w:b w:val="0"/>
          <w:bCs w:val="0"/>
          <w:sz w:val="32"/>
          <w:szCs w:val="32"/>
        </w:rPr>
        <w:t>依托联席会议制度，层层压实责任，明确部门分工，加强沟通协调，确保各项任务落实到位，形成齐抓共管的良好局面。健全激励政策，鼓励社会资本参与有收益的节水项目，推动节水工作从行政强制向利益驱动转型，激发全社会参与热情，构建多元化投入机制。拓展宣传渠道，创新宣传方式，全面提升公众节水素养，营造爱水、惜水、护水的浓厚社会氛围，让节水理念深入人心。实行各区节水责任制和考核评价制度，将节水目标完成情况纳入绩效考核体系，强化结果运用，实行奖惩分明。强化舆论监督，畅通举报渠道，曝光浪费行为，确保实施方案各项任务落地见效，为建设人与自然和谐共生的现代化上海贡献力量，谱写新时代节水事业新篇章。</w:t>
      </w:r>
    </w:p>
    <w:p>
      <w:pPr>
        <w:numPr>
          <w:ilvl w:val="0"/>
          <w:numId w:val="0"/>
        </w:numPr>
        <w:spacing w:beforeLines="0" w:afterLines="0" w:line="600" w:lineRule="exact"/>
        <w:ind w:firstLine="640" w:firstLineChars="200"/>
        <w:rPr>
          <w:rFonts w:hint="eastAsia" w:ascii="仿宋_GB2312" w:hAnsi="仿宋_GB2312" w:eastAsia="仿宋_GB2312" w:cs="仿宋_GB2312"/>
          <w:sz w:val="32"/>
          <w:szCs w:val="32"/>
        </w:rPr>
      </w:pPr>
    </w:p>
    <w:sectPr>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OpenSymbol"/>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新宋体">
    <w:altName w:val="方正书宋_GBK"/>
    <w:panose1 w:val="02010609030101010101"/>
    <w:charset w:val="00"/>
    <w:family w:val="modern"/>
    <w:pitch w:val="default"/>
    <w:sig w:usb0="00000000" w:usb1="00000000" w:usb2="0000000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URW Gothic">
    <w:altName w:val="国标宋体-超大字符集"/>
    <w:panose1 w:val="00000500000000000000"/>
    <w:charset w:val="00"/>
    <w:family w:val="auto"/>
    <w:pitch w:val="default"/>
    <w:sig w:usb0="00000000" w:usb1="00000000" w:usb2="00000000" w:usb3="00000000" w:csb0="6000009F" w:csb1="00000000"/>
  </w:font>
  <w:font w:name="国标宋体-超大字符集">
    <w:panose1 w:val="03000509000000000000"/>
    <w:charset w:val="86"/>
    <w:family w:val="auto"/>
    <w:pitch w:val="default"/>
    <w:sig w:usb0="00000001" w:usb1="08000000" w:usb2="00000000" w:usb3="00000000" w:csb0="00040001" w:csb1="00000000"/>
  </w:font>
  <w:font w:name="国标仿宋">
    <w:panose1 w:val="02000500000000000000"/>
    <w:charset w:val="86"/>
    <w:family w:val="auto"/>
    <w:pitch w:val="default"/>
    <w:sig w:usb0="A00002BF" w:usb1="38C77CFA" w:usb2="00000016" w:usb3="00000000" w:csb0="00060007" w:csb1="00000000"/>
  </w:font>
  <w:font w:name="方正仿宋_GB2312">
    <w:altName w:val="方正仿宋_GBK"/>
    <w:panose1 w:val="02000000000000000000"/>
    <w:charset w:val="00"/>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PQJJ5fHAQAAmQMAAA4AAAAAAAAA&#10;AQAgAAAANAEAAGRycy9lMm9Eb2MueG1sUEsFBgAAAAAGAAYAWQEAAG0FAAAAAA==&#10;">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D94977"/>
    <w:multiLevelType w:val="singleLevel"/>
    <w:tmpl w:val="EFD9497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lMDQzZWUwY2M5ZmM5NGJlMWU4M2E3YjY1ZWI5MzkifQ=="/>
  </w:docVars>
  <w:rsids>
    <w:rsidRoot w:val="ECFDA1EB"/>
    <w:rsid w:val="1F7BFD2A"/>
    <w:rsid w:val="73FBE19C"/>
    <w:rsid w:val="7BFE1C27"/>
    <w:rsid w:val="7EFF4F49"/>
    <w:rsid w:val="7FDDA171"/>
    <w:rsid w:val="7FF6C2F9"/>
    <w:rsid w:val="7FFBF1BD"/>
    <w:rsid w:val="AFB61EE1"/>
    <w:rsid w:val="BFF71D22"/>
    <w:rsid w:val="D6D9FA1A"/>
    <w:rsid w:val="DFFF0BDC"/>
    <w:rsid w:val="E33345D9"/>
    <w:rsid w:val="E6F78C38"/>
    <w:rsid w:val="E6FFF984"/>
    <w:rsid w:val="ECFDA1EB"/>
    <w:rsid w:val="EDD775D5"/>
    <w:rsid w:val="EFFFB349"/>
    <w:rsid w:val="F2B554E0"/>
    <w:rsid w:val="FE7D36D1"/>
    <w:rsid w:val="FF9F8986"/>
    <w:rsid w:val="FFDEC8DF"/>
    <w:rsid w:val="FFF1E5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unhideWhenUsed/>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9"/>
    <w:pPr>
      <w:keepNext/>
      <w:keepLines/>
      <w:spacing w:line="360" w:lineRule="auto"/>
      <w:ind w:firstLine="200" w:firstLineChars="200"/>
      <w:outlineLvl w:val="3"/>
    </w:pPr>
    <w:rPr>
      <w:rFonts w:ascii="宋体" w:hAnsi="宋体" w:cs="Times New Roman"/>
      <w:b/>
      <w:bCs/>
      <w:sz w:val="28"/>
      <w:szCs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rPr>
      <w:rFonts w:ascii="Times New Roman" w:hAnsi="Times New Roman" w:eastAsia="宋体" w:cs="Times New Roman"/>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nhideWhenUsed/>
    <w:qFormat/>
    <w:uiPriority w:val="39"/>
    <w:pPr>
      <w:tabs>
        <w:tab w:val="right" w:leader="dot" w:pos="8296"/>
      </w:tabs>
      <w:spacing w:line="720" w:lineRule="auto"/>
    </w:pPr>
    <w:rPr>
      <w:b/>
      <w:bCs/>
      <w:sz w:val="28"/>
      <w:szCs w:val="32"/>
    </w:rPr>
  </w:style>
  <w:style w:type="paragraph" w:styleId="9">
    <w:name w:val="toc 2"/>
    <w:basedOn w:val="1"/>
    <w:next w:val="1"/>
    <w:unhideWhenUsed/>
    <w:qFormat/>
    <w:uiPriority w:val="39"/>
    <w:pPr>
      <w:ind w:left="420" w:leftChars="200"/>
    </w:p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Hyperlink"/>
    <w:basedOn w:val="12"/>
    <w:unhideWhenUsed/>
    <w:qFormat/>
    <w:uiPriority w:val="99"/>
    <w:rPr>
      <w:color w:val="0000FF"/>
      <w:u w:val="single"/>
    </w:rPr>
  </w:style>
  <w:style w:type="paragraph" w:customStyle="1" w:styleId="14">
    <w:name w:val="小四居中"/>
    <w:basedOn w:val="15"/>
    <w:qFormat/>
    <w:uiPriority w:val="0"/>
    <w:pPr>
      <w:spacing w:line="288" w:lineRule="auto"/>
    </w:pPr>
    <w:rPr>
      <w:rFonts w:ascii="宋体" w:hAnsi="宋体"/>
      <w:b w:val="0"/>
      <w:sz w:val="24"/>
      <w:szCs w:val="24"/>
    </w:rPr>
  </w:style>
  <w:style w:type="paragraph" w:customStyle="1" w:styleId="15">
    <w:name w:val="封面"/>
    <w:basedOn w:val="1"/>
    <w:qFormat/>
    <w:uiPriority w:val="0"/>
    <w:pPr>
      <w:jc w:val="center"/>
    </w:pPr>
    <w:rPr>
      <w:rFonts w:ascii="新宋体" w:hAnsi="新宋体" w:eastAsia="新宋体" w:cs="Times New Roman"/>
      <w:b/>
      <w:sz w:val="56"/>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0</Words>
  <Characters>0</Characters>
  <Lines>0</Lines>
  <Paragraphs>0</Paragraphs>
  <TotalTime>5</TotalTime>
  <ScaleCrop>false</ScaleCrop>
  <LinksUpToDate>false</LinksUpToDate>
  <CharactersWithSpaces>0</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2026-08-31T19:22:00Z</dcterms:created>
  <dc:creator>salad</dc:creator>
  <cp:lastModifiedBy>huawei</cp:lastModifiedBy>
  <cp:lastPrinted>2026-09-07T22:14:00Z</cp:lastPrinted>
  <dcterms:modified xsi:type="dcterms:W3CDTF">2026-09-14T15:05:26Z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B2177D5A3633FAA21A539E6A9633C8F3_43</vt:lpwstr>
  </property>
</Properties>
</file>