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477" w:rsidRPr="00C75060" w:rsidRDefault="007D5477" w:rsidP="007D5477">
      <w:pPr>
        <w:adjustRightInd w:val="0"/>
        <w:snapToGrid w:val="0"/>
        <w:spacing w:line="560" w:lineRule="exact"/>
        <w:rPr>
          <w:rFonts w:ascii="Times New Roman" w:eastAsia="黑体" w:hAnsi="Times New Roman" w:cs="Times New Roman"/>
          <w:sz w:val="32"/>
          <w:szCs w:val="32"/>
        </w:rPr>
      </w:pPr>
      <w:r w:rsidRPr="00C75060">
        <w:rPr>
          <w:rFonts w:ascii="Times New Roman" w:eastAsia="黑体" w:hAnsi="Times New Roman" w:cs="Times New Roman"/>
          <w:sz w:val="32"/>
          <w:szCs w:val="32"/>
        </w:rPr>
        <w:t>附件</w:t>
      </w:r>
      <w:r w:rsidRPr="00C75060">
        <w:rPr>
          <w:rFonts w:ascii="Times New Roman" w:eastAsia="黑体" w:hAnsi="Times New Roman" w:cs="Times New Roman"/>
          <w:sz w:val="32"/>
          <w:szCs w:val="32"/>
        </w:rPr>
        <w:t>1</w:t>
      </w:r>
    </w:p>
    <w:p w:rsidR="007D5477" w:rsidRPr="00C75060" w:rsidRDefault="007D5477" w:rsidP="007D5477">
      <w:pPr>
        <w:jc w:val="center"/>
        <w:outlineLvl w:val="0"/>
        <w:rPr>
          <w:rFonts w:eastAsia="方正小标宋简体"/>
          <w:sz w:val="40"/>
          <w:szCs w:val="32"/>
        </w:rPr>
      </w:pPr>
      <w:r w:rsidRPr="00C75060">
        <w:rPr>
          <w:rFonts w:eastAsia="方正小标宋简体"/>
          <w:sz w:val="40"/>
          <w:szCs w:val="32"/>
        </w:rPr>
        <w:t>上海市水土保持补偿费征收管理办法</w:t>
      </w:r>
    </w:p>
    <w:p w:rsidR="007D5477" w:rsidRPr="007D5477" w:rsidRDefault="007D5477" w:rsidP="007D5477">
      <w:pPr>
        <w:spacing w:line="600" w:lineRule="exact"/>
        <w:jc w:val="center"/>
        <w:rPr>
          <w:rFonts w:ascii="Times New Roman" w:eastAsia="楷体_GB2312" w:hAnsi="Times New Roman" w:cs="楷体_GB2312"/>
          <w:sz w:val="32"/>
          <w:szCs w:val="32"/>
        </w:rPr>
      </w:pPr>
      <w:r w:rsidRPr="007D5477">
        <w:rPr>
          <w:rFonts w:ascii="Times New Roman" w:eastAsia="楷体_GB2312" w:hAnsi="Times New Roman" w:cs="楷体_GB2312" w:hint="eastAsia"/>
          <w:sz w:val="32"/>
          <w:szCs w:val="32"/>
        </w:rPr>
        <w:t>（草案征求意见稿）</w:t>
      </w:r>
    </w:p>
    <w:p w:rsidR="007D5477" w:rsidRPr="007D5477" w:rsidRDefault="007D5477" w:rsidP="007D5477">
      <w:pPr>
        <w:jc w:val="center"/>
        <w:outlineLvl w:val="0"/>
        <w:rPr>
          <w:rFonts w:eastAsia="方正小标宋简体"/>
          <w:sz w:val="36"/>
          <w:szCs w:val="32"/>
        </w:rPr>
      </w:pPr>
    </w:p>
    <w:p w:rsidR="00343DA7" w:rsidRPr="00FF5200" w:rsidRDefault="00343DA7" w:rsidP="00343DA7">
      <w:pPr>
        <w:pStyle w:val="a6"/>
        <w:shd w:val="clear" w:color="auto" w:fill="FFFFFF"/>
        <w:adjustRightInd w:val="0"/>
        <w:snapToGrid w:val="0"/>
        <w:spacing w:before="150" w:beforeAutospacing="0" w:after="150" w:afterAutospacing="0" w:line="560" w:lineRule="exact"/>
        <w:jc w:val="center"/>
        <w:rPr>
          <w:rFonts w:ascii="Times New Roman" w:eastAsia="黑体" w:hAnsi="Times New Roman" w:cs="Times New Roman"/>
          <w:color w:val="000000"/>
          <w:sz w:val="32"/>
        </w:rPr>
      </w:pPr>
      <w:r w:rsidRPr="00FF5200">
        <w:rPr>
          <w:rFonts w:ascii="Times New Roman" w:eastAsia="黑体" w:hAnsi="黑体" w:cs="Times New Roman"/>
          <w:color w:val="000000"/>
          <w:sz w:val="32"/>
        </w:rPr>
        <w:t>第一章</w:t>
      </w:r>
      <w:r w:rsidRPr="00FF5200">
        <w:rPr>
          <w:rFonts w:ascii="Times New Roman" w:eastAsia="黑体" w:hAnsi="Times New Roman" w:cs="Times New Roman"/>
          <w:color w:val="000000"/>
          <w:sz w:val="32"/>
        </w:rPr>
        <w:t xml:space="preserve"> </w:t>
      </w:r>
      <w:r w:rsidRPr="00FF5200">
        <w:rPr>
          <w:rFonts w:ascii="Times New Roman" w:hAnsi="Times New Roman" w:cs="Times New Roman"/>
          <w:color w:val="000000"/>
          <w:sz w:val="32"/>
        </w:rPr>
        <w:t xml:space="preserve">  </w:t>
      </w:r>
      <w:r w:rsidRPr="00FF5200">
        <w:rPr>
          <w:rFonts w:ascii="Times New Roman" w:eastAsia="黑体" w:hAnsi="黑体" w:cs="Times New Roman"/>
          <w:color w:val="000000"/>
          <w:sz w:val="32"/>
        </w:rPr>
        <w:t>总</w:t>
      </w:r>
      <w:r w:rsidRPr="00FF5200">
        <w:rPr>
          <w:rFonts w:ascii="Times New Roman" w:eastAsia="黑体" w:hAnsi="Times New Roman" w:cs="Times New Roman"/>
          <w:color w:val="000000"/>
          <w:sz w:val="32"/>
        </w:rPr>
        <w:t xml:space="preserve">  </w:t>
      </w:r>
      <w:r w:rsidRPr="00FF5200">
        <w:rPr>
          <w:rFonts w:ascii="Times New Roman" w:eastAsia="黑体" w:hAnsi="黑体" w:cs="Times New Roman"/>
          <w:color w:val="000000"/>
          <w:sz w:val="32"/>
        </w:rPr>
        <w:t>则</w:t>
      </w:r>
    </w:p>
    <w:p w:rsidR="00343DA7" w:rsidRPr="00FF5200" w:rsidRDefault="00343DA7" w:rsidP="00343DA7">
      <w:pPr>
        <w:pStyle w:val="a6"/>
        <w:shd w:val="clear" w:color="auto" w:fill="FFFFFF"/>
        <w:adjustRightInd w:val="0"/>
        <w:snapToGrid w:val="0"/>
        <w:spacing w:before="150" w:after="150" w:line="560" w:lineRule="exact"/>
        <w:ind w:firstLineChars="200" w:firstLine="643"/>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第一条</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为规范本市水土保持补偿费征收管理，促进水土流失防治工作，改善生态环境，根据</w:t>
      </w:r>
      <w:r w:rsidRPr="00FF5200">
        <w:rPr>
          <w:rFonts w:ascii="Times New Roman" w:eastAsia="仿宋_GB2312" w:hAnsi="Times New Roman" w:cs="Times New Roman"/>
          <w:sz w:val="32"/>
          <w:szCs w:val="32"/>
        </w:rPr>
        <w:t>《中华人民共和国水土保持法》《财政部、国家发展改革委、水利部、中国人民银行关于印发</w:t>
      </w:r>
      <w:r w:rsidRPr="00FF5200">
        <w:rPr>
          <w:rFonts w:ascii="Times New Roman" w:eastAsia="仿宋_GB2312" w:hAnsi="Times New Roman" w:cs="Times New Roman"/>
          <w:sz w:val="32"/>
          <w:szCs w:val="32"/>
        </w:rPr>
        <w:t>&lt;</w:t>
      </w:r>
      <w:r w:rsidRPr="00FF5200">
        <w:rPr>
          <w:rFonts w:ascii="Times New Roman" w:eastAsia="仿宋_GB2312" w:hAnsi="Times New Roman" w:cs="Times New Roman"/>
          <w:sz w:val="32"/>
          <w:szCs w:val="32"/>
        </w:rPr>
        <w:t>水土保持补偿费征收使用管理办法</w:t>
      </w:r>
      <w:r w:rsidRPr="00FF5200">
        <w:rPr>
          <w:rFonts w:ascii="Times New Roman" w:eastAsia="仿宋_GB2312" w:hAnsi="Times New Roman" w:cs="Times New Roman"/>
          <w:sz w:val="32"/>
          <w:szCs w:val="32"/>
        </w:rPr>
        <w:t>&gt;</w:t>
      </w:r>
      <w:r w:rsidRPr="00FF5200">
        <w:rPr>
          <w:rFonts w:ascii="Times New Roman" w:eastAsia="仿宋_GB2312" w:hAnsi="Times New Roman" w:cs="Times New Roman"/>
          <w:sz w:val="32"/>
          <w:szCs w:val="32"/>
        </w:rPr>
        <w:t>的通知》（财综〔</w:t>
      </w:r>
      <w:r w:rsidRPr="00FF5200">
        <w:rPr>
          <w:rFonts w:ascii="Times New Roman" w:eastAsia="仿宋_GB2312" w:hAnsi="Times New Roman" w:cs="Times New Roman"/>
          <w:sz w:val="32"/>
          <w:szCs w:val="32"/>
        </w:rPr>
        <w:t>2014</w:t>
      </w:r>
      <w:r w:rsidRPr="00FF5200">
        <w:rPr>
          <w:rFonts w:ascii="Times New Roman" w:eastAsia="仿宋_GB2312" w:hAnsi="Times New Roman" w:cs="Times New Roman"/>
          <w:sz w:val="32"/>
          <w:szCs w:val="32"/>
        </w:rPr>
        <w:t>〕</w:t>
      </w:r>
      <w:r w:rsidRPr="00FF5200">
        <w:rPr>
          <w:rFonts w:ascii="Times New Roman" w:eastAsia="仿宋_GB2312" w:hAnsi="Times New Roman" w:cs="Times New Roman"/>
          <w:sz w:val="32"/>
          <w:szCs w:val="32"/>
        </w:rPr>
        <w:t>8</w:t>
      </w:r>
      <w:r w:rsidRPr="00FF5200">
        <w:rPr>
          <w:rFonts w:ascii="Times New Roman" w:eastAsia="仿宋_GB2312" w:hAnsi="Times New Roman" w:cs="Times New Roman"/>
          <w:sz w:val="32"/>
          <w:szCs w:val="32"/>
        </w:rPr>
        <w:t>号）《国家发展改革委、财政部关于降低电信网码号资源占用费等部分行政事业性收费标准的通知》（发改价格〔</w:t>
      </w:r>
      <w:r w:rsidRPr="00FF5200">
        <w:rPr>
          <w:rFonts w:ascii="Times New Roman" w:eastAsia="仿宋_GB2312" w:hAnsi="Times New Roman" w:cs="Times New Roman"/>
          <w:sz w:val="32"/>
          <w:szCs w:val="32"/>
        </w:rPr>
        <w:t>2017</w:t>
      </w:r>
      <w:r w:rsidRPr="00FF5200">
        <w:rPr>
          <w:rFonts w:ascii="Times New Roman" w:eastAsia="仿宋_GB2312" w:hAnsi="Times New Roman" w:cs="Times New Roman"/>
          <w:sz w:val="32"/>
          <w:szCs w:val="32"/>
        </w:rPr>
        <w:t>〕</w:t>
      </w:r>
      <w:r w:rsidRPr="00FF5200">
        <w:rPr>
          <w:rFonts w:ascii="Times New Roman" w:eastAsia="仿宋_GB2312" w:hAnsi="Times New Roman" w:cs="Times New Roman"/>
          <w:sz w:val="32"/>
          <w:szCs w:val="32"/>
        </w:rPr>
        <w:t>1186</w:t>
      </w:r>
      <w:r w:rsidRPr="00FF5200">
        <w:rPr>
          <w:rFonts w:ascii="Times New Roman" w:eastAsia="仿宋_GB2312" w:hAnsi="Times New Roman" w:cs="Times New Roman"/>
          <w:sz w:val="32"/>
          <w:szCs w:val="32"/>
        </w:rPr>
        <w:t>号）《财政部关于水土保持补偿费等四项非税收入划转税务部门征收的通知》（财税〔</w:t>
      </w:r>
      <w:r w:rsidRPr="00FF5200">
        <w:rPr>
          <w:rFonts w:ascii="Times New Roman" w:eastAsia="仿宋_GB2312" w:hAnsi="Times New Roman" w:cs="Times New Roman"/>
          <w:sz w:val="32"/>
          <w:szCs w:val="32"/>
        </w:rPr>
        <w:t>2020</w:t>
      </w:r>
      <w:r w:rsidRPr="00FF5200">
        <w:rPr>
          <w:rFonts w:ascii="Times New Roman" w:eastAsia="仿宋_GB2312" w:hAnsi="Times New Roman" w:cs="Times New Roman"/>
          <w:sz w:val="32"/>
          <w:szCs w:val="32"/>
        </w:rPr>
        <w:t>〕</w:t>
      </w:r>
      <w:r w:rsidRPr="00FF5200">
        <w:rPr>
          <w:rFonts w:ascii="Times New Roman" w:eastAsia="仿宋_GB2312" w:hAnsi="Times New Roman" w:cs="Times New Roman"/>
          <w:sz w:val="32"/>
          <w:szCs w:val="32"/>
        </w:rPr>
        <w:t>58</w:t>
      </w:r>
      <w:r w:rsidRPr="00FF5200">
        <w:rPr>
          <w:rFonts w:ascii="Times New Roman" w:eastAsia="仿宋_GB2312" w:hAnsi="Times New Roman" w:cs="Times New Roman"/>
          <w:sz w:val="32"/>
          <w:szCs w:val="32"/>
        </w:rPr>
        <w:t>号）《上海市水务局关于印发</w:t>
      </w:r>
      <w:r w:rsidRPr="00FF5200">
        <w:rPr>
          <w:rFonts w:ascii="Times New Roman" w:eastAsia="仿宋_GB2312" w:hAnsi="Times New Roman" w:cs="Times New Roman"/>
          <w:sz w:val="32"/>
          <w:szCs w:val="32"/>
        </w:rPr>
        <w:t>&lt;</w:t>
      </w:r>
      <w:r w:rsidRPr="00FF5200">
        <w:rPr>
          <w:rFonts w:ascii="Times New Roman" w:eastAsia="仿宋_GB2312" w:hAnsi="Times New Roman" w:cs="Times New Roman"/>
          <w:sz w:val="32"/>
          <w:szCs w:val="32"/>
        </w:rPr>
        <w:t>上海市水土保持管理办法</w:t>
      </w:r>
      <w:r w:rsidRPr="00FF5200">
        <w:rPr>
          <w:rFonts w:ascii="Times New Roman" w:eastAsia="仿宋_GB2312" w:hAnsi="Times New Roman" w:cs="Times New Roman"/>
          <w:sz w:val="32"/>
          <w:szCs w:val="32"/>
        </w:rPr>
        <w:t>&gt;</w:t>
      </w:r>
      <w:r w:rsidRPr="00FF5200">
        <w:rPr>
          <w:rFonts w:ascii="Times New Roman" w:eastAsia="仿宋_GB2312" w:hAnsi="Times New Roman" w:cs="Times New Roman"/>
          <w:sz w:val="32"/>
          <w:szCs w:val="32"/>
        </w:rPr>
        <w:t>的通知》（沪水务规范〔</w:t>
      </w:r>
      <w:r w:rsidRPr="00FF5200">
        <w:rPr>
          <w:rFonts w:ascii="Times New Roman" w:eastAsia="仿宋_GB2312" w:hAnsi="Times New Roman" w:cs="Times New Roman"/>
          <w:sz w:val="32"/>
          <w:szCs w:val="32"/>
        </w:rPr>
        <w:t>2020</w:t>
      </w:r>
      <w:r w:rsidRPr="00FF5200">
        <w:rPr>
          <w:rFonts w:ascii="Times New Roman" w:eastAsia="仿宋_GB2312" w:hAnsi="Times New Roman" w:cs="Times New Roman"/>
          <w:sz w:val="32"/>
          <w:szCs w:val="32"/>
        </w:rPr>
        <w:t>〕</w:t>
      </w:r>
      <w:r w:rsidRPr="00FF5200">
        <w:rPr>
          <w:rFonts w:ascii="Times New Roman" w:eastAsia="仿宋_GB2312" w:hAnsi="Times New Roman" w:cs="Times New Roman"/>
          <w:sz w:val="32"/>
          <w:szCs w:val="32"/>
        </w:rPr>
        <w:t>1</w:t>
      </w:r>
      <w:r w:rsidRPr="00FF5200">
        <w:rPr>
          <w:rFonts w:ascii="Times New Roman" w:eastAsia="仿宋_GB2312" w:hAnsi="Times New Roman" w:cs="Times New Roman"/>
          <w:sz w:val="32"/>
          <w:szCs w:val="32"/>
        </w:rPr>
        <w:t>号）</w:t>
      </w:r>
      <w:r w:rsidRPr="00FF5200">
        <w:rPr>
          <w:rFonts w:ascii="Times New Roman" w:eastAsia="仿宋_GB2312" w:hAnsi="Times New Roman" w:cs="Times New Roman"/>
          <w:kern w:val="2"/>
          <w:sz w:val="32"/>
          <w:szCs w:val="32"/>
        </w:rPr>
        <w:t>的有关规定，结合本市实际，制定本办法。</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第二条</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水土保持补偿费是对损坏水土保持设施和地貌植被、不能恢复原有水土保持功能的生产建设单位和个人征收并主要用于水土流失预防和治理的资金。</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第三条</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水土保持补偿费全额上缴国库，纳入一般公共预算管理。</w:t>
      </w:r>
    </w:p>
    <w:p w:rsidR="00343DA7" w:rsidRPr="00FF5200" w:rsidRDefault="00343DA7" w:rsidP="00343DA7">
      <w:pPr>
        <w:pStyle w:val="a6"/>
        <w:shd w:val="clear" w:color="auto" w:fill="FFFFFF"/>
        <w:adjustRightInd w:val="0"/>
        <w:snapToGrid w:val="0"/>
        <w:spacing w:before="150" w:beforeAutospacing="0" w:after="150" w:afterAutospacing="0" w:line="560" w:lineRule="exact"/>
        <w:jc w:val="center"/>
        <w:rPr>
          <w:rFonts w:ascii="Times New Roman" w:eastAsia="黑体" w:hAnsi="Times New Roman" w:cs="Times New Roman"/>
          <w:color w:val="000000"/>
          <w:sz w:val="32"/>
        </w:rPr>
      </w:pPr>
      <w:r w:rsidRPr="00FF5200">
        <w:rPr>
          <w:rFonts w:ascii="Times New Roman" w:eastAsia="黑体" w:hAnsi="黑体" w:cs="Times New Roman"/>
          <w:color w:val="000000"/>
          <w:sz w:val="32"/>
        </w:rPr>
        <w:t>第二章</w:t>
      </w:r>
      <w:r w:rsidRPr="00FF5200">
        <w:rPr>
          <w:rFonts w:ascii="Times New Roman" w:eastAsia="黑体" w:hAnsi="Times New Roman" w:cs="Times New Roman"/>
          <w:color w:val="000000"/>
          <w:sz w:val="32"/>
        </w:rPr>
        <w:t xml:space="preserve">   </w:t>
      </w:r>
      <w:r w:rsidRPr="00FF5200">
        <w:rPr>
          <w:rFonts w:ascii="Times New Roman" w:eastAsia="黑体" w:hAnsi="黑体" w:cs="Times New Roman"/>
          <w:color w:val="000000"/>
          <w:sz w:val="32"/>
        </w:rPr>
        <w:t>征</w:t>
      </w:r>
      <w:r w:rsidRPr="00FF5200">
        <w:rPr>
          <w:rFonts w:ascii="Times New Roman" w:eastAsia="黑体" w:hAnsi="Times New Roman" w:cs="Times New Roman"/>
          <w:color w:val="000000"/>
          <w:sz w:val="32"/>
        </w:rPr>
        <w:t xml:space="preserve">  </w:t>
      </w:r>
      <w:r w:rsidRPr="00FF5200">
        <w:rPr>
          <w:rFonts w:ascii="Times New Roman" w:eastAsia="黑体" w:hAnsi="黑体" w:cs="Times New Roman"/>
          <w:color w:val="000000"/>
          <w:sz w:val="32"/>
        </w:rPr>
        <w:t>收</w:t>
      </w:r>
    </w:p>
    <w:p w:rsidR="00343DA7" w:rsidRPr="00FF5200" w:rsidRDefault="00343DA7" w:rsidP="00343DA7">
      <w:pPr>
        <w:pStyle w:val="a6"/>
        <w:shd w:val="clear" w:color="auto" w:fill="FFFFFF"/>
        <w:adjustRightInd w:val="0"/>
        <w:snapToGrid w:val="0"/>
        <w:spacing w:before="150" w:after="15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lastRenderedPageBreak/>
        <w:t>第四条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凡在《上海市水土保持规划》确定的容易发生水土流失的区域开办生产建设项目或者从事其他生产建设活动，损坏水土保持设施、地貌植被，不能恢复原有水土保持功能的单位和个人（以下简称缴纳义务人），应当缴纳水土保持补偿费。</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前款所称其他生产建设活动包括：</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（一）取土、挖砂（不含河道采砂）；</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（二）烧制砖、瓦、瓷（陶）、石灰；</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（三）排放废弃土、石、渣。</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第五条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水土保持补偿费按照下列方式和标准计征：</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（一）对生产建设项目，按照征占用土地面积一次性计征，每平方米</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元（不足</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平方米的按</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平方米计）。</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（二）取土、挖砂（河道采砂除外）以及烧制砖、瓦、瓷、石灰的，根据取土、挖砂量，按照每立方米</w:t>
      </w:r>
      <w:r w:rsidRPr="00FF5200">
        <w:rPr>
          <w:rFonts w:ascii="Times New Roman" w:eastAsia="仿宋_GB2312" w:hAnsi="Times New Roman" w:cs="Times New Roman"/>
          <w:kern w:val="2"/>
          <w:sz w:val="32"/>
          <w:szCs w:val="32"/>
        </w:rPr>
        <w:t>0.3</w:t>
      </w:r>
      <w:r w:rsidRPr="00FF5200">
        <w:rPr>
          <w:rFonts w:ascii="Times New Roman" w:eastAsia="仿宋_GB2312" w:hAnsi="Times New Roman" w:cs="Times New Roman"/>
          <w:kern w:val="2"/>
          <w:sz w:val="32"/>
          <w:szCs w:val="32"/>
        </w:rPr>
        <w:t>元计征（不足</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立方米的按</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立方米计）。对缴纳义务人已按前一种方式计征水土保持补偿费的，不再重复计征。</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（三）排放废弃土、石、渣的，根据土、石、渣量，按照每立方米</w:t>
      </w:r>
      <w:r w:rsidRPr="00FF5200">
        <w:rPr>
          <w:rFonts w:ascii="Times New Roman" w:eastAsia="仿宋_GB2312" w:hAnsi="Times New Roman" w:cs="Times New Roman"/>
          <w:kern w:val="2"/>
          <w:sz w:val="32"/>
          <w:szCs w:val="32"/>
        </w:rPr>
        <w:t>0.3</w:t>
      </w:r>
      <w:r w:rsidRPr="00FF5200">
        <w:rPr>
          <w:rFonts w:ascii="Times New Roman" w:eastAsia="仿宋_GB2312" w:hAnsi="Times New Roman" w:cs="Times New Roman"/>
          <w:kern w:val="2"/>
          <w:sz w:val="32"/>
          <w:szCs w:val="32"/>
        </w:rPr>
        <w:t>元计征。对缴纳义务人已按前两种方式计征水土保持补偿费的，不再重复计征。</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第六条</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开办生产建设项目的，缴纳义务人应当在项目开工前一次性缴纳水土保持补偿费。</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lastRenderedPageBreak/>
        <w:t>从事其他生产建设活动的，缴纳水土保持补偿费的时限由区级水行政主管部门</w:t>
      </w:r>
      <w:r w:rsidRPr="00FF5200">
        <w:rPr>
          <w:rFonts w:ascii="Times New Roman" w:eastAsia="仿宋_GB2312" w:hAnsi="Times New Roman" w:cs="Times New Roman" w:hint="eastAsia"/>
          <w:kern w:val="2"/>
          <w:sz w:val="32"/>
          <w:szCs w:val="32"/>
        </w:rPr>
        <w:t>、临港新片区管委会</w:t>
      </w:r>
      <w:r w:rsidRPr="00FF5200">
        <w:rPr>
          <w:rFonts w:ascii="Times New Roman" w:eastAsia="仿宋_GB2312" w:hAnsi="Times New Roman" w:cs="Times New Roman"/>
          <w:kern w:val="2"/>
          <w:sz w:val="32"/>
          <w:szCs w:val="32"/>
        </w:rPr>
        <w:t>确定。</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第七条</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缴纳义务人应当向水行政主管部门</w:t>
      </w:r>
      <w:r w:rsidRPr="00FF5200">
        <w:rPr>
          <w:rFonts w:ascii="Times New Roman" w:eastAsia="仿宋_GB2312" w:hAnsi="Times New Roman" w:cs="Times New Roman" w:hint="eastAsia"/>
          <w:kern w:val="2"/>
          <w:sz w:val="32"/>
          <w:szCs w:val="32"/>
        </w:rPr>
        <w:t>、临港新片区管委会</w:t>
      </w:r>
      <w:r w:rsidRPr="00FF5200">
        <w:rPr>
          <w:rFonts w:ascii="Times New Roman" w:eastAsia="仿宋_GB2312" w:hAnsi="Times New Roman" w:cs="Times New Roman"/>
          <w:kern w:val="2"/>
          <w:sz w:val="32"/>
          <w:szCs w:val="32"/>
        </w:rPr>
        <w:t>如实报送征占用土地面积（取土挖砂量、弃土弃渣量）等资料。</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水行政主管部门</w:t>
      </w:r>
      <w:r w:rsidRPr="00FF5200">
        <w:rPr>
          <w:rFonts w:ascii="Times New Roman" w:eastAsia="仿宋_GB2312" w:hAnsi="Times New Roman" w:cs="Times New Roman" w:hint="eastAsia"/>
          <w:kern w:val="2"/>
          <w:sz w:val="32"/>
          <w:szCs w:val="32"/>
        </w:rPr>
        <w:t>、临港新片区管委会</w:t>
      </w:r>
      <w:r w:rsidRPr="00FF5200">
        <w:rPr>
          <w:rFonts w:ascii="Times New Roman" w:eastAsia="仿宋_GB2312" w:hAnsi="Times New Roman" w:cs="Times New Roman"/>
          <w:kern w:val="2"/>
          <w:sz w:val="32"/>
          <w:szCs w:val="32"/>
        </w:rPr>
        <w:t>审核确定水土保持补偿费征收额，并向缴纳义务人送达水土保持补偿费</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缴纳通知单</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缴纳通知单</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应当载明缴费依据、缴纳金额、缴纳时间和地点等事项。</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缴纳义务人应当按照缴纳通知单的规定缴纳水土保持补偿费。</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第八条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各区税务部门负责征收水行政主管部门依法核定的应交费额，收款后向缴纳义务人开具缴费凭证。</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第九条</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下列情形免征水土保持补偿费：</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（一）建设学校、幼儿园、医院、养老服务设施、孤儿院、福利院等公益性工程项目的；</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（二）农民依法利用农村集体土地新建、翻建自用住房的；</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（三）按照相关规划开展小型农田水利建设、田间土地整治建设和农村集中供水工程建设的；</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（四）建设保障性安居工程、市政生态环境保护基础设施项目的；</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lastRenderedPageBreak/>
        <w:t>（五）建设军事设施的；</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（六）按照水土保持规划开展水土流失治理活动的；</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（七）对水利水电工程建设项目，水库淹没区不在水土保持补偿费计征范围之内；</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（八）法律、行政法规和国务院规定免征水土保持补偿费的其他情形。</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第十条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任何单位和个人均不得擅自减免水土保持补偿费，不得改变水土保持补偿费征收对象、范围和标准。</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第十一条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水行政主管部门</w:t>
      </w:r>
      <w:r w:rsidRPr="00FF5200">
        <w:rPr>
          <w:rFonts w:ascii="Times New Roman" w:eastAsia="仿宋_GB2312" w:hAnsi="Times New Roman" w:cs="Times New Roman" w:hint="eastAsia"/>
          <w:kern w:val="2"/>
          <w:sz w:val="32"/>
          <w:szCs w:val="32"/>
        </w:rPr>
        <w:t>、临港新片区管委会</w:t>
      </w:r>
      <w:r w:rsidRPr="00FF5200">
        <w:rPr>
          <w:rFonts w:ascii="Times New Roman" w:eastAsia="仿宋_GB2312" w:hAnsi="Times New Roman" w:cs="Times New Roman"/>
          <w:kern w:val="2"/>
          <w:sz w:val="32"/>
          <w:szCs w:val="32"/>
        </w:rPr>
        <w:t>应当对水土保持补偿费的征收依据、征收标准、征收主体、征收程序、法律责任等进行公示。</w:t>
      </w:r>
    </w:p>
    <w:p w:rsidR="00343DA7" w:rsidRPr="00FF5200" w:rsidRDefault="00343DA7" w:rsidP="00343DA7">
      <w:pPr>
        <w:pStyle w:val="a6"/>
        <w:shd w:val="clear" w:color="auto" w:fill="FFFFFF"/>
        <w:adjustRightInd w:val="0"/>
        <w:snapToGrid w:val="0"/>
        <w:spacing w:before="150" w:beforeAutospacing="0" w:after="150" w:afterAutospacing="0" w:line="560" w:lineRule="exact"/>
        <w:jc w:val="center"/>
        <w:rPr>
          <w:rFonts w:ascii="Times New Roman" w:eastAsia="黑体" w:hAnsi="Times New Roman" w:cs="Times New Roman"/>
          <w:color w:val="000000"/>
          <w:sz w:val="32"/>
        </w:rPr>
      </w:pPr>
      <w:r w:rsidRPr="00FF5200">
        <w:rPr>
          <w:rFonts w:ascii="Times New Roman" w:eastAsia="黑体" w:hAnsi="黑体" w:cs="Times New Roman"/>
          <w:color w:val="000000"/>
          <w:sz w:val="32"/>
        </w:rPr>
        <w:t>第三章</w:t>
      </w:r>
      <w:r w:rsidRPr="00FF5200">
        <w:rPr>
          <w:rFonts w:ascii="Times New Roman" w:eastAsia="黑体" w:hAnsi="Times New Roman" w:cs="Times New Roman"/>
          <w:color w:val="000000"/>
          <w:sz w:val="32"/>
        </w:rPr>
        <w:t xml:space="preserve">   </w:t>
      </w:r>
      <w:r w:rsidRPr="00FF5200">
        <w:rPr>
          <w:rFonts w:ascii="Times New Roman" w:eastAsia="黑体" w:hAnsi="黑体" w:cs="Times New Roman"/>
          <w:color w:val="000000"/>
          <w:sz w:val="32"/>
        </w:rPr>
        <w:t>缴</w:t>
      </w:r>
      <w:r w:rsidRPr="00FF5200">
        <w:rPr>
          <w:rFonts w:ascii="Times New Roman" w:eastAsia="黑体" w:hAnsi="Times New Roman" w:cs="Times New Roman"/>
          <w:color w:val="000000"/>
          <w:sz w:val="32"/>
        </w:rPr>
        <w:t xml:space="preserve">  </w:t>
      </w:r>
      <w:r w:rsidRPr="00FF5200">
        <w:rPr>
          <w:rFonts w:ascii="Times New Roman" w:eastAsia="黑体" w:hAnsi="黑体" w:cs="Times New Roman"/>
          <w:color w:val="000000"/>
          <w:sz w:val="32"/>
        </w:rPr>
        <w:t>库</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第十二条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水土保持补偿费按照</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9</w:t>
      </w:r>
      <w:r w:rsidRPr="00FF5200">
        <w:rPr>
          <w:rFonts w:ascii="Times New Roman" w:eastAsia="仿宋_GB2312" w:hAnsi="Times New Roman" w:cs="Times New Roman"/>
          <w:kern w:val="2"/>
          <w:sz w:val="32"/>
          <w:szCs w:val="32"/>
        </w:rPr>
        <w:t>的比例分别上缴中央和地方国库。其中，市级审批（备案）水土保持方案的生产建设项目，水土保持补偿费按中央与市级</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9</w:t>
      </w:r>
      <w:r w:rsidRPr="00FF5200">
        <w:rPr>
          <w:rFonts w:ascii="Times New Roman" w:eastAsia="仿宋_GB2312" w:hAnsi="Times New Roman" w:cs="Times New Roman"/>
          <w:kern w:val="2"/>
          <w:sz w:val="32"/>
          <w:szCs w:val="32"/>
        </w:rPr>
        <w:t>的比例分级入库；区级审批（备案）水土保持方案的生产建设项目和其他生产建设活动，水土保持补偿费按中央与区级</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w:t>
      </w:r>
      <w:r w:rsidRPr="00FF5200">
        <w:rPr>
          <w:rFonts w:ascii="Times New Roman" w:eastAsia="仿宋_GB2312" w:hAnsi="Times New Roman" w:cs="Times New Roman"/>
          <w:kern w:val="2"/>
          <w:sz w:val="32"/>
          <w:szCs w:val="32"/>
        </w:rPr>
        <w:t>9</w:t>
      </w:r>
      <w:r w:rsidRPr="00FF5200">
        <w:rPr>
          <w:rFonts w:ascii="Times New Roman" w:eastAsia="仿宋_GB2312" w:hAnsi="Times New Roman" w:cs="Times New Roman"/>
          <w:kern w:val="2"/>
          <w:sz w:val="32"/>
          <w:szCs w:val="32"/>
        </w:rPr>
        <w:t>的比例分级入库。</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第十三条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水土保持补偿费实行就地缴库方式，由各级税务部门按照国库集中收缴制度等有关规定实施。</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0"/>
        <w:jc w:val="both"/>
        <w:rPr>
          <w:rFonts w:ascii="Times New Roman" w:eastAsia="仿宋_GB2312" w:hAnsi="Times New Roman" w:cs="Times New Roman"/>
          <w:kern w:val="2"/>
          <w:sz w:val="32"/>
          <w:szCs w:val="32"/>
        </w:rPr>
      </w:pPr>
      <w:r w:rsidRPr="00FF5200">
        <w:rPr>
          <w:rFonts w:ascii="Times New Roman" w:eastAsia="仿宋_GB2312" w:hAnsi="Times New Roman" w:cs="Times New Roman"/>
          <w:kern w:val="2"/>
          <w:sz w:val="32"/>
          <w:szCs w:val="32"/>
        </w:rPr>
        <w:t>资金入库后需要退库的，按照财政部门有关退库管理规定办理。其中，因缴费人误缴、税务部门误收以及汇算清缴</w:t>
      </w:r>
      <w:r w:rsidRPr="00FF5200">
        <w:rPr>
          <w:rFonts w:ascii="Times New Roman" w:eastAsia="仿宋_GB2312" w:hAnsi="Times New Roman" w:cs="Times New Roman"/>
          <w:kern w:val="2"/>
          <w:sz w:val="32"/>
          <w:szCs w:val="32"/>
        </w:rPr>
        <w:lastRenderedPageBreak/>
        <w:t>需要退库的，由税务部门审核退库，具体由缴费人直接向税务部门申请办理。</w:t>
      </w:r>
    </w:p>
    <w:p w:rsidR="00343DA7" w:rsidRPr="00FF5200"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第十四条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 xml:space="preserve"> </w:t>
      </w:r>
      <w:r w:rsidRPr="00FF5200">
        <w:rPr>
          <w:rFonts w:ascii="Times New Roman" w:eastAsia="仿宋_GB2312" w:hAnsi="Times New Roman" w:cs="Times New Roman"/>
          <w:kern w:val="2"/>
          <w:sz w:val="32"/>
          <w:szCs w:val="32"/>
        </w:rPr>
        <w:t>各级税务部门要确保将水土保持补偿费收入及时足额上缴国库，不得截留、占压、拖延上缴。</w:t>
      </w:r>
    </w:p>
    <w:p w:rsidR="00343DA7" w:rsidRPr="00A1513E" w:rsidRDefault="00343DA7" w:rsidP="00A1513E">
      <w:pPr>
        <w:pStyle w:val="a6"/>
        <w:shd w:val="clear" w:color="auto" w:fill="FFFFFF"/>
        <w:adjustRightInd w:val="0"/>
        <w:snapToGrid w:val="0"/>
        <w:spacing w:before="150" w:beforeAutospacing="0" w:after="150" w:afterAutospacing="0" w:line="560" w:lineRule="exact"/>
        <w:jc w:val="center"/>
        <w:rPr>
          <w:rFonts w:ascii="Times New Roman" w:eastAsia="黑体" w:hAnsi="黑体" w:cs="Times New Roman"/>
          <w:color w:val="000000"/>
          <w:sz w:val="32"/>
        </w:rPr>
      </w:pPr>
      <w:r w:rsidRPr="00FF5200">
        <w:rPr>
          <w:rFonts w:ascii="Times New Roman" w:eastAsia="黑体" w:hAnsi="黑体" w:cs="Times New Roman"/>
          <w:color w:val="000000"/>
          <w:sz w:val="32"/>
        </w:rPr>
        <w:t>第</w:t>
      </w:r>
      <w:r>
        <w:rPr>
          <w:rFonts w:ascii="Times New Roman" w:eastAsia="黑体" w:hAnsi="黑体" w:cs="Times New Roman" w:hint="eastAsia"/>
          <w:color w:val="000000"/>
          <w:sz w:val="32"/>
        </w:rPr>
        <w:t>四</w:t>
      </w:r>
      <w:r w:rsidRPr="00FF5200">
        <w:rPr>
          <w:rFonts w:ascii="Times New Roman" w:eastAsia="黑体" w:hAnsi="黑体" w:cs="Times New Roman"/>
          <w:color w:val="000000"/>
          <w:sz w:val="32"/>
        </w:rPr>
        <w:t>章</w:t>
      </w:r>
      <w:r w:rsidRPr="00A1513E">
        <w:rPr>
          <w:rFonts w:ascii="Times New Roman" w:eastAsia="黑体" w:hAnsi="黑体" w:cs="Times New Roman"/>
          <w:color w:val="000000"/>
          <w:sz w:val="32"/>
        </w:rPr>
        <w:t xml:space="preserve">   </w:t>
      </w:r>
      <w:r w:rsidRPr="00FF5200">
        <w:rPr>
          <w:rFonts w:ascii="Times New Roman" w:eastAsia="黑体" w:hAnsi="黑体" w:cs="Times New Roman"/>
          <w:color w:val="000000"/>
          <w:sz w:val="32"/>
        </w:rPr>
        <w:t>附</w:t>
      </w:r>
      <w:r w:rsidRPr="00A1513E">
        <w:rPr>
          <w:rFonts w:ascii="Times New Roman" w:eastAsia="黑体" w:hAnsi="黑体" w:cs="Times New Roman"/>
          <w:color w:val="000000"/>
          <w:sz w:val="32"/>
        </w:rPr>
        <w:t xml:space="preserve">  </w:t>
      </w:r>
      <w:r w:rsidRPr="00FF5200">
        <w:rPr>
          <w:rFonts w:ascii="Times New Roman" w:eastAsia="黑体" w:hAnsi="黑体" w:cs="Times New Roman"/>
          <w:color w:val="000000"/>
          <w:sz w:val="32"/>
        </w:rPr>
        <w:t>则</w:t>
      </w:r>
    </w:p>
    <w:p w:rsidR="00343DA7" w:rsidRPr="00FF5200" w:rsidRDefault="00343DA7" w:rsidP="00343DA7">
      <w:pPr>
        <w:pStyle w:val="a6"/>
        <w:shd w:val="clear" w:color="auto" w:fill="FFFFFF"/>
        <w:adjustRightInd w:val="0"/>
        <w:snapToGrid w:val="0"/>
        <w:spacing w:before="150" w:after="150" w:line="560" w:lineRule="exact"/>
        <w:ind w:firstLineChars="200" w:firstLine="643"/>
        <w:jc w:val="both"/>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w:t>
      </w:r>
      <w:r w:rsidR="00347BA1">
        <w:rPr>
          <w:rFonts w:ascii="Times New Roman" w:eastAsia="仿宋_GB2312" w:hAnsi="Times New Roman" w:cs="Times New Roman" w:hint="eastAsia"/>
          <w:b/>
          <w:kern w:val="2"/>
          <w:sz w:val="32"/>
          <w:szCs w:val="32"/>
        </w:rPr>
        <w:t>十五</w:t>
      </w:r>
      <w:r w:rsidRPr="00FF5200">
        <w:rPr>
          <w:rFonts w:ascii="Times New Roman" w:eastAsia="仿宋_GB2312" w:hAnsi="Times New Roman" w:cs="Times New Roman"/>
          <w:b/>
          <w:kern w:val="2"/>
          <w:sz w:val="32"/>
          <w:szCs w:val="32"/>
        </w:rPr>
        <w:t>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根据</w:t>
      </w:r>
      <w:r w:rsidRPr="00FF5200">
        <w:rPr>
          <w:rFonts w:ascii="Times New Roman" w:eastAsia="仿宋_GB2312" w:hAnsi="Times New Roman" w:cs="Times New Roman" w:hint="eastAsia"/>
          <w:kern w:val="2"/>
          <w:sz w:val="32"/>
          <w:szCs w:val="32"/>
        </w:rPr>
        <w:t>《水土保持补偿费征收使用管理办法》（财综〔</w:t>
      </w:r>
      <w:r w:rsidRPr="00FF5200">
        <w:rPr>
          <w:rFonts w:ascii="Times New Roman" w:eastAsia="仿宋_GB2312" w:hAnsi="Times New Roman" w:cs="Times New Roman" w:hint="eastAsia"/>
          <w:kern w:val="2"/>
          <w:sz w:val="32"/>
          <w:szCs w:val="32"/>
        </w:rPr>
        <w:t>2014</w:t>
      </w:r>
      <w:r w:rsidRPr="00FF5200">
        <w:rPr>
          <w:rFonts w:ascii="Times New Roman" w:eastAsia="仿宋_GB2312" w:hAnsi="Times New Roman" w:cs="Times New Roman" w:hint="eastAsia"/>
          <w:kern w:val="2"/>
          <w:sz w:val="32"/>
          <w:szCs w:val="32"/>
        </w:rPr>
        <w:t>〕</w:t>
      </w:r>
      <w:r w:rsidRPr="00FF5200">
        <w:rPr>
          <w:rFonts w:ascii="Times New Roman" w:eastAsia="仿宋_GB2312" w:hAnsi="Times New Roman" w:cs="Times New Roman" w:hint="eastAsia"/>
          <w:kern w:val="2"/>
          <w:sz w:val="32"/>
          <w:szCs w:val="32"/>
        </w:rPr>
        <w:t>8</w:t>
      </w:r>
      <w:r w:rsidRPr="00FF5200">
        <w:rPr>
          <w:rFonts w:ascii="Times New Roman" w:eastAsia="仿宋_GB2312" w:hAnsi="Times New Roman" w:cs="Times New Roman" w:hint="eastAsia"/>
          <w:kern w:val="2"/>
          <w:sz w:val="32"/>
          <w:szCs w:val="32"/>
        </w:rPr>
        <w:t>号），由水利部审批水土保持方案的生产建设项目，以及跨省（区、市）生产建设项目涉及上海市的区域，水土保持补偿费征收参照</w:t>
      </w:r>
      <w:r w:rsidRPr="00FF5200">
        <w:rPr>
          <w:rFonts w:ascii="Times New Roman" w:eastAsia="仿宋_GB2312" w:hAnsi="Times New Roman" w:cs="Times New Roman"/>
          <w:kern w:val="2"/>
          <w:sz w:val="32"/>
          <w:szCs w:val="32"/>
        </w:rPr>
        <w:t>市级审批</w:t>
      </w:r>
      <w:r w:rsidRPr="00FF5200">
        <w:rPr>
          <w:rFonts w:ascii="Times New Roman" w:eastAsia="仿宋_GB2312" w:hAnsi="Times New Roman" w:cs="Times New Roman" w:hint="eastAsia"/>
          <w:kern w:val="2"/>
          <w:sz w:val="32"/>
          <w:szCs w:val="32"/>
        </w:rPr>
        <w:t>项目</w:t>
      </w:r>
      <w:r w:rsidRPr="00FF5200">
        <w:rPr>
          <w:rFonts w:ascii="Times New Roman" w:eastAsia="仿宋_GB2312" w:hAnsi="Times New Roman" w:cs="Times New Roman"/>
          <w:kern w:val="2"/>
          <w:sz w:val="32"/>
          <w:szCs w:val="32"/>
        </w:rPr>
        <w:t>执行</w:t>
      </w:r>
      <w:r w:rsidRPr="00FF5200">
        <w:rPr>
          <w:rFonts w:ascii="Times New Roman" w:eastAsia="仿宋_GB2312" w:hAnsi="Times New Roman" w:cs="Times New Roman" w:hint="eastAsia"/>
          <w:kern w:val="2"/>
          <w:sz w:val="32"/>
          <w:szCs w:val="32"/>
        </w:rPr>
        <w:t>。</w:t>
      </w:r>
    </w:p>
    <w:p w:rsidR="00343DA7" w:rsidRPr="00FF5200" w:rsidRDefault="00343DA7" w:rsidP="00343DA7">
      <w:pPr>
        <w:pStyle w:val="a6"/>
        <w:shd w:val="clear" w:color="auto" w:fill="FFFFFF"/>
        <w:adjustRightInd w:val="0"/>
        <w:snapToGrid w:val="0"/>
        <w:spacing w:before="150" w:after="150" w:line="560" w:lineRule="exact"/>
        <w:ind w:firstLineChars="200" w:firstLine="643"/>
        <w:rPr>
          <w:rFonts w:ascii="Times New Roman" w:eastAsia="仿宋_GB2312" w:hAnsi="Times New Roman" w:cs="Times New Roman"/>
          <w:kern w:val="2"/>
          <w:sz w:val="32"/>
          <w:szCs w:val="32"/>
        </w:rPr>
      </w:pPr>
      <w:r w:rsidRPr="00FF5200">
        <w:rPr>
          <w:rFonts w:ascii="Times New Roman" w:eastAsia="仿宋_GB2312" w:hAnsi="Times New Roman" w:cs="Times New Roman"/>
          <w:b/>
          <w:kern w:val="2"/>
          <w:sz w:val="32"/>
          <w:szCs w:val="32"/>
        </w:rPr>
        <w:t>第</w:t>
      </w:r>
      <w:r w:rsidR="00347BA1">
        <w:rPr>
          <w:rFonts w:ascii="Times New Roman" w:eastAsia="仿宋_GB2312" w:hAnsi="Times New Roman" w:cs="Times New Roman" w:hint="eastAsia"/>
          <w:b/>
          <w:kern w:val="2"/>
          <w:sz w:val="32"/>
          <w:szCs w:val="32"/>
        </w:rPr>
        <w:t>十六</w:t>
      </w:r>
      <w:r w:rsidRPr="00FF5200">
        <w:rPr>
          <w:rFonts w:ascii="Times New Roman" w:eastAsia="仿宋_GB2312" w:hAnsi="Times New Roman" w:cs="Times New Roman"/>
          <w:b/>
          <w:kern w:val="2"/>
          <w:sz w:val="32"/>
          <w:szCs w:val="32"/>
        </w:rPr>
        <w:t>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本办法由国家税务总局上海市税务局、上海市水务局负责解释。</w:t>
      </w:r>
    </w:p>
    <w:p w:rsidR="00343DA7" w:rsidRPr="00352DAE" w:rsidRDefault="00343DA7" w:rsidP="00343DA7">
      <w:pPr>
        <w:pStyle w:val="a6"/>
        <w:shd w:val="clear" w:color="auto" w:fill="FFFFFF"/>
        <w:adjustRightInd w:val="0"/>
        <w:snapToGrid w:val="0"/>
        <w:spacing w:before="150" w:beforeAutospacing="0" w:after="150" w:afterAutospacing="0" w:line="560" w:lineRule="exact"/>
        <w:ind w:firstLineChars="200" w:firstLine="643"/>
        <w:jc w:val="both"/>
        <w:rPr>
          <w:rFonts w:ascii="Times New Roman" w:eastAsia="仿宋_GB2312" w:hAnsi="Times New Roman" w:cs="Times New Roman"/>
          <w:sz w:val="32"/>
          <w:szCs w:val="32"/>
        </w:rPr>
      </w:pPr>
      <w:r w:rsidRPr="00FF5200">
        <w:rPr>
          <w:rFonts w:ascii="Times New Roman" w:eastAsia="仿宋_GB2312" w:hAnsi="Times New Roman" w:cs="Times New Roman"/>
          <w:b/>
          <w:kern w:val="2"/>
          <w:sz w:val="32"/>
          <w:szCs w:val="32"/>
        </w:rPr>
        <w:t>第</w:t>
      </w:r>
      <w:r w:rsidR="00347BA1">
        <w:rPr>
          <w:rFonts w:ascii="Times New Roman" w:eastAsia="仿宋_GB2312" w:hAnsi="Times New Roman" w:cs="Times New Roman" w:hint="eastAsia"/>
          <w:b/>
          <w:kern w:val="2"/>
          <w:sz w:val="32"/>
          <w:szCs w:val="32"/>
        </w:rPr>
        <w:t>十七</w:t>
      </w:r>
      <w:bookmarkStart w:id="0" w:name="_GoBack"/>
      <w:bookmarkEnd w:id="0"/>
      <w:r w:rsidRPr="00FF5200">
        <w:rPr>
          <w:rFonts w:ascii="Times New Roman" w:eastAsia="仿宋_GB2312" w:hAnsi="Times New Roman" w:cs="Times New Roman"/>
          <w:b/>
          <w:kern w:val="2"/>
          <w:sz w:val="32"/>
          <w:szCs w:val="32"/>
        </w:rPr>
        <w:t>条</w:t>
      </w:r>
      <w:r w:rsidRPr="00FF5200">
        <w:rPr>
          <w:rFonts w:ascii="Times New Roman" w:eastAsia="仿宋_GB2312" w:hAnsi="Times New Roman" w:cs="Times New Roman"/>
          <w:b/>
          <w:kern w:val="2"/>
          <w:sz w:val="32"/>
          <w:szCs w:val="32"/>
        </w:rPr>
        <w:t xml:space="preserve">  </w:t>
      </w:r>
      <w:r w:rsidRPr="00FF5200">
        <w:rPr>
          <w:rFonts w:ascii="Times New Roman" w:eastAsia="仿宋_GB2312" w:hAnsi="Times New Roman" w:cs="Times New Roman"/>
          <w:kern w:val="2"/>
          <w:sz w:val="32"/>
          <w:szCs w:val="32"/>
        </w:rPr>
        <w:t>本办法自</w:t>
      </w:r>
      <w:r w:rsidRPr="00FF5200">
        <w:rPr>
          <w:rFonts w:ascii="Times New Roman" w:eastAsia="仿宋_GB2312" w:hAnsi="Times New Roman" w:cs="Times New Roman"/>
          <w:kern w:val="2"/>
          <w:sz w:val="32"/>
          <w:szCs w:val="32"/>
        </w:rPr>
        <w:t>2021</w:t>
      </w:r>
      <w:r w:rsidRPr="00FF5200">
        <w:rPr>
          <w:rFonts w:ascii="Times New Roman" w:eastAsia="仿宋_GB2312" w:hAnsi="Times New Roman" w:cs="Times New Roman"/>
          <w:kern w:val="2"/>
          <w:sz w:val="32"/>
          <w:szCs w:val="32"/>
        </w:rPr>
        <w:t>年</w:t>
      </w:r>
      <w:r w:rsidRPr="00FF5200">
        <w:rPr>
          <w:rFonts w:ascii="Times New Roman" w:eastAsia="仿宋_GB2312" w:hAnsi="Times New Roman" w:cs="Times New Roman"/>
          <w:kern w:val="2"/>
          <w:sz w:val="32"/>
          <w:szCs w:val="32"/>
        </w:rPr>
        <w:t>9</w:t>
      </w:r>
      <w:r w:rsidRPr="00FF5200">
        <w:rPr>
          <w:rFonts w:ascii="Times New Roman" w:eastAsia="仿宋_GB2312" w:hAnsi="Times New Roman" w:cs="Times New Roman"/>
          <w:kern w:val="2"/>
          <w:sz w:val="32"/>
          <w:szCs w:val="32"/>
        </w:rPr>
        <w:t>月</w:t>
      </w:r>
      <w:r w:rsidRPr="00FF5200">
        <w:rPr>
          <w:rFonts w:ascii="Times New Roman" w:eastAsia="仿宋_GB2312" w:hAnsi="Times New Roman" w:cs="Times New Roman"/>
          <w:kern w:val="2"/>
          <w:sz w:val="32"/>
          <w:szCs w:val="32"/>
        </w:rPr>
        <w:t>1</w:t>
      </w:r>
      <w:r w:rsidRPr="00FF5200">
        <w:rPr>
          <w:rFonts w:ascii="Times New Roman" w:eastAsia="仿宋_GB2312" w:hAnsi="Times New Roman" w:cs="Times New Roman"/>
          <w:kern w:val="2"/>
          <w:sz w:val="32"/>
          <w:szCs w:val="32"/>
        </w:rPr>
        <w:t>日起施行</w:t>
      </w:r>
      <w:r w:rsidRPr="00FF5200">
        <w:rPr>
          <w:rFonts w:ascii="Times New Roman" w:eastAsia="仿宋_GB2312" w:hAnsi="Times New Roman" w:cs="Times New Roman" w:hint="eastAsia"/>
          <w:kern w:val="2"/>
          <w:sz w:val="32"/>
          <w:szCs w:val="32"/>
        </w:rPr>
        <w:t>。自</w:t>
      </w:r>
      <w:r w:rsidRPr="00FF5200">
        <w:rPr>
          <w:rFonts w:ascii="Times New Roman" w:eastAsia="仿宋_GB2312" w:hAnsi="Times New Roman" w:cs="Times New Roman" w:hint="eastAsia"/>
          <w:kern w:val="2"/>
          <w:sz w:val="32"/>
          <w:szCs w:val="32"/>
        </w:rPr>
        <w:t>9</w:t>
      </w:r>
      <w:r w:rsidRPr="00FF5200">
        <w:rPr>
          <w:rFonts w:ascii="Times New Roman" w:eastAsia="仿宋_GB2312" w:hAnsi="Times New Roman" w:cs="Times New Roman" w:hint="eastAsia"/>
          <w:kern w:val="2"/>
          <w:sz w:val="32"/>
          <w:szCs w:val="32"/>
        </w:rPr>
        <w:t>月</w:t>
      </w:r>
      <w:r w:rsidRPr="00FF5200">
        <w:rPr>
          <w:rFonts w:ascii="Times New Roman" w:eastAsia="仿宋_GB2312" w:hAnsi="Times New Roman" w:cs="Times New Roman" w:hint="eastAsia"/>
          <w:kern w:val="2"/>
          <w:sz w:val="32"/>
          <w:szCs w:val="32"/>
        </w:rPr>
        <w:t>1</w:t>
      </w:r>
      <w:r w:rsidRPr="00FF5200">
        <w:rPr>
          <w:rFonts w:ascii="Times New Roman" w:eastAsia="仿宋_GB2312" w:hAnsi="Times New Roman" w:cs="Times New Roman" w:hint="eastAsia"/>
          <w:kern w:val="2"/>
          <w:sz w:val="32"/>
          <w:szCs w:val="32"/>
        </w:rPr>
        <w:t>日起受理的生产建设项目水土保持方案行政许可项目按照本办法执行</w:t>
      </w:r>
      <w:r w:rsidRPr="00FF5200">
        <w:rPr>
          <w:rFonts w:ascii="Times New Roman" w:eastAsia="仿宋_GB2312" w:hAnsi="Times New Roman" w:cs="Times New Roman"/>
          <w:kern w:val="2"/>
          <w:sz w:val="32"/>
          <w:szCs w:val="32"/>
        </w:rPr>
        <w:t>。</w:t>
      </w:r>
    </w:p>
    <w:p w:rsidR="007D5477" w:rsidRPr="00343DA7" w:rsidRDefault="007D5477" w:rsidP="00343DA7">
      <w:pPr>
        <w:pStyle w:val="a6"/>
        <w:shd w:val="clear" w:color="auto" w:fill="FFFFFF"/>
        <w:adjustRightInd w:val="0"/>
        <w:snapToGrid w:val="0"/>
        <w:spacing w:before="150" w:beforeAutospacing="0" w:after="150" w:afterAutospacing="0" w:line="560" w:lineRule="exact"/>
        <w:jc w:val="center"/>
        <w:outlineLvl w:val="0"/>
        <w:rPr>
          <w:rFonts w:ascii="Times New Roman" w:eastAsia="仿宋_GB2312" w:hAnsi="Times New Roman" w:cs="Times New Roman"/>
          <w:sz w:val="32"/>
          <w:szCs w:val="32"/>
        </w:rPr>
      </w:pPr>
    </w:p>
    <w:sectPr w:rsidR="007D5477" w:rsidRPr="00343D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5DB" w:rsidRDefault="00F415DB" w:rsidP="00F95190">
      <w:r>
        <w:separator/>
      </w:r>
    </w:p>
  </w:endnote>
  <w:endnote w:type="continuationSeparator" w:id="0">
    <w:p w:rsidR="00F415DB" w:rsidRDefault="00F415DB" w:rsidP="00F9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5DB" w:rsidRDefault="00F415DB" w:rsidP="00F95190">
      <w:r>
        <w:separator/>
      </w:r>
    </w:p>
  </w:footnote>
  <w:footnote w:type="continuationSeparator" w:id="0">
    <w:p w:rsidR="00F415DB" w:rsidRDefault="00F415DB" w:rsidP="00F95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93"/>
    <w:rsid w:val="00343DA7"/>
    <w:rsid w:val="00347BA1"/>
    <w:rsid w:val="00371A42"/>
    <w:rsid w:val="007D5477"/>
    <w:rsid w:val="008F3134"/>
    <w:rsid w:val="00A1513E"/>
    <w:rsid w:val="00C75060"/>
    <w:rsid w:val="00CE7468"/>
    <w:rsid w:val="00DB1AFB"/>
    <w:rsid w:val="00DB5E93"/>
    <w:rsid w:val="00E568CE"/>
    <w:rsid w:val="00EA765F"/>
    <w:rsid w:val="00F415DB"/>
    <w:rsid w:val="00F9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2348A8-CC3A-42D2-93F6-141D0FC4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EA765F"/>
    <w:rPr>
      <w:rFonts w:ascii="Times New Roman" w:eastAsia="宋体" w:hAnsi="Times New Roman"/>
    </w:rPr>
  </w:style>
  <w:style w:type="paragraph" w:styleId="a3">
    <w:name w:val="List Paragraph"/>
    <w:basedOn w:val="a"/>
    <w:uiPriority w:val="34"/>
    <w:qFormat/>
    <w:rsid w:val="00EA765F"/>
    <w:pPr>
      <w:ind w:firstLineChars="200" w:firstLine="420"/>
    </w:pPr>
  </w:style>
  <w:style w:type="character" w:styleId="a4">
    <w:name w:val="Hyperlink"/>
    <w:basedOn w:val="a0"/>
    <w:uiPriority w:val="99"/>
    <w:unhideWhenUsed/>
    <w:rsid w:val="00EA765F"/>
    <w:rPr>
      <w:color w:val="0563C1" w:themeColor="hyperlink"/>
      <w:u w:val="single"/>
    </w:rPr>
  </w:style>
  <w:style w:type="paragraph" w:styleId="a5">
    <w:name w:val="Date"/>
    <w:basedOn w:val="a"/>
    <w:next w:val="a"/>
    <w:link w:val="Char"/>
    <w:uiPriority w:val="99"/>
    <w:semiHidden/>
    <w:unhideWhenUsed/>
    <w:rsid w:val="00EA765F"/>
    <w:pPr>
      <w:ind w:leftChars="2500" w:left="100"/>
    </w:pPr>
  </w:style>
  <w:style w:type="character" w:customStyle="1" w:styleId="Char">
    <w:name w:val="日期 Char"/>
    <w:basedOn w:val="a0"/>
    <w:link w:val="a5"/>
    <w:uiPriority w:val="99"/>
    <w:semiHidden/>
    <w:rsid w:val="00EA765F"/>
  </w:style>
  <w:style w:type="paragraph" w:styleId="a6">
    <w:name w:val="Normal (Web)"/>
    <w:basedOn w:val="a"/>
    <w:uiPriority w:val="99"/>
    <w:unhideWhenUsed/>
    <w:rsid w:val="007D5477"/>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F951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95190"/>
    <w:rPr>
      <w:sz w:val="18"/>
      <w:szCs w:val="18"/>
    </w:rPr>
  </w:style>
  <w:style w:type="paragraph" w:styleId="a8">
    <w:name w:val="footer"/>
    <w:basedOn w:val="a"/>
    <w:link w:val="Char1"/>
    <w:uiPriority w:val="99"/>
    <w:unhideWhenUsed/>
    <w:rsid w:val="00F95190"/>
    <w:pPr>
      <w:tabs>
        <w:tab w:val="center" w:pos="4153"/>
        <w:tab w:val="right" w:pos="8306"/>
      </w:tabs>
      <w:snapToGrid w:val="0"/>
      <w:jc w:val="left"/>
    </w:pPr>
    <w:rPr>
      <w:sz w:val="18"/>
      <w:szCs w:val="18"/>
    </w:rPr>
  </w:style>
  <w:style w:type="character" w:customStyle="1" w:styleId="Char1">
    <w:name w:val="页脚 Char"/>
    <w:basedOn w:val="a0"/>
    <w:link w:val="a8"/>
    <w:uiPriority w:val="99"/>
    <w:rsid w:val="00F95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赵杰</dc:creator>
  <cp:keywords/>
  <dc:description/>
  <cp:lastModifiedBy>赵杰</cp:lastModifiedBy>
  <cp:revision>9</cp:revision>
  <dcterms:created xsi:type="dcterms:W3CDTF">2021-10-20T11:43:00Z</dcterms:created>
  <dcterms:modified xsi:type="dcterms:W3CDTF">2021-10-20T13:42:00Z</dcterms:modified>
</cp:coreProperties>
</file>