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hAnsiTheme="minorHAnsi" w:cstheme="minorBidi"/>
          <w:sz w:val="44"/>
          <w:szCs w:val="44"/>
          <w:lang w:eastAsia="zh-CN"/>
        </w:rPr>
      </w:pPr>
      <w:r>
        <w:rPr>
          <w:rFonts w:hint="eastAsia" w:ascii="方正小标宋简体" w:eastAsia="方正小标宋简体" w:hAnsiTheme="minorHAnsi" w:cstheme="minorBidi"/>
          <w:sz w:val="44"/>
          <w:szCs w:val="44"/>
          <w:lang w:eastAsia="zh-CN"/>
        </w:rPr>
        <w:t>上海市水务局 上海市城市管理行政执法局关于落实《长江三角洲地区长江干流区域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lang w:eastAsia="zh-CN"/>
        </w:rPr>
        <w:t>水行政执法协作机制</w:t>
      </w:r>
      <w:r>
        <w:rPr>
          <w:rFonts w:hint="eastAsia" w:ascii="方正小标宋简体" w:eastAsia="方正小标宋简体" w:hAnsiTheme="minorHAnsi" w:cstheme="minorBidi"/>
          <w:sz w:val="44"/>
          <w:szCs w:val="44"/>
          <w:lang w:val="en-US" w:eastAsia="zh-CN"/>
        </w:rPr>
        <w:t>2025年度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lang w:val="en-US" w:eastAsia="zh-CN"/>
        </w:rPr>
        <w:t>重点工作计划</w:t>
      </w:r>
      <w:r>
        <w:rPr>
          <w:rFonts w:hint="eastAsia" w:ascii="方正小标宋简体" w:eastAsia="方正小标宋简体" w:hAnsiTheme="minorHAnsi" w:cstheme="minorBidi"/>
          <w:sz w:val="44"/>
          <w:szCs w:val="44"/>
          <w:lang w:eastAsia="zh-CN"/>
        </w:rPr>
        <w:t>》</w:t>
      </w:r>
      <w:r>
        <w:rPr>
          <w:rFonts w:hint="eastAsia" w:ascii="方正小标宋简体" w:eastAsia="方正小标宋简体" w:hAnsiTheme="minorHAnsi" w:cstheme="minorBidi"/>
          <w:sz w:val="44"/>
          <w:szCs w:val="44"/>
        </w:rPr>
        <w:t>的</w:t>
      </w:r>
      <w:r>
        <w:rPr>
          <w:rFonts w:hint="eastAsia" w:ascii="方正小标宋简体" w:eastAsia="方正小标宋简体" w:hAnsiTheme="minorHAnsi" w:cstheme="minorBidi"/>
          <w:sz w:val="44"/>
          <w:szCs w:val="44"/>
          <w:lang w:eastAsia="zh-CN"/>
        </w:rPr>
        <w:t>实施</w:t>
      </w:r>
      <w:r>
        <w:rPr>
          <w:rFonts w:hint="eastAsia" w:ascii="方正小标宋简体" w:eastAsia="方正小标宋简体" w:hAnsiTheme="minorHAnsi" w:cstheme="minorBidi"/>
          <w:sz w:val="44"/>
          <w:szCs w:val="44"/>
        </w:rPr>
        <w:t>方案</w:t>
      </w:r>
    </w:p>
    <w:p>
      <w:pPr>
        <w:keepNext w:val="0"/>
        <w:keepLines w:val="0"/>
        <w:pageBreakBefore w:val="0"/>
        <w:widowControl w:val="0"/>
        <w:kinsoku/>
        <w:wordWrap/>
        <w:overflowPunct/>
        <w:topLinePunct w:val="0"/>
        <w:autoSpaceDE/>
        <w:autoSpaceDN/>
        <w:bidi w:val="0"/>
        <w:adjustRightInd/>
        <w:snapToGrid/>
        <w:spacing w:line="720" w:lineRule="exact"/>
        <w:ind w:firstLine="6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olor w:val="000000"/>
          <w:sz w:val="32"/>
          <w:szCs w:val="32"/>
        </w:rPr>
        <w:t>为</w:t>
      </w:r>
      <w:r>
        <w:rPr>
          <w:rFonts w:ascii="Times New Roman" w:hAnsi="Times New Roman" w:eastAsia="仿宋_GB2312"/>
          <w:color w:val="000000"/>
          <w:sz w:val="32"/>
          <w:szCs w:val="32"/>
        </w:rPr>
        <w:t>践行习近平总书记</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节水优先、空间均衡、系统治理、两手发力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治水思路和关于治水重要论述精神，服务长江经济带发展和长三角一体化发展战略</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切实推动《中华人民共和国长江保护法》等法律法规落地见效，</w:t>
      </w:r>
      <w:r>
        <w:rPr>
          <w:rFonts w:hint="default" w:ascii="Times New Roman" w:hAnsi="Times New Roman" w:eastAsia="仿宋_GB2312"/>
          <w:color w:val="000000"/>
          <w:sz w:val="32"/>
          <w:szCs w:val="32"/>
        </w:rPr>
        <w:t>强化流域体制机制法治管理，加强水行政执法协作，提升执法监管效能，深化</w:t>
      </w:r>
      <w:r>
        <w:rPr>
          <w:rFonts w:hint="default" w:ascii="Times New Roman" w:hAnsi="Times New Roman" w:eastAsia="仿宋_GB2312" w:cs="Times New Roman"/>
          <w:color w:val="000000"/>
          <w:sz w:val="32"/>
          <w:szCs w:val="32"/>
        </w:rPr>
        <w:t>长江三角洲地区长江干流区域水行政执法协作</w:t>
      </w:r>
      <w:r>
        <w:rPr>
          <w:rFonts w:hint="eastAsia" w:ascii="Times New Roman" w:hAnsi="Times New Roman" w:eastAsia="仿宋_GB2312" w:cs="Times New Roman"/>
          <w:color w:val="000000"/>
          <w:sz w:val="32"/>
          <w:szCs w:val="32"/>
          <w:lang w:eastAsia="zh-CN"/>
        </w:rPr>
        <w:t>机制</w:t>
      </w:r>
      <w:r>
        <w:rPr>
          <w:rFonts w:hint="eastAsia" w:ascii="Times New Roman" w:hAnsi="Times New Roman" w:eastAsia="仿宋_GB2312"/>
          <w:color w:val="000000"/>
          <w:sz w:val="32"/>
          <w:szCs w:val="32"/>
          <w:lang w:val="en-US" w:eastAsia="zh-CN"/>
        </w:rPr>
        <w:t>（以下简称“协作机制”）</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有效落实《长江三角洲地区长江干流区域水行政执法协作机</w:t>
      </w:r>
      <w:r>
        <w:rPr>
          <w:rFonts w:hint="eastAsia" w:ascii="仿宋_GB2312" w:hAnsi="仿宋_GB2312" w:eastAsia="仿宋_GB2312" w:cs="仿宋_GB2312"/>
          <w:color w:val="000000"/>
          <w:sz w:val="32"/>
          <w:szCs w:val="32"/>
          <w:lang w:eastAsia="zh-CN"/>
        </w:rPr>
        <w:t>制</w:t>
      </w:r>
      <w:r>
        <w:rPr>
          <w:rFonts w:hint="eastAsia" w:ascii="仿宋_GB2312" w:hAnsi="仿宋_GB2312" w:eastAsia="仿宋_GB2312" w:cs="仿宋_GB2312"/>
          <w:color w:val="000000"/>
          <w:sz w:val="32"/>
          <w:szCs w:val="32"/>
          <w:lang w:val="en-US" w:eastAsia="zh-CN"/>
        </w:rPr>
        <w:t>2025年</w:t>
      </w:r>
      <w:r>
        <w:rPr>
          <w:rFonts w:hint="eastAsia" w:ascii="Times New Roman" w:hAnsi="Times New Roman" w:eastAsia="仿宋_GB2312" w:cs="Times New Roman"/>
          <w:color w:val="000000"/>
          <w:sz w:val="32"/>
          <w:szCs w:val="32"/>
          <w:lang w:val="en-US" w:eastAsia="zh-CN"/>
        </w:rPr>
        <w:t>度重点工作计划</w:t>
      </w:r>
      <w:r>
        <w:rPr>
          <w:rFonts w:hint="eastAsia" w:ascii="Times New Roman" w:hAnsi="Times New Roman" w:eastAsia="仿宋_GB2312" w:cs="Times New Roman"/>
          <w:color w:val="000000"/>
          <w:sz w:val="32"/>
          <w:szCs w:val="32"/>
          <w:lang w:eastAsia="zh-CN"/>
        </w:rPr>
        <w:t>》文件要求，结合本市水务行业管理执法工作实际，</w:t>
      </w:r>
      <w:r>
        <w:rPr>
          <w:rFonts w:hint="default" w:ascii="Times New Roman" w:hAnsi="Times New Roman" w:eastAsia="仿宋_GB2312" w:cs="Times New Roman"/>
          <w:color w:val="000000"/>
          <w:sz w:val="32"/>
          <w:szCs w:val="32"/>
        </w:rPr>
        <w:t>市水务局</w:t>
      </w:r>
      <w:r>
        <w:rPr>
          <w:rFonts w:hint="eastAsia"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rPr>
        <w:t>市城管执法局</w:t>
      </w:r>
      <w:r>
        <w:rPr>
          <w:rFonts w:hint="eastAsia" w:ascii="Times New Roman" w:hAnsi="Times New Roman" w:eastAsia="仿宋_GB2312" w:cs="Times New Roman"/>
          <w:color w:val="000000"/>
          <w:sz w:val="32"/>
          <w:szCs w:val="32"/>
          <w:lang w:eastAsia="zh-CN"/>
        </w:rPr>
        <w:t>联合制定本</w:t>
      </w:r>
      <w:r>
        <w:rPr>
          <w:rFonts w:hint="default" w:ascii="Times New Roman" w:hAnsi="Times New Roman" w:eastAsia="仿宋_GB2312" w:cs="Times New Roman"/>
          <w:color w:val="000000"/>
          <w:sz w:val="32"/>
          <w:szCs w:val="32"/>
        </w:rPr>
        <w:t>工作</w:t>
      </w:r>
      <w:r>
        <w:rPr>
          <w:rFonts w:hint="eastAsia" w:ascii="Times New Roman" w:hAnsi="Times New Roman" w:eastAsia="仿宋_GB2312" w:cs="Times New Roman"/>
          <w:color w:val="000000"/>
          <w:sz w:val="32"/>
          <w:szCs w:val="32"/>
          <w:lang w:eastAsia="zh-CN"/>
        </w:rPr>
        <w:t>方案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Calibri"/>
          <w:bCs/>
          <w:color w:val="000000"/>
          <w:sz w:val="32"/>
          <w:szCs w:val="32"/>
          <w:lang w:eastAsia="zh-CN"/>
        </w:rPr>
      </w:pPr>
      <w:r>
        <w:rPr>
          <w:rFonts w:hint="eastAsia" w:ascii="黑体" w:hAnsi="黑体" w:eastAsia="黑体" w:cs="Calibri"/>
          <w:bCs/>
          <w:sz w:val="32"/>
          <w:szCs w:val="32"/>
          <w:lang w:eastAsia="zh-CN"/>
        </w:rPr>
        <w:t>一、</w:t>
      </w:r>
      <w:r>
        <w:rPr>
          <w:rFonts w:hint="eastAsia" w:ascii="黑体" w:hAnsi="黑体" w:eastAsia="黑体" w:cs="Calibri"/>
          <w:bCs/>
          <w:color w:val="000000"/>
          <w:sz w:val="32"/>
          <w:szCs w:val="32"/>
          <w:lang w:eastAsia="zh-CN"/>
        </w:rPr>
        <w:t>区域范围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auto"/>
          <w:sz w:val="32"/>
          <w:szCs w:val="32"/>
          <w:highlight w:val="none"/>
          <w:lang w:val="en-US" w:eastAsia="zh-CN"/>
        </w:rPr>
        <w:t>长江干流上海市行政区域范围内，涉及本市浦东新区、宝山区、崇明区。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、组织领导和责任分工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default" w:ascii="Times New Roman" w:hAnsi="Times New Roman" w:eastAsia="仿宋_GB2312" w:cs="Times New Roman"/>
          <w:color w:val="000000"/>
          <w:sz w:val="32"/>
          <w:szCs w:val="32"/>
        </w:rPr>
        <w:t>市水务局</w:t>
      </w:r>
      <w:r>
        <w:rPr>
          <w:rFonts w:hint="eastAsia"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rPr>
        <w:t>市城管执法局</w:t>
      </w:r>
      <w:r>
        <w:rPr>
          <w:rFonts w:hint="eastAsia" w:ascii="仿宋_GB2312" w:eastAsia="仿宋_GB2312"/>
          <w:sz w:val="32"/>
          <w:szCs w:val="32"/>
        </w:rPr>
        <w:t>负责统一部署</w:t>
      </w:r>
      <w:r>
        <w:rPr>
          <w:rFonts w:hint="eastAsia" w:ascii="仿宋_GB2312" w:eastAsia="仿宋_GB2312"/>
          <w:sz w:val="32"/>
          <w:szCs w:val="32"/>
          <w:lang w:eastAsia="zh-CN"/>
        </w:rPr>
        <w:t>、组织现场调研，相关处室组织开展</w:t>
      </w:r>
      <w:r>
        <w:rPr>
          <w:rFonts w:hint="eastAsia" w:ascii="仿宋_GB2312" w:eastAsia="仿宋_GB2312"/>
          <w:sz w:val="32"/>
          <w:szCs w:val="32"/>
        </w:rPr>
        <w:t>集中培训</w:t>
      </w:r>
      <w:r>
        <w:rPr>
          <w:rFonts w:hint="eastAsia" w:ascii="仿宋_GB2312" w:eastAsia="仿宋_GB2312"/>
          <w:sz w:val="32"/>
          <w:szCs w:val="32"/>
          <w:lang w:eastAsia="zh-CN"/>
        </w:rPr>
        <w:t>、</w:t>
      </w:r>
      <w:r>
        <w:rPr>
          <w:rFonts w:hint="eastAsia" w:ascii="仿宋_GB2312" w:eastAsia="仿宋_GB2312"/>
          <w:sz w:val="32"/>
          <w:szCs w:val="32"/>
        </w:rPr>
        <w:t>案卷评查</w:t>
      </w:r>
      <w:r>
        <w:rPr>
          <w:rFonts w:hint="eastAsia" w:ascii="仿宋_GB2312" w:eastAsia="仿宋_GB2312"/>
          <w:sz w:val="32"/>
          <w:szCs w:val="32"/>
          <w:lang w:eastAsia="zh-CN"/>
        </w:rPr>
        <w:t>等相关工作。根据《上海市人民政府办公厅关于规范本市涉企行政检查的实施意见》，全面推行“检查码”的运用，促进严格规范公正文明执法。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olor w:val="000000"/>
          <w:sz w:val="32"/>
          <w:szCs w:val="32"/>
          <w:lang w:eastAsia="zh-CN"/>
        </w:rPr>
        <w:t>市水务局</w:t>
      </w:r>
      <w:r>
        <w:rPr>
          <w:rFonts w:hint="eastAsia" w:ascii="仿宋_GB2312" w:eastAsia="仿宋_GB2312"/>
          <w:sz w:val="32"/>
          <w:szCs w:val="32"/>
          <w:lang w:val="en" w:eastAsia="zh-CN"/>
        </w:rPr>
        <w:t>行政服务中心，市水利管理事务中心，</w:t>
      </w:r>
      <w:r>
        <w:rPr>
          <w:rFonts w:hint="eastAsia" w:ascii="仿宋_GB2312" w:hAnsi="华文中宋" w:eastAsia="仿宋_GB2312"/>
          <w:spacing w:val="-12"/>
          <w:sz w:val="32"/>
          <w:szCs w:val="32"/>
        </w:rPr>
        <w:t>市堤防泵闸</w:t>
      </w:r>
      <w:r>
        <w:rPr>
          <w:rFonts w:hint="eastAsia" w:ascii="仿宋_GB2312" w:hAnsi="华文中宋" w:eastAsia="仿宋_GB2312"/>
          <w:spacing w:val="-12"/>
          <w:sz w:val="32"/>
          <w:szCs w:val="32"/>
          <w:lang w:eastAsia="zh-CN"/>
        </w:rPr>
        <w:t>建设运行中心</w:t>
      </w:r>
      <w:r>
        <w:rPr>
          <w:rFonts w:hint="eastAsia" w:ascii="仿宋_GB2312" w:eastAsia="仿宋_GB2312"/>
          <w:sz w:val="32"/>
          <w:szCs w:val="32"/>
        </w:rPr>
        <w:t>牵头，</w:t>
      </w:r>
      <w:r>
        <w:rPr>
          <w:rFonts w:hint="eastAsia" w:ascii="仿宋_GB2312" w:eastAsia="仿宋_GB2312"/>
          <w:sz w:val="32"/>
          <w:szCs w:val="32"/>
          <w:lang w:eastAsia="zh-CN"/>
        </w:rPr>
        <w:t>相关区水务局落实属地责任</w:t>
      </w:r>
      <w:r>
        <w:rPr>
          <w:rFonts w:hint="eastAsia" w:ascii="仿宋_GB2312" w:eastAsia="仿宋_GB2312"/>
          <w:sz w:val="32"/>
          <w:szCs w:val="32"/>
        </w:rPr>
        <w:t>，负责辖区内</w:t>
      </w:r>
      <w:r>
        <w:rPr>
          <w:rFonts w:hint="eastAsia" w:ascii="仿宋_GB2312" w:eastAsia="仿宋_GB2312"/>
          <w:sz w:val="32"/>
          <w:szCs w:val="32"/>
          <w:lang w:eastAsia="zh-CN"/>
        </w:rPr>
        <w:t>日常监管及问题线索排查。对涉及水行政执法相关</w:t>
      </w:r>
      <w:r>
        <w:rPr>
          <w:rFonts w:hint="eastAsia" w:ascii="仿宋_GB2312" w:eastAsia="仿宋_GB2312"/>
          <w:sz w:val="32"/>
          <w:szCs w:val="32"/>
        </w:rPr>
        <w:t>违法行为</w:t>
      </w:r>
      <w:r>
        <w:rPr>
          <w:rFonts w:hint="eastAsia" w:ascii="仿宋_GB2312" w:eastAsia="仿宋_GB2312"/>
          <w:sz w:val="32"/>
          <w:szCs w:val="32"/>
          <w:lang w:eastAsia="zh-CN"/>
        </w:rPr>
        <w:t>根据执法职责分工及时移送市水务局</w:t>
      </w:r>
      <w:r>
        <w:rPr>
          <w:rFonts w:hint="eastAsia" w:ascii="仿宋_GB2312" w:eastAsia="仿宋_GB2312"/>
          <w:sz w:val="32"/>
          <w:szCs w:val="32"/>
        </w:rPr>
        <w:t>执法</w:t>
      </w:r>
      <w:r>
        <w:rPr>
          <w:rFonts w:hint="eastAsia" w:ascii="仿宋_GB2312" w:eastAsia="仿宋_GB2312"/>
          <w:sz w:val="32"/>
          <w:szCs w:val="32"/>
          <w:lang w:eastAsia="zh-CN"/>
        </w:rPr>
        <w:t>总队、</w:t>
      </w:r>
      <w:r>
        <w:rPr>
          <w:rFonts w:hint="eastAsia" w:ascii="Times New Roman" w:hAnsi="Times New Roman" w:eastAsia="仿宋_GB2312"/>
          <w:color w:val="000000"/>
          <w:sz w:val="32"/>
          <w:szCs w:val="32"/>
          <w:lang w:eastAsia="zh-CN"/>
        </w:rPr>
        <w:t>市城管执法局执法总队</w:t>
      </w:r>
      <w:r>
        <w:rPr>
          <w:rFonts w:hint="eastAsia" w:ascii="仿宋_GB2312" w:eastAsia="仿宋_GB2312"/>
          <w:sz w:val="32"/>
          <w:szCs w:val="32"/>
          <w:lang w:eastAsia="zh-CN"/>
        </w:rPr>
        <w:t>及相关区城管执法局</w:t>
      </w:r>
      <w:r>
        <w:rPr>
          <w:rFonts w:hint="eastAsia" w:ascii="仿宋_GB2312" w:eastAsia="仿宋_GB2312"/>
          <w:sz w:val="32"/>
          <w:szCs w:val="32"/>
        </w:rPr>
        <w:t>予以执法查处。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市水务局执法总队、</w:t>
      </w:r>
      <w:r>
        <w:rPr>
          <w:rFonts w:hint="eastAsia" w:ascii="Times New Roman" w:hAnsi="Times New Roman" w:eastAsia="仿宋_GB2312"/>
          <w:color w:val="000000"/>
          <w:sz w:val="32"/>
          <w:szCs w:val="32"/>
          <w:lang w:eastAsia="zh-CN"/>
        </w:rPr>
        <w:t>市城管执法局执法总队</w:t>
      </w:r>
      <w:r>
        <w:rPr>
          <w:rFonts w:hint="eastAsia" w:ascii="仿宋_GB2312" w:eastAsia="仿宋_GB2312"/>
          <w:sz w:val="32"/>
          <w:szCs w:val="32"/>
          <w:lang w:eastAsia="zh-CN"/>
        </w:rPr>
        <w:t>及相关区城管执法局通过日常执法检查、专项执法检查、联合执法等方式，查处相关违法案件，并根据“谁执法谁普法”普法责任制的要求，开展相关普法宣传。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textAlignment w:val="auto"/>
        <w:rPr>
          <w:rFonts w:hint="default" w:ascii="Times New Roman" w:hAnsi="Times New Roman" w:eastAsia="黑体"/>
          <w:color w:val="000000"/>
          <w:sz w:val="32"/>
          <w:szCs w:val="32"/>
          <w:lang w:eastAsia="zh-CN"/>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黑体"/>
          <w:color w:val="000000"/>
          <w:sz w:val="32"/>
          <w:szCs w:val="32"/>
          <w:lang w:eastAsia="zh-CN"/>
        </w:rPr>
        <w:t>三、工作安排</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（一）</w:t>
      </w:r>
      <w:r>
        <w:rPr>
          <w:rStyle w:val="12"/>
          <w:rFonts w:hint="default" w:ascii="楷体_GB2312" w:hAnsi="楷体_GB2312" w:eastAsia="楷体_GB2312" w:cs="楷体_GB2312"/>
          <w:b/>
          <w:bCs w:val="0"/>
          <w:lang w:val="en-US" w:eastAsia="zh-CN"/>
        </w:rPr>
        <w:t>排查问题线索</w:t>
      </w:r>
      <w:r>
        <w:rPr>
          <w:rStyle w:val="12"/>
          <w:rFonts w:hint="eastAsia" w:ascii="楷体_GB2312" w:hAnsi="楷体_GB2312" w:eastAsia="楷体_GB2312" w:cs="楷体_GB2312"/>
          <w:b/>
          <w:bCs w:val="0"/>
          <w:lang w:val="en-US" w:eastAsia="zh-CN"/>
        </w:rPr>
        <w:t>（2025年6月）</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lang w:val="en-US"/>
        </w:rPr>
      </w:pPr>
      <w:r>
        <w:rPr>
          <w:rFonts w:hint="eastAsia" w:ascii="Times New Roman" w:hAnsi="Times New Roman" w:eastAsia="仿宋_GB2312"/>
          <w:color w:val="000000"/>
          <w:sz w:val="32"/>
          <w:szCs w:val="32"/>
        </w:rPr>
        <w:t>梳理存量违法问题线索</w:t>
      </w:r>
      <w:r>
        <w:rPr>
          <w:rFonts w:hint="eastAsia" w:ascii="Times New Roman" w:hAnsi="Times New Roman" w:eastAsia="仿宋_GB2312"/>
          <w:color w:val="000000"/>
          <w:sz w:val="32"/>
          <w:szCs w:val="32"/>
          <w:lang w:eastAsia="zh-CN"/>
        </w:rPr>
        <w:t>，</w:t>
      </w:r>
      <w:r>
        <w:rPr>
          <w:rFonts w:hint="eastAsia" w:ascii="仿宋_GB2312" w:eastAsia="仿宋_GB2312"/>
          <w:sz w:val="32"/>
          <w:szCs w:val="32"/>
          <w:lang w:eastAsia="zh-CN"/>
        </w:rPr>
        <w:t>市级水务行业管理部门</w:t>
      </w:r>
      <w:r>
        <w:rPr>
          <w:rFonts w:hint="eastAsia" w:ascii="仿宋_GB2312" w:eastAsia="仿宋_GB2312"/>
          <w:sz w:val="32"/>
          <w:szCs w:val="32"/>
        </w:rPr>
        <w:t>牵头</w:t>
      </w:r>
      <w:r>
        <w:rPr>
          <w:rFonts w:hint="eastAsia" w:ascii="Times New Roman" w:hAnsi="Times New Roman" w:eastAsia="仿宋_GB2312"/>
          <w:color w:val="000000"/>
          <w:sz w:val="32"/>
          <w:szCs w:val="32"/>
          <w:lang w:eastAsia="zh-CN"/>
        </w:rPr>
        <w:t>与相关区水务局共同</w:t>
      </w:r>
      <w:r>
        <w:rPr>
          <w:rFonts w:hint="eastAsia" w:ascii="Times New Roman" w:hAnsi="Times New Roman" w:eastAsia="仿宋_GB2312"/>
          <w:color w:val="000000"/>
          <w:sz w:val="32"/>
          <w:szCs w:val="32"/>
        </w:rPr>
        <w:t>梳理长江保护法实施以来</w:t>
      </w:r>
      <w:r>
        <w:rPr>
          <w:rFonts w:hint="eastAsia" w:ascii="Times New Roman" w:hAnsi="Times New Roman" w:eastAsia="仿宋_GB2312"/>
          <w:color w:val="000000"/>
          <w:sz w:val="32"/>
          <w:szCs w:val="32"/>
          <w:lang w:eastAsia="zh-CN"/>
        </w:rPr>
        <w:t>本市</w:t>
      </w:r>
      <w:r>
        <w:rPr>
          <w:rFonts w:hint="eastAsia" w:ascii="Times New Roman" w:hAnsi="Times New Roman" w:eastAsia="仿宋_GB2312"/>
          <w:color w:val="000000"/>
          <w:sz w:val="32"/>
          <w:szCs w:val="32"/>
        </w:rPr>
        <w:t>长江干流区域在日常巡查、专项执法检查、河湖库“清四乱”、信访举报核查等过程中发现的涉水问题，以及历次中央生态环境保护督察集中通报的相关典型案例的整改落实情况</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各相关单位</w:t>
      </w:r>
      <w:r>
        <w:rPr>
          <w:rFonts w:hint="eastAsia" w:ascii="Times New Roman" w:hAnsi="Times New Roman" w:eastAsia="仿宋_GB2312"/>
          <w:color w:val="000000"/>
          <w:sz w:val="32"/>
          <w:szCs w:val="32"/>
          <w:lang w:eastAsia="zh-CN"/>
        </w:rPr>
        <w:t>按职责分工，排查各自条线增量违法问题线索，</w:t>
      </w:r>
      <w:r>
        <w:rPr>
          <w:rFonts w:hint="eastAsia" w:ascii="Times New Roman" w:hAnsi="Times New Roman" w:eastAsia="仿宋_GB2312"/>
          <w:color w:val="000000"/>
          <w:sz w:val="32"/>
          <w:szCs w:val="32"/>
        </w:rPr>
        <w:t>借助卫星遥感、视频监控、无人机巡航等技术手段，全面排查长江干流水域问题线索</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线索排查结果</w:t>
      </w:r>
      <w:r>
        <w:rPr>
          <w:rFonts w:hint="eastAsia" w:ascii="仿宋_GB2312" w:hAnsi="仿宋_GB2312" w:eastAsia="仿宋_GB2312" w:cs="仿宋_GB2312"/>
          <w:color w:val="000000"/>
          <w:sz w:val="32"/>
          <w:szCs w:val="32"/>
          <w:lang w:val="en-US" w:eastAsia="zh-CN"/>
        </w:rPr>
        <w:t>于6月</w:t>
      </w:r>
      <w:r>
        <w:rPr>
          <w:rFonts w:hint="eastAsia" w:ascii="Times New Roman" w:hAnsi="Times New Roman" w:eastAsia="仿宋_GB2312"/>
          <w:color w:val="000000"/>
          <w:sz w:val="32"/>
          <w:szCs w:val="32"/>
          <w:lang w:val="en-US" w:eastAsia="zh-CN"/>
        </w:rPr>
        <w:t>底前上报</w:t>
      </w:r>
      <w:r>
        <w:rPr>
          <w:rFonts w:hint="eastAsia" w:ascii="Times New Roman" w:hAnsi="Times New Roman" w:eastAsia="仿宋_GB2312"/>
          <w:color w:val="000000"/>
          <w:sz w:val="32"/>
          <w:szCs w:val="32"/>
        </w:rPr>
        <w:t>市水务局</w:t>
      </w:r>
      <w:r>
        <w:rPr>
          <w:rFonts w:hint="eastAsia" w:ascii="Times New Roman" w:hAnsi="Times New Roman" w:eastAsia="仿宋_GB2312"/>
          <w:color w:val="000000"/>
          <w:sz w:val="32"/>
          <w:szCs w:val="32"/>
          <w:lang w:eastAsia="zh-CN"/>
        </w:rPr>
        <w:t>与市城管执法局</w:t>
      </w:r>
      <w:r>
        <w:rPr>
          <w:rFonts w:hint="eastAsia" w:ascii="Times New Roman" w:hAnsi="Times New Roman" w:eastAsia="仿宋_GB2312"/>
          <w:color w:val="000000"/>
          <w:sz w:val="32"/>
          <w:szCs w:val="32"/>
          <w:lang w:val="en-US" w:eastAsia="zh-CN"/>
        </w:rPr>
        <w:t>。全年，各相关单位要加强问题线索的发现、分析、研判和共享。</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（二）开展联合执法（2025年6月至11月）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b w:val="0"/>
          <w:bCs w:val="0"/>
          <w:color w:val="000000"/>
          <w:sz w:val="32"/>
          <w:szCs w:val="32"/>
          <w:lang w:val="en-US" w:eastAsia="zh-CN"/>
        </w:rPr>
        <w:t>根据长江水利委员会</w:t>
      </w:r>
      <w:r>
        <w:rPr>
          <w:rFonts w:hint="eastAsia" w:ascii="Times New Roman" w:hAnsi="Times New Roman" w:eastAsia="仿宋_GB2312"/>
          <w:color w:val="000000"/>
          <w:sz w:val="32"/>
          <w:szCs w:val="32"/>
          <w:lang w:val="en-US" w:eastAsia="zh-CN"/>
        </w:rPr>
        <w:t>统一部署，</w:t>
      </w:r>
      <w:r>
        <w:rPr>
          <w:rFonts w:hint="eastAsia" w:ascii="Times New Roman" w:hAnsi="Times New Roman" w:eastAsia="仿宋_GB2312"/>
          <w:b w:val="0"/>
          <w:bCs w:val="0"/>
          <w:color w:val="000000"/>
          <w:sz w:val="32"/>
          <w:szCs w:val="32"/>
          <w:lang w:val="en-US" w:eastAsia="zh-CN"/>
        </w:rPr>
        <w:t>组织</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s="Times New Roman"/>
          <w:color w:val="000000"/>
          <w:sz w:val="32"/>
          <w:szCs w:val="32"/>
          <w:highlight w:val="none"/>
          <w:lang w:val="en-US" w:eastAsia="zh-CN"/>
        </w:rPr>
        <w:t>长江流域范围内、</w:t>
      </w:r>
      <w:r>
        <w:rPr>
          <w:rFonts w:hint="eastAsia" w:ascii="Times New Roman" w:hAnsi="Times New Roman" w:eastAsia="仿宋_GB2312"/>
          <w:color w:val="000000"/>
          <w:sz w:val="32"/>
          <w:szCs w:val="32"/>
          <w:lang w:val="en-US" w:eastAsia="zh-CN"/>
        </w:rPr>
        <w:t>省际间、本市相关执法部门间的联合执法、联勤联动。对发现的非法侵占长江流域河湖水域、违法利用占用河湖岸线、违法违规取水、非法采砂、人为造成水土流失、阻碍或妨碍行洪等水事违法行为，及时依法开展查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（三）进行现场</w:t>
      </w:r>
      <w:r>
        <w:rPr>
          <w:rStyle w:val="12"/>
          <w:rFonts w:hint="default" w:ascii="楷体_GB2312" w:hAnsi="楷体_GB2312" w:eastAsia="楷体_GB2312" w:cs="楷体_GB2312"/>
          <w:b/>
          <w:bCs w:val="0"/>
          <w:lang w:val="en-US" w:eastAsia="zh-CN"/>
        </w:rPr>
        <w:t>调研</w:t>
      </w:r>
      <w:r>
        <w:rPr>
          <w:rStyle w:val="12"/>
          <w:rFonts w:hint="eastAsia" w:ascii="楷体_GB2312" w:hAnsi="楷体_GB2312" w:eastAsia="楷体_GB2312" w:cs="楷体_GB2312"/>
          <w:b/>
          <w:bCs w:val="0"/>
          <w:lang w:val="en-US" w:eastAsia="zh-CN"/>
        </w:rPr>
        <w:t>（根据实际情况）</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1"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highlight w:val="none"/>
          <w:lang w:eastAsia="zh-CN"/>
        </w:rPr>
        <w:t>根据长江水利委员会统一部署，适时</w:t>
      </w:r>
      <w:r>
        <w:rPr>
          <w:rFonts w:hint="eastAsia" w:ascii="仿宋_GB2312" w:hAnsi="仿宋_GB2312" w:eastAsia="仿宋_GB2312" w:cs="仿宋_GB2312"/>
          <w:color w:val="000000"/>
          <w:kern w:val="2"/>
          <w:sz w:val="32"/>
          <w:szCs w:val="32"/>
          <w:highlight w:val="none"/>
          <w:lang w:val="en-US" w:eastAsia="zh-CN"/>
        </w:rPr>
        <w:t>选取</w:t>
      </w:r>
      <w:r>
        <w:rPr>
          <w:rFonts w:hint="eastAsia" w:ascii="仿宋_GB2312" w:hAnsi="仿宋_GB2312" w:eastAsia="仿宋_GB2312" w:cs="仿宋_GB2312"/>
          <w:color w:val="000000"/>
          <w:kern w:val="2"/>
          <w:sz w:val="32"/>
          <w:szCs w:val="32"/>
          <w:highlight w:val="none"/>
        </w:rPr>
        <w:t>部分区域开展现场调研，主要内容包括：疑似存在问题项目、</w:t>
      </w:r>
      <w:r>
        <w:rPr>
          <w:rFonts w:hint="eastAsia" w:ascii="仿宋_GB2312" w:hAnsi="仿宋_GB2312" w:eastAsia="仿宋_GB2312" w:cs="仿宋_GB2312"/>
          <w:color w:val="000000"/>
          <w:kern w:val="2"/>
          <w:sz w:val="32"/>
          <w:szCs w:val="32"/>
          <w:highlight w:val="none"/>
          <w:lang w:eastAsia="zh-CN"/>
        </w:rPr>
        <w:t>本市</w:t>
      </w:r>
      <w:r>
        <w:rPr>
          <w:rFonts w:hint="eastAsia" w:ascii="仿宋_GB2312" w:hAnsi="仿宋_GB2312" w:eastAsia="仿宋_GB2312" w:cs="仿宋_GB2312"/>
          <w:color w:val="000000"/>
          <w:kern w:val="2"/>
          <w:sz w:val="32"/>
          <w:szCs w:val="32"/>
          <w:highlight w:val="none"/>
        </w:rPr>
        <w:t>部分</w:t>
      </w:r>
      <w:r>
        <w:rPr>
          <w:rFonts w:hint="eastAsia" w:ascii="仿宋_GB2312" w:hAnsi="仿宋_GB2312" w:eastAsia="仿宋_GB2312" w:cs="仿宋_GB2312"/>
          <w:color w:val="000000"/>
          <w:kern w:val="2"/>
          <w:sz w:val="32"/>
          <w:szCs w:val="32"/>
          <w:highlight w:val="none"/>
          <w:lang w:eastAsia="zh-CN"/>
        </w:rPr>
        <w:t>长江水利委员会</w:t>
      </w:r>
      <w:r>
        <w:rPr>
          <w:rFonts w:hint="eastAsia" w:ascii="仿宋_GB2312" w:hAnsi="仿宋_GB2312" w:eastAsia="仿宋_GB2312" w:cs="仿宋_GB2312"/>
          <w:color w:val="000000"/>
          <w:kern w:val="2"/>
          <w:sz w:val="32"/>
          <w:szCs w:val="32"/>
          <w:highlight w:val="none"/>
        </w:rPr>
        <w:t>许可的在建涉河项目落实许可情况、</w:t>
      </w:r>
      <w:r>
        <w:rPr>
          <w:rFonts w:hint="eastAsia" w:ascii="仿宋_GB2312" w:hAnsi="仿宋_GB2312" w:eastAsia="仿宋_GB2312" w:cs="仿宋_GB2312"/>
          <w:color w:val="000000"/>
          <w:kern w:val="2"/>
          <w:sz w:val="32"/>
          <w:szCs w:val="32"/>
          <w:highlight w:val="none"/>
          <w:lang w:eastAsia="zh-CN"/>
        </w:rPr>
        <w:t>本市</w:t>
      </w:r>
      <w:r>
        <w:rPr>
          <w:rFonts w:hint="eastAsia" w:ascii="仿宋_GB2312" w:hAnsi="仿宋_GB2312" w:eastAsia="仿宋_GB2312" w:cs="仿宋_GB2312"/>
          <w:color w:val="000000"/>
          <w:kern w:val="2"/>
          <w:sz w:val="32"/>
          <w:szCs w:val="32"/>
          <w:highlight w:val="none"/>
        </w:rPr>
        <w:t>部分沿江企业取用水情况等。</w:t>
      </w:r>
      <w:r>
        <w:rPr>
          <w:rFonts w:hint="eastAsia" w:ascii="仿宋_GB2312" w:hAnsi="仿宋_GB2312" w:eastAsia="仿宋_GB2312" w:cs="仿宋_GB2312"/>
          <w:color w:val="000000"/>
          <w:kern w:val="2"/>
          <w:sz w:val="32"/>
          <w:szCs w:val="32"/>
        </w:rPr>
        <w:t>市水务局</w:t>
      </w:r>
      <w:r>
        <w:rPr>
          <w:rFonts w:hint="eastAsia" w:ascii="仿宋_GB2312" w:hAnsi="仿宋_GB2312" w:eastAsia="仿宋_GB2312" w:cs="仿宋_GB2312"/>
          <w:color w:val="000000"/>
          <w:kern w:val="2"/>
          <w:sz w:val="32"/>
          <w:szCs w:val="32"/>
          <w:lang w:eastAsia="zh-CN"/>
        </w:rPr>
        <w:t>联合市城管执法局</w:t>
      </w:r>
      <w:r>
        <w:rPr>
          <w:rFonts w:hint="eastAsia" w:ascii="仿宋_GB2312" w:hAnsi="仿宋_GB2312" w:eastAsia="仿宋_GB2312" w:cs="仿宋_GB2312"/>
          <w:color w:val="000000"/>
          <w:sz w:val="32"/>
          <w:szCs w:val="32"/>
          <w:lang w:val="en-US" w:eastAsia="zh-CN"/>
        </w:rPr>
        <w:t>汇总疑难案件、存在管辖争议的案件，协作研判存在的问题，推进相关问题整改。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（四）组织集中培训（2025年6月至11月）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组织开展</w:t>
      </w:r>
      <w:r>
        <w:rPr>
          <w:rFonts w:ascii="Times New Roman" w:hAnsi="Times New Roman" w:eastAsia="仿宋_GB2312"/>
          <w:color w:val="000000"/>
          <w:sz w:val="32"/>
          <w:szCs w:val="32"/>
        </w:rPr>
        <w:t>水行政执法业务骨干培训，创新培训形式，提升培训实效。针对</w:t>
      </w:r>
      <w:r>
        <w:rPr>
          <w:rFonts w:hint="eastAsia" w:ascii="Times New Roman" w:hAnsi="Times New Roman" w:eastAsia="仿宋_GB2312"/>
          <w:color w:val="000000"/>
          <w:sz w:val="32"/>
          <w:szCs w:val="32"/>
          <w:lang w:val="en-US" w:eastAsia="zh-CN"/>
        </w:rPr>
        <w:t>联合执法</w:t>
      </w:r>
      <w:r>
        <w:rPr>
          <w:rFonts w:ascii="Times New Roman" w:hAnsi="Times New Roman" w:eastAsia="仿宋_GB2312"/>
          <w:color w:val="000000"/>
          <w:sz w:val="32"/>
          <w:szCs w:val="32"/>
        </w:rPr>
        <w:t>中暴露的不足、遇到的难点，制定培训方案、优化培训课程，组织培训考核和课后评估，不断提升执法人员的专业素质和执法能力</w:t>
      </w:r>
      <w:r>
        <w:rPr>
          <w:rFonts w:hint="eastAsia" w:ascii="Times New Roman" w:hAnsi="Times New Roman" w:eastAsia="仿宋_GB2312"/>
          <w:color w:val="000000"/>
          <w:sz w:val="32"/>
          <w:szCs w:val="32"/>
          <w:lang w:eastAsia="zh-CN"/>
        </w:rPr>
        <w:t>。</w:t>
      </w:r>
      <w:r>
        <w:rPr>
          <w:rFonts w:hint="eastAsia" w:ascii="仿宋_GB2312" w:eastAsia="仿宋_GB2312"/>
          <w:b w:val="0"/>
          <w:bCs w:val="0"/>
          <w:sz w:val="32"/>
          <w:szCs w:val="32"/>
          <w:lang w:eastAsia="zh-CN"/>
        </w:rPr>
        <w:t>并</w:t>
      </w:r>
      <w:r>
        <w:rPr>
          <w:rFonts w:hint="eastAsia" w:ascii="仿宋_GB2312" w:eastAsia="仿宋_GB2312"/>
          <w:sz w:val="32"/>
          <w:szCs w:val="32"/>
        </w:rPr>
        <w:t>按要求参加国家部委、本市司法行政部门等组织的有关业务培训活动，完成相应学时。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（五）开展案卷评查</w:t>
      </w:r>
      <w:r>
        <w:rPr>
          <w:rStyle w:val="12"/>
          <w:rFonts w:hint="default" w:ascii="楷体_GB2312" w:hAnsi="楷体_GB2312" w:eastAsia="楷体_GB2312" w:cs="楷体_GB2312"/>
          <w:b/>
          <w:bCs w:val="0"/>
          <w:lang w:val="en-US" w:eastAsia="zh-CN"/>
        </w:rPr>
        <w:t>（202</w:t>
      </w:r>
      <w:r>
        <w:rPr>
          <w:rStyle w:val="12"/>
          <w:rFonts w:hint="eastAsia" w:ascii="楷体_GB2312" w:hAnsi="楷体_GB2312" w:eastAsia="楷体_GB2312" w:cs="楷体_GB2312"/>
          <w:b/>
          <w:bCs w:val="0"/>
          <w:lang w:val="en-US" w:eastAsia="zh-CN"/>
        </w:rPr>
        <w:t>5</w:t>
      </w:r>
      <w:r>
        <w:rPr>
          <w:rStyle w:val="12"/>
          <w:rFonts w:hint="default" w:ascii="楷体_GB2312" w:hAnsi="楷体_GB2312" w:eastAsia="楷体_GB2312" w:cs="楷体_GB2312"/>
          <w:b/>
          <w:bCs w:val="0"/>
          <w:lang w:val="en-US" w:eastAsia="zh-CN"/>
        </w:rPr>
        <w:t>年</w:t>
      </w:r>
      <w:r>
        <w:rPr>
          <w:rStyle w:val="12"/>
          <w:rFonts w:hint="eastAsia" w:ascii="楷体_GB2312" w:hAnsi="楷体_GB2312" w:eastAsia="楷体_GB2312" w:cs="楷体_GB2312"/>
          <w:b/>
          <w:bCs w:val="0"/>
          <w:lang w:val="en-US" w:eastAsia="zh-CN"/>
        </w:rPr>
        <w:t>10</w:t>
      </w:r>
      <w:r>
        <w:rPr>
          <w:rStyle w:val="12"/>
          <w:rFonts w:hint="default" w:ascii="楷体_GB2312" w:hAnsi="楷体_GB2312" w:eastAsia="楷体_GB2312" w:cs="楷体_GB2312"/>
          <w:b/>
          <w:bCs w:val="0"/>
          <w:lang w:val="en-US" w:eastAsia="zh-CN"/>
        </w:rPr>
        <w:t>月至</w:t>
      </w:r>
      <w:r>
        <w:rPr>
          <w:rStyle w:val="12"/>
          <w:rFonts w:hint="eastAsia" w:ascii="楷体_GB2312" w:hAnsi="楷体_GB2312" w:eastAsia="楷体_GB2312" w:cs="楷体_GB2312"/>
          <w:b/>
          <w:bCs w:val="0"/>
          <w:lang w:val="en-US" w:eastAsia="zh-CN"/>
        </w:rPr>
        <w:t>11</w:t>
      </w:r>
      <w:r>
        <w:rPr>
          <w:rStyle w:val="12"/>
          <w:rFonts w:hint="default" w:ascii="楷体_GB2312" w:hAnsi="楷体_GB2312" w:eastAsia="楷体_GB2312" w:cs="楷体_GB2312"/>
          <w:b/>
          <w:bCs w:val="0"/>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举办</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次案例评析与案卷评查</w:t>
      </w:r>
      <w:r>
        <w:rPr>
          <w:rFonts w:hint="eastAsia" w:ascii="仿宋_GB2312" w:hAnsi="仿宋_GB2312" w:eastAsia="仿宋_GB2312" w:cs="仿宋_GB2312"/>
          <w:color w:val="000000"/>
          <w:sz w:val="32"/>
          <w:szCs w:val="32"/>
          <w:lang w:eastAsia="zh-CN"/>
        </w:rPr>
        <w:t>会</w:t>
      </w:r>
      <w:r>
        <w:rPr>
          <w:rFonts w:hint="eastAsia" w:ascii="仿宋_GB2312" w:hAnsi="仿宋_GB2312" w:eastAsia="仿宋_GB2312" w:cs="仿宋_GB2312"/>
          <w:color w:val="000000"/>
          <w:sz w:val="32"/>
          <w:szCs w:val="32"/>
        </w:rPr>
        <w:t>，</w:t>
      </w:r>
      <w:r>
        <w:rPr>
          <w:rFonts w:hint="eastAsia" w:ascii="Times New Roman" w:hAnsi="Times New Roman" w:eastAsia="仿宋_GB2312"/>
          <w:color w:val="000000"/>
          <w:sz w:val="32"/>
          <w:szCs w:val="32"/>
        </w:rPr>
        <w:t>重点对执法案件的主体、违法事实认定、履行告知义务、法律适用、执法文书的规范等多方面问题开展评查</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进一步推动执法规范化，持续提升执法文书制作水平和执法案卷质量</w:t>
      </w:r>
      <w:r>
        <w:rPr>
          <w:rFonts w:ascii="Times New Roman" w:hAnsi="Times New Roman" w:eastAsia="仿宋_GB2312"/>
          <w:color w:val="000000"/>
          <w:sz w:val="32"/>
          <w:szCs w:val="32"/>
        </w:rPr>
        <w:t>。认真梳理</w:t>
      </w:r>
      <w:r>
        <w:rPr>
          <w:rFonts w:hint="eastAsia" w:ascii="Times New Roman" w:hAnsi="Times New Roman" w:eastAsia="仿宋_GB2312"/>
          <w:color w:val="000000"/>
          <w:sz w:val="32"/>
          <w:szCs w:val="32"/>
          <w:lang w:eastAsia="zh-CN"/>
        </w:rPr>
        <w:t>今</w:t>
      </w:r>
      <w:r>
        <w:rPr>
          <w:rFonts w:ascii="Times New Roman" w:hAnsi="Times New Roman" w:eastAsia="仿宋_GB2312"/>
          <w:color w:val="000000"/>
          <w:sz w:val="32"/>
          <w:szCs w:val="32"/>
        </w:rPr>
        <w:t>年来</w:t>
      </w:r>
      <w:r>
        <w:rPr>
          <w:rFonts w:hint="eastAsia" w:ascii="Times New Roman" w:hAnsi="Times New Roman" w:eastAsia="仿宋_GB2312"/>
          <w:color w:val="000000"/>
          <w:sz w:val="32"/>
          <w:szCs w:val="32"/>
          <w:lang w:eastAsia="zh-CN"/>
        </w:rPr>
        <w:t>本市</w:t>
      </w:r>
      <w:r>
        <w:rPr>
          <w:rFonts w:ascii="Times New Roman" w:hAnsi="Times New Roman" w:eastAsia="仿宋_GB2312"/>
          <w:color w:val="000000"/>
          <w:sz w:val="32"/>
          <w:szCs w:val="32"/>
        </w:rPr>
        <w:t>具有代表性、示范性的水事违法案件，并积极</w:t>
      </w:r>
      <w:r>
        <w:rPr>
          <w:rFonts w:hint="eastAsia" w:ascii="Times New Roman" w:hAnsi="Times New Roman" w:eastAsia="仿宋_GB2312"/>
          <w:color w:val="000000"/>
          <w:sz w:val="32"/>
          <w:szCs w:val="32"/>
          <w:lang w:eastAsia="zh-CN"/>
        </w:rPr>
        <w:t>申</w:t>
      </w:r>
      <w:r>
        <w:rPr>
          <w:rFonts w:ascii="Times New Roman" w:hAnsi="Times New Roman" w:eastAsia="仿宋_GB2312"/>
          <w:color w:val="000000"/>
          <w:sz w:val="32"/>
          <w:szCs w:val="32"/>
        </w:rPr>
        <w:t>报</w:t>
      </w:r>
      <w:r>
        <w:rPr>
          <w:rFonts w:hint="eastAsia" w:ascii="Times New Roman" w:hAnsi="Times New Roman" w:eastAsia="仿宋_GB2312"/>
          <w:color w:val="000000"/>
          <w:sz w:val="32"/>
          <w:szCs w:val="32"/>
          <w:lang w:eastAsia="zh-CN"/>
        </w:rPr>
        <w:t>明年的流域典型案例</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2"/>
          <w:rFonts w:hint="eastAsia" w:ascii="楷体_GB2312" w:hAnsi="楷体_GB2312" w:eastAsia="楷体_GB2312" w:cs="楷体_GB2312"/>
          <w:b/>
          <w:bCs w:val="0"/>
          <w:lang w:val="en-US" w:eastAsia="zh-CN"/>
        </w:rPr>
      </w:pPr>
      <w:r>
        <w:rPr>
          <w:rStyle w:val="12"/>
          <w:rFonts w:hint="eastAsia" w:ascii="楷体_GB2312" w:hAnsi="楷体_GB2312" w:eastAsia="楷体_GB2312" w:cs="楷体_GB2312"/>
          <w:b/>
          <w:bCs w:val="0"/>
          <w:lang w:val="en-US" w:eastAsia="zh-CN"/>
        </w:rPr>
        <w:t>（六）加强普法宣传（2025年11月）</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color w:val="000000"/>
          <w:sz w:val="32"/>
          <w:szCs w:val="32"/>
        </w:rPr>
        <w:t>总结协作成果，</w:t>
      </w:r>
      <w:r>
        <w:rPr>
          <w:rFonts w:hint="eastAsia" w:ascii="Times New Roman" w:hAnsi="Times New Roman" w:eastAsia="仿宋_GB2312"/>
          <w:color w:val="000000"/>
          <w:sz w:val="32"/>
          <w:szCs w:val="32"/>
          <w:lang w:val="en-US" w:eastAsia="zh-CN"/>
        </w:rPr>
        <w:t>以案释法，</w:t>
      </w:r>
      <w:r>
        <w:rPr>
          <w:rFonts w:ascii="Times New Roman" w:hAnsi="Times New Roman" w:eastAsia="仿宋_GB2312"/>
          <w:color w:val="000000"/>
          <w:sz w:val="32"/>
          <w:szCs w:val="32"/>
        </w:rPr>
        <w:t>交流经验做法，充分利用报纸、网站、新媒体等平台，广泛宣传协作机制取得的成效。</w:t>
      </w:r>
      <w:r>
        <w:rPr>
          <w:rFonts w:hint="eastAsia" w:ascii="Times New Roman" w:hAnsi="Times New Roman" w:eastAsia="仿宋_GB2312"/>
          <w:color w:val="000000"/>
          <w:sz w:val="32"/>
          <w:szCs w:val="32"/>
          <w:lang w:val="en-US" w:eastAsia="zh-CN"/>
        </w:rPr>
        <w:t>创新普法形式手段，促进普法形式由单向式传播向互动式、服务式、场景式传播转变，着力提高普法针对性和实效性。注意收集日常工作中的文字材料、影像资料等。</w:t>
      </w:r>
      <w:r>
        <w:rPr>
          <w:rFonts w:hint="eastAsia" w:ascii="Times New Roman" w:hAnsi="Times New Roman" w:eastAsia="仿宋_GB2312"/>
          <w:color w:val="000000"/>
          <w:kern w:val="2"/>
          <w:sz w:val="32"/>
          <w:szCs w:val="32"/>
          <w:lang w:eastAsia="zh-CN"/>
        </w:rPr>
        <w:t>根据长江水利委员会统一部署，</w:t>
      </w:r>
      <w:r>
        <w:rPr>
          <w:rFonts w:ascii="Times New Roman" w:hAnsi="Times New Roman" w:eastAsia="仿宋_GB2312"/>
          <w:color w:val="000000"/>
          <w:sz w:val="32"/>
          <w:szCs w:val="32"/>
        </w:rPr>
        <w:t>在协作机</w:t>
      </w:r>
      <w:r>
        <w:rPr>
          <w:rFonts w:hint="eastAsia" w:ascii="仿宋_GB2312" w:hAnsi="仿宋_GB2312" w:eastAsia="仿宋_GB2312" w:cs="仿宋_GB2312"/>
          <w:color w:val="000000"/>
          <w:sz w:val="32"/>
          <w:szCs w:val="32"/>
        </w:rPr>
        <w:t>制建立1周年之际，</w:t>
      </w:r>
      <w:r>
        <w:rPr>
          <w:rFonts w:ascii="Times New Roman" w:hAnsi="Times New Roman" w:eastAsia="仿宋_GB2312"/>
          <w:color w:val="000000"/>
          <w:sz w:val="32"/>
          <w:szCs w:val="32"/>
        </w:rPr>
        <w:t>联合开展集中宣传活动</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Times New Roman" w:hAnsi="Times New Roman" w:eastAsia="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Times New Roman" w:hAnsi="Times New Roman" w:eastAsia="仿宋_GB2312"/>
          <w:b w:val="0"/>
          <w:bCs w:val="0"/>
          <w:color w:val="000000"/>
          <w:sz w:val="32"/>
          <w:szCs w:val="32"/>
          <w:lang w:eastAsia="zh-CN"/>
        </w:rPr>
      </w:pPr>
      <w:r>
        <w:rPr>
          <w:rFonts w:hint="eastAsia" w:ascii="Times New Roman" w:hAnsi="Times New Roman" w:eastAsia="仿宋_GB2312"/>
          <w:b w:val="0"/>
          <w:bCs w:val="0"/>
          <w:color w:val="000000"/>
          <w:sz w:val="32"/>
          <w:szCs w:val="32"/>
          <w:lang w:eastAsia="zh-CN"/>
        </w:rPr>
        <w:t>附件：联络通讯录</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Times New Roman" w:hAnsi="Times New Roman" w:eastAsia="仿宋_GB2312"/>
          <w:b w:val="0"/>
          <w:bCs w:val="0"/>
          <w:color w:val="000000"/>
          <w:sz w:val="32"/>
          <w:szCs w:val="32"/>
          <w:lang w:val="en-US" w:eastAsia="zh-CN"/>
        </w:rPr>
        <w:sectPr>
          <w:headerReference r:id="rId5" w:type="default"/>
          <w:footerReference r:id="rId6" w:type="default"/>
          <w:pgSz w:w="11906" w:h="16838"/>
          <w:pgMar w:top="1440" w:right="1797" w:bottom="1440" w:left="1797" w:header="851" w:footer="992" w:gutter="0"/>
          <w:cols w:space="425" w:num="1"/>
          <w:docGrid w:type="lines" w:linePitch="312" w:charSpace="0"/>
        </w:sectPr>
      </w:pPr>
    </w:p>
    <w:p>
      <w:pPr>
        <w:widowControl/>
        <w:jc w:val="left"/>
        <w:rPr>
          <w:rFonts w:hint="eastAsia" w:ascii="黑体" w:hAnsi="黑体" w:eastAsia="黑体" w:cs="黑体"/>
          <w:sz w:val="32"/>
          <w:szCs w:val="32"/>
        </w:rPr>
      </w:pPr>
      <w:r>
        <w:rPr>
          <w:rFonts w:hint="eastAsia" w:ascii="黑体" w:hAnsi="黑体" w:eastAsia="黑体" w:cs="黑体"/>
          <w:sz w:val="32"/>
          <w:szCs w:val="32"/>
        </w:rPr>
        <w:t>附件</w:t>
      </w:r>
    </w:p>
    <w:p>
      <w:pPr>
        <w:widowControl/>
        <w:jc w:val="center"/>
        <w:rPr>
          <w:rFonts w:hint="eastAsia" w:ascii="方正小标宋简体" w:hAnsi="方正小标宋简体" w:eastAsia="方正小标宋简体" w:cs="方正小标宋简体"/>
          <w:b/>
          <w:sz w:val="36"/>
          <w:szCs w:val="30"/>
        </w:rPr>
      </w:pPr>
      <w:r>
        <w:rPr>
          <w:rFonts w:hint="eastAsia" w:ascii="方正小标宋简体" w:hAnsi="方正小标宋简体" w:eastAsia="方正小标宋简体" w:cs="方正小标宋简体"/>
          <w:sz w:val="36"/>
          <w:szCs w:val="30"/>
        </w:rPr>
        <w:t>联络通讯录</w:t>
      </w:r>
    </w:p>
    <w:p>
      <w:pPr>
        <w:jc w:val="left"/>
        <w:rPr>
          <w:rFonts w:ascii="仿宋_GB2312" w:hAnsi="仿宋_GB2312" w:eastAsia="仿宋_GB2312" w:cs="Times New Roman"/>
          <w:bCs/>
          <w:color w:val="000000"/>
          <w:kern w:val="0"/>
          <w:sz w:val="24"/>
        </w:rPr>
      </w:pPr>
      <w:r>
        <w:rPr>
          <w:rFonts w:hint="eastAsia" w:ascii="仿宋_GB2312" w:hAnsi="仿宋_GB2312" w:eastAsia="仿宋_GB2312" w:cs="Times New Roman"/>
          <w:bCs/>
          <w:color w:val="000000"/>
          <w:kern w:val="0"/>
          <w:sz w:val="24"/>
        </w:rPr>
        <w:t xml:space="preserve">单位：（盖章） </w:t>
      </w:r>
    </w:p>
    <w:tbl>
      <w:tblPr>
        <w:tblStyle w:val="4"/>
        <w:tblW w:w="1389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2126"/>
        <w:gridCol w:w="2127"/>
        <w:gridCol w:w="2126"/>
        <w:gridCol w:w="269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977"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单位</w:t>
            </w:r>
          </w:p>
        </w:tc>
        <w:tc>
          <w:tcPr>
            <w:tcW w:w="2126"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部门</w:t>
            </w:r>
          </w:p>
        </w:tc>
        <w:tc>
          <w:tcPr>
            <w:tcW w:w="2127"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姓名</w:t>
            </w:r>
          </w:p>
        </w:tc>
        <w:tc>
          <w:tcPr>
            <w:tcW w:w="2126"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职务</w:t>
            </w:r>
          </w:p>
        </w:tc>
        <w:tc>
          <w:tcPr>
            <w:tcW w:w="2693"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联系方式</w:t>
            </w:r>
          </w:p>
        </w:tc>
        <w:tc>
          <w:tcPr>
            <w:tcW w:w="1843" w:type="dxa"/>
            <w:vAlign w:val="center"/>
          </w:tcPr>
          <w:p>
            <w:pPr>
              <w:spacing w:line="440" w:lineRule="exact"/>
              <w:jc w:val="center"/>
              <w:rPr>
                <w:rFonts w:ascii="仿宋_GB2312" w:hAnsi="仿宋_GB2312" w:eastAsia="仿宋_GB2312" w:cs="Times New Roman"/>
                <w:b/>
                <w:color w:val="000000"/>
                <w:kern w:val="0"/>
                <w:sz w:val="24"/>
              </w:rPr>
            </w:pPr>
            <w:r>
              <w:rPr>
                <w:rFonts w:hint="eastAsia" w:ascii="仿宋_GB2312" w:hAnsi="仿宋_GB2312" w:eastAsia="仿宋_GB2312" w:cs="Times New Roman"/>
                <w:b/>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977" w:type="dxa"/>
            <w:vAlign w:val="center"/>
          </w:tcPr>
          <w:p>
            <w:pPr>
              <w:spacing w:line="440" w:lineRule="exact"/>
              <w:jc w:val="center"/>
              <w:rPr>
                <w:rFonts w:ascii="仿宋_GB2312" w:hAnsi="仿宋_GB2312" w:eastAsia="仿宋_GB2312" w:cs="Times New Roman"/>
                <w:color w:val="000000"/>
                <w:kern w:val="0"/>
                <w:sz w:val="24"/>
              </w:rPr>
            </w:pPr>
          </w:p>
        </w:tc>
        <w:tc>
          <w:tcPr>
            <w:tcW w:w="2126" w:type="dxa"/>
            <w:vAlign w:val="center"/>
          </w:tcPr>
          <w:p>
            <w:pPr>
              <w:spacing w:line="440" w:lineRule="exact"/>
              <w:jc w:val="center"/>
              <w:rPr>
                <w:rFonts w:ascii="仿宋_GB2312" w:hAnsi="仿宋_GB2312" w:eastAsia="仿宋_GB2312" w:cs="Times New Roman"/>
                <w:color w:val="000000"/>
                <w:kern w:val="0"/>
                <w:sz w:val="24"/>
              </w:rPr>
            </w:pPr>
          </w:p>
        </w:tc>
        <w:tc>
          <w:tcPr>
            <w:tcW w:w="2127" w:type="dxa"/>
            <w:vAlign w:val="center"/>
          </w:tcPr>
          <w:p>
            <w:pPr>
              <w:spacing w:line="440" w:lineRule="exact"/>
              <w:jc w:val="center"/>
              <w:rPr>
                <w:rFonts w:ascii="仿宋_GB2312" w:hAnsi="仿宋_GB2312" w:eastAsia="仿宋_GB2312" w:cs="Times New Roman"/>
                <w:color w:val="000000"/>
                <w:kern w:val="0"/>
                <w:sz w:val="24"/>
              </w:rPr>
            </w:pPr>
          </w:p>
        </w:tc>
        <w:tc>
          <w:tcPr>
            <w:tcW w:w="2126" w:type="dxa"/>
            <w:vAlign w:val="center"/>
          </w:tcPr>
          <w:p>
            <w:pPr>
              <w:spacing w:line="440" w:lineRule="exact"/>
              <w:jc w:val="center"/>
              <w:rPr>
                <w:rFonts w:ascii="仿宋_GB2312" w:hAnsi="仿宋_GB2312" w:eastAsia="仿宋_GB2312" w:cs="Times New Roman"/>
                <w:color w:val="000000"/>
                <w:kern w:val="0"/>
                <w:sz w:val="24"/>
              </w:rPr>
            </w:pPr>
          </w:p>
        </w:tc>
        <w:tc>
          <w:tcPr>
            <w:tcW w:w="2693" w:type="dxa"/>
            <w:vAlign w:val="center"/>
          </w:tcPr>
          <w:p>
            <w:pPr>
              <w:spacing w:line="440" w:lineRule="exact"/>
              <w:jc w:val="center"/>
              <w:rPr>
                <w:rFonts w:ascii="仿宋_GB2312" w:hAnsi="仿宋_GB2312" w:eastAsia="仿宋_GB2312" w:cs="Times New Roman"/>
                <w:color w:val="000000"/>
                <w:kern w:val="0"/>
                <w:sz w:val="24"/>
              </w:rPr>
            </w:pPr>
          </w:p>
        </w:tc>
        <w:tc>
          <w:tcPr>
            <w:tcW w:w="1843" w:type="dxa"/>
            <w:vAlign w:val="center"/>
          </w:tcPr>
          <w:p>
            <w:pPr>
              <w:spacing w:line="440" w:lineRule="exact"/>
              <w:jc w:val="center"/>
              <w:rPr>
                <w:rFonts w:ascii="仿宋_GB2312" w:hAnsi="仿宋_GB2312" w:eastAsia="仿宋_GB2312" w:cs="Times New Roman"/>
                <w:color w:val="000000"/>
                <w:kern w:val="0"/>
                <w:sz w:val="24"/>
              </w:rPr>
            </w:pPr>
            <w:r>
              <w:rPr>
                <w:rFonts w:hint="eastAsia" w:ascii="仿宋_GB2312" w:hAnsi="仿宋_GB2312" w:eastAsia="仿宋_GB2312" w:cs="Times New Roman"/>
                <w:color w:val="000000"/>
                <w:kern w:val="0"/>
                <w:sz w:val="24"/>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977" w:type="dxa"/>
            <w:vAlign w:val="center"/>
          </w:tcPr>
          <w:p>
            <w:pPr>
              <w:spacing w:line="440" w:lineRule="exact"/>
              <w:jc w:val="center"/>
              <w:rPr>
                <w:rFonts w:ascii="仿宋_GB2312" w:hAnsi="仿宋_GB2312" w:eastAsia="仿宋_GB2312" w:cs="Times New Roman"/>
                <w:color w:val="000000"/>
                <w:kern w:val="0"/>
                <w:sz w:val="24"/>
              </w:rPr>
            </w:pPr>
          </w:p>
        </w:tc>
        <w:tc>
          <w:tcPr>
            <w:tcW w:w="2126" w:type="dxa"/>
            <w:vAlign w:val="center"/>
          </w:tcPr>
          <w:p>
            <w:pPr>
              <w:spacing w:line="440" w:lineRule="exact"/>
              <w:jc w:val="center"/>
              <w:rPr>
                <w:rFonts w:ascii="仿宋_GB2312" w:hAnsi="仿宋_GB2312" w:eastAsia="仿宋_GB2312" w:cs="Times New Roman"/>
                <w:color w:val="000000"/>
                <w:kern w:val="0"/>
                <w:sz w:val="24"/>
              </w:rPr>
            </w:pPr>
          </w:p>
        </w:tc>
        <w:tc>
          <w:tcPr>
            <w:tcW w:w="2127" w:type="dxa"/>
            <w:vAlign w:val="center"/>
          </w:tcPr>
          <w:p>
            <w:pPr>
              <w:spacing w:line="440" w:lineRule="exact"/>
              <w:jc w:val="center"/>
              <w:rPr>
                <w:rFonts w:ascii="仿宋_GB2312" w:hAnsi="仿宋_GB2312" w:eastAsia="仿宋_GB2312" w:cs="Times New Roman"/>
                <w:color w:val="000000"/>
                <w:kern w:val="0"/>
                <w:sz w:val="24"/>
              </w:rPr>
            </w:pPr>
          </w:p>
        </w:tc>
        <w:tc>
          <w:tcPr>
            <w:tcW w:w="2126" w:type="dxa"/>
            <w:vAlign w:val="center"/>
          </w:tcPr>
          <w:p>
            <w:pPr>
              <w:spacing w:line="440" w:lineRule="exact"/>
              <w:jc w:val="center"/>
              <w:rPr>
                <w:rFonts w:ascii="仿宋_GB2312" w:hAnsi="仿宋_GB2312" w:eastAsia="仿宋_GB2312" w:cs="Times New Roman"/>
                <w:color w:val="000000"/>
                <w:kern w:val="0"/>
                <w:sz w:val="24"/>
              </w:rPr>
            </w:pPr>
          </w:p>
        </w:tc>
        <w:tc>
          <w:tcPr>
            <w:tcW w:w="2693" w:type="dxa"/>
            <w:vAlign w:val="center"/>
          </w:tcPr>
          <w:p>
            <w:pPr>
              <w:spacing w:line="440" w:lineRule="exact"/>
              <w:jc w:val="center"/>
              <w:rPr>
                <w:rFonts w:ascii="仿宋_GB2312" w:hAnsi="仿宋_GB2312" w:eastAsia="仿宋_GB2312" w:cs="Times New Roman"/>
                <w:color w:val="000000"/>
                <w:kern w:val="0"/>
                <w:sz w:val="24"/>
              </w:rPr>
            </w:pPr>
          </w:p>
        </w:tc>
        <w:tc>
          <w:tcPr>
            <w:tcW w:w="1843" w:type="dxa"/>
            <w:vAlign w:val="center"/>
          </w:tcPr>
          <w:p>
            <w:pPr>
              <w:spacing w:line="440" w:lineRule="exact"/>
              <w:jc w:val="center"/>
              <w:rPr>
                <w:rFonts w:ascii="仿宋_GB2312" w:hAnsi="仿宋_GB2312" w:eastAsia="仿宋_GB2312" w:cs="Times New Roman"/>
                <w:color w:val="000000"/>
                <w:kern w:val="0"/>
                <w:sz w:val="24"/>
              </w:rPr>
            </w:pPr>
            <w:r>
              <w:rPr>
                <w:rFonts w:hint="eastAsia" w:ascii="仿宋_GB2312" w:hAnsi="仿宋_GB2312" w:eastAsia="仿宋_GB2312" w:cs="Times New Roman"/>
                <w:color w:val="000000"/>
                <w:kern w:val="0"/>
                <w:sz w:val="24"/>
              </w:rPr>
              <w:t>联络员</w:t>
            </w:r>
          </w:p>
        </w:tc>
      </w:tr>
    </w:tbl>
    <w:p>
      <w:pPr>
        <w:spacing w:line="440" w:lineRule="exact"/>
        <w:jc w:val="left"/>
        <w:rPr>
          <w:rFonts w:ascii="宋体" w:hAnsi="宋体" w:eastAsia="宋体" w:cs="Times New Roman"/>
          <w:color w:val="000000"/>
          <w:kern w:val="0"/>
          <w:sz w:val="24"/>
        </w:rPr>
      </w:pPr>
    </w:p>
    <w:p>
      <w:pPr>
        <w:spacing w:line="440" w:lineRule="exact"/>
        <w:jc w:val="left"/>
        <w:rPr>
          <w:rFonts w:ascii="仿宋_GB2312" w:hAnsi="Calibri" w:eastAsia="仿宋_GB2312" w:cs="Times New Roman"/>
          <w:color w:val="000000"/>
          <w:kern w:val="0"/>
          <w:sz w:val="24"/>
        </w:rPr>
      </w:pPr>
    </w:p>
    <w:p>
      <w:pPr>
        <w:spacing w:beforeLines="50" w:line="360" w:lineRule="auto"/>
        <w:jc w:val="left"/>
        <w:rPr>
          <w:rFonts w:hint="eastAsia" w:ascii="楷体_GB2312" w:hAnsi="楷体_GB2312" w:eastAsia="楷体_GB2312" w:cs="楷体_GB2312"/>
          <w:bCs/>
          <w:color w:val="000000"/>
          <w:kern w:val="0"/>
          <w:sz w:val="24"/>
        </w:rPr>
      </w:pPr>
      <w:r>
        <w:rPr>
          <w:rFonts w:hint="eastAsia" w:ascii="楷体_GB2312" w:hAnsi="楷体_GB2312" w:eastAsia="楷体_GB2312" w:cs="楷体_GB2312"/>
          <w:bCs/>
          <w:color w:val="000000"/>
          <w:kern w:val="0"/>
          <w:sz w:val="24"/>
        </w:rPr>
        <w:t>注</w:t>
      </w:r>
      <w:r>
        <w:rPr>
          <w:rFonts w:hint="eastAsia" w:ascii="楷体_GB2312" w:hAnsi="楷体_GB2312" w:eastAsia="楷体_GB2312" w:cs="楷体_GB2312"/>
          <w:bCs/>
          <w:color w:val="000000"/>
          <w:kern w:val="0"/>
          <w:sz w:val="24"/>
          <w:lang w:val="en-US" w:eastAsia="zh"/>
        </w:rPr>
        <w:t>:</w:t>
      </w:r>
      <w:r>
        <w:rPr>
          <w:rFonts w:hint="eastAsia" w:ascii="楷体_GB2312" w:hAnsi="楷体_GB2312" w:eastAsia="楷体_GB2312" w:cs="楷体_GB2312"/>
          <w:bCs/>
          <w:color w:val="000000"/>
          <w:kern w:val="0"/>
          <w:sz w:val="24"/>
        </w:rPr>
        <w:t>1</w:t>
      </w:r>
      <w:r>
        <w:rPr>
          <w:rFonts w:hint="eastAsia" w:ascii="楷体_GB2312" w:hAnsi="楷体_GB2312" w:eastAsia="楷体_GB2312" w:cs="楷体_GB2312"/>
          <w:bCs/>
          <w:color w:val="000000"/>
          <w:kern w:val="0"/>
          <w:sz w:val="24"/>
          <w:lang w:val="en-US" w:eastAsia="zh"/>
        </w:rPr>
        <w:t>.</w:t>
      </w:r>
      <w:r>
        <w:rPr>
          <w:rFonts w:hint="eastAsia" w:ascii="楷体_GB2312" w:hAnsi="楷体_GB2312" w:eastAsia="楷体_GB2312" w:cs="楷体_GB2312"/>
          <w:b/>
          <w:bCs/>
          <w:color w:val="000000"/>
          <w:kern w:val="0"/>
          <w:sz w:val="24"/>
        </w:rPr>
        <w:t>各</w:t>
      </w:r>
      <w:r>
        <w:rPr>
          <w:rFonts w:hint="eastAsia" w:ascii="楷体_GB2312" w:hAnsi="楷体_GB2312" w:eastAsia="楷体_GB2312" w:cs="楷体_GB2312"/>
          <w:b/>
          <w:bCs/>
          <w:color w:val="000000"/>
          <w:kern w:val="0"/>
          <w:sz w:val="24"/>
          <w:lang w:eastAsia="zh-CN"/>
        </w:rPr>
        <w:t>相关单位</w:t>
      </w:r>
      <w:r>
        <w:rPr>
          <w:rFonts w:hint="eastAsia" w:ascii="楷体_GB2312" w:hAnsi="楷体_GB2312" w:eastAsia="楷体_GB2312" w:cs="楷体_GB2312"/>
          <w:bCs/>
          <w:color w:val="000000"/>
          <w:kern w:val="0"/>
          <w:sz w:val="24"/>
        </w:rPr>
        <w:t>上报责任人与联络员各一名</w:t>
      </w:r>
    </w:p>
    <w:p>
      <w:pPr>
        <w:widowControl/>
        <w:spacing w:line="360" w:lineRule="auto"/>
        <w:ind w:firstLine="360" w:firstLineChars="150"/>
        <w:jc w:val="left"/>
        <w:rPr>
          <w:rFonts w:hint="eastAsia" w:ascii="楷体_GB2312" w:hAnsi="楷体_GB2312" w:eastAsia="楷体_GB2312" w:cs="楷体_GB2312"/>
          <w:bCs/>
          <w:color w:val="000000"/>
          <w:kern w:val="0"/>
          <w:sz w:val="24"/>
        </w:rPr>
      </w:pPr>
      <w:bookmarkStart w:id="0" w:name="_GoBack"/>
      <w:bookmarkEnd w:id="0"/>
      <w:r>
        <w:rPr>
          <w:rFonts w:hint="eastAsia" w:ascii="楷体_GB2312" w:hAnsi="楷体_GB2312" w:eastAsia="楷体_GB2312" w:cs="楷体_GB2312"/>
          <w:bCs/>
          <w:color w:val="000000"/>
          <w:sz w:val="24"/>
        </w:rPr>
        <w:t>2</w:t>
      </w:r>
      <w:r>
        <w:rPr>
          <w:rFonts w:hint="eastAsia" w:ascii="楷体_GB2312" w:hAnsi="楷体_GB2312" w:eastAsia="楷体_GB2312" w:cs="楷体_GB2312"/>
          <w:bCs/>
          <w:color w:val="000000"/>
          <w:sz w:val="24"/>
          <w:lang w:val="en-US" w:eastAsia="zh"/>
        </w:rPr>
        <w:t>.</w:t>
      </w:r>
      <w:r>
        <w:rPr>
          <w:rFonts w:hint="eastAsia" w:ascii="楷体_GB2312" w:hAnsi="楷体_GB2312" w:eastAsia="楷体_GB2312" w:cs="楷体_GB2312"/>
          <w:bCs/>
          <w:color w:val="000000"/>
          <w:sz w:val="24"/>
        </w:rPr>
        <w:t>本表由报送单位盖章后于</w:t>
      </w:r>
      <w:r>
        <w:rPr>
          <w:rFonts w:hint="eastAsia" w:ascii="楷体_GB2312" w:hAnsi="楷体_GB2312" w:eastAsia="楷体_GB2312" w:cs="楷体_GB2312"/>
          <w:b/>
          <w:bCs w:val="0"/>
          <w:color w:val="000000"/>
          <w:sz w:val="24"/>
          <w:lang w:val="en-US" w:eastAsia="zh-CN"/>
        </w:rPr>
        <w:t>6</w:t>
      </w:r>
      <w:r>
        <w:rPr>
          <w:rFonts w:hint="eastAsia" w:ascii="楷体_GB2312" w:hAnsi="楷体_GB2312" w:eastAsia="楷体_GB2312" w:cs="楷体_GB2312"/>
          <w:b/>
          <w:bCs/>
          <w:color w:val="000000"/>
          <w:sz w:val="24"/>
        </w:rPr>
        <w:t>月</w:t>
      </w:r>
      <w:r>
        <w:rPr>
          <w:rFonts w:hint="eastAsia" w:ascii="楷体_GB2312" w:hAnsi="楷体_GB2312" w:eastAsia="楷体_GB2312" w:cs="楷体_GB2312"/>
          <w:b/>
          <w:bCs/>
          <w:color w:val="000000"/>
          <w:sz w:val="24"/>
          <w:lang w:val="en-US" w:eastAsia="zh-CN"/>
        </w:rPr>
        <w:t>15</w:t>
      </w:r>
      <w:r>
        <w:rPr>
          <w:rFonts w:hint="eastAsia" w:ascii="楷体_GB2312" w:hAnsi="楷体_GB2312" w:eastAsia="楷体_GB2312" w:cs="楷体_GB2312"/>
          <w:b/>
          <w:bCs/>
          <w:color w:val="000000"/>
          <w:sz w:val="24"/>
        </w:rPr>
        <w:t>日前</w:t>
      </w:r>
      <w:r>
        <w:rPr>
          <w:rFonts w:hint="eastAsia" w:ascii="楷体_GB2312" w:hAnsi="楷体_GB2312" w:eastAsia="楷体_GB2312" w:cs="楷体_GB2312"/>
          <w:bCs/>
          <w:color w:val="000000"/>
          <w:sz w:val="24"/>
        </w:rPr>
        <w:t>报送</w:t>
      </w:r>
      <w:r>
        <w:rPr>
          <w:rFonts w:hint="eastAsia" w:ascii="楷体_GB2312" w:hAnsi="楷体_GB2312" w:eastAsia="楷体_GB2312" w:cs="楷体_GB2312"/>
          <w:bCs/>
          <w:color w:val="000000"/>
          <w:kern w:val="0"/>
          <w:sz w:val="24"/>
        </w:rPr>
        <w:t>市</w:t>
      </w:r>
      <w:r>
        <w:rPr>
          <w:rFonts w:hint="eastAsia" w:ascii="楷体_GB2312" w:hAnsi="楷体_GB2312" w:eastAsia="楷体_GB2312" w:cs="楷体_GB2312"/>
          <w:bCs/>
          <w:color w:val="000000"/>
          <w:kern w:val="0"/>
          <w:sz w:val="24"/>
          <w:lang w:eastAsia="zh-CN"/>
        </w:rPr>
        <w:t>水务局执法总队</w:t>
      </w:r>
      <w:r>
        <w:rPr>
          <w:rFonts w:hint="eastAsia" w:ascii="楷体_GB2312" w:hAnsi="楷体_GB2312" w:eastAsia="楷体_GB2312" w:cs="楷体_GB2312"/>
          <w:bCs/>
          <w:color w:val="000000"/>
          <w:sz w:val="24"/>
        </w:rPr>
        <w:t>，</w:t>
      </w:r>
      <w:r>
        <w:rPr>
          <w:rFonts w:hint="eastAsia" w:ascii="楷体_GB2312" w:hAnsi="楷体_GB2312" w:eastAsia="楷体_GB2312" w:cs="楷体_GB2312"/>
          <w:bCs/>
          <w:color w:val="000000"/>
          <w:kern w:val="0"/>
          <w:sz w:val="24"/>
        </w:rPr>
        <w:t>联系人：赵韵凯  电话：18916031791  传真：33770831</w:t>
      </w:r>
    </w:p>
    <w:p>
      <w:pPr>
        <w:widowControl/>
        <w:spacing w:line="360" w:lineRule="auto"/>
        <w:jc w:val="left"/>
        <w:rPr>
          <w:rFonts w:ascii="仿宋_GB2312" w:hAnsi="宋体" w:eastAsia="仿宋_GB2312" w:cs="Times New Roman"/>
          <w:bCs/>
          <w:color w:val="000000"/>
          <w:kern w:val="0"/>
          <w:sz w:val="24"/>
        </w:rPr>
      </w:pPr>
      <w:r>
        <w:rPr>
          <w:rFonts w:hint="eastAsia" w:ascii="仿宋_GB2312" w:hAnsi="宋体" w:eastAsia="仿宋_GB2312" w:cs="Times New Roman"/>
          <w:bCs/>
          <w:color w:val="000000"/>
          <w:kern w:val="0"/>
          <w:sz w:val="24"/>
        </w:rPr>
        <w:t xml:space="preserve">    </w:t>
      </w:r>
    </w:p>
    <w:p>
      <w:pPr>
        <w:widowControl/>
        <w:spacing w:line="360" w:lineRule="auto"/>
        <w:jc w:val="left"/>
        <w:rPr>
          <w:rFonts w:hint="eastAsia" w:ascii="仿宋_GB2312" w:hAnsi="宋体" w:eastAsia="仿宋_GB2312" w:cs="Times New Roman"/>
          <w:bCs/>
          <w:color w:val="000000"/>
          <w:kern w:val="0"/>
          <w:sz w:val="24"/>
          <w:lang w:val="en-US" w:eastAsia="zh-CN"/>
        </w:rPr>
      </w:pPr>
    </w:p>
    <w:sectPr>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C4"/>
    <w:rsid w:val="00007FA7"/>
    <w:rsid w:val="000263E7"/>
    <w:rsid w:val="00030A96"/>
    <w:rsid w:val="0003170C"/>
    <w:rsid w:val="00032D74"/>
    <w:rsid w:val="0004667F"/>
    <w:rsid w:val="000548B0"/>
    <w:rsid w:val="00077317"/>
    <w:rsid w:val="00077871"/>
    <w:rsid w:val="00081423"/>
    <w:rsid w:val="000877AA"/>
    <w:rsid w:val="00090F8A"/>
    <w:rsid w:val="000C41C5"/>
    <w:rsid w:val="000C5119"/>
    <w:rsid w:val="000C5E4F"/>
    <w:rsid w:val="000D608B"/>
    <w:rsid w:val="000E24D9"/>
    <w:rsid w:val="000F3377"/>
    <w:rsid w:val="00102C13"/>
    <w:rsid w:val="00106132"/>
    <w:rsid w:val="0010623B"/>
    <w:rsid w:val="00110B3F"/>
    <w:rsid w:val="00121055"/>
    <w:rsid w:val="00127B1B"/>
    <w:rsid w:val="001379E1"/>
    <w:rsid w:val="00140532"/>
    <w:rsid w:val="00146B80"/>
    <w:rsid w:val="00147D2F"/>
    <w:rsid w:val="00155490"/>
    <w:rsid w:val="001636C5"/>
    <w:rsid w:val="001673BA"/>
    <w:rsid w:val="001731C2"/>
    <w:rsid w:val="00183F93"/>
    <w:rsid w:val="00190339"/>
    <w:rsid w:val="00190B75"/>
    <w:rsid w:val="001A1A4C"/>
    <w:rsid w:val="001A39C2"/>
    <w:rsid w:val="001C74D9"/>
    <w:rsid w:val="001D317D"/>
    <w:rsid w:val="00201AF7"/>
    <w:rsid w:val="00201FB8"/>
    <w:rsid w:val="00226371"/>
    <w:rsid w:val="002357CC"/>
    <w:rsid w:val="00236119"/>
    <w:rsid w:val="00245276"/>
    <w:rsid w:val="00250E22"/>
    <w:rsid w:val="00257D3B"/>
    <w:rsid w:val="002656F3"/>
    <w:rsid w:val="00271C1A"/>
    <w:rsid w:val="00274F04"/>
    <w:rsid w:val="00283993"/>
    <w:rsid w:val="0029045F"/>
    <w:rsid w:val="00295BA3"/>
    <w:rsid w:val="002C044F"/>
    <w:rsid w:val="002C628A"/>
    <w:rsid w:val="002D0029"/>
    <w:rsid w:val="002E049A"/>
    <w:rsid w:val="002E0990"/>
    <w:rsid w:val="00302945"/>
    <w:rsid w:val="003232D0"/>
    <w:rsid w:val="00324631"/>
    <w:rsid w:val="0032635B"/>
    <w:rsid w:val="00331450"/>
    <w:rsid w:val="00336947"/>
    <w:rsid w:val="0034090E"/>
    <w:rsid w:val="00340E1A"/>
    <w:rsid w:val="003415F8"/>
    <w:rsid w:val="00346014"/>
    <w:rsid w:val="00362293"/>
    <w:rsid w:val="0036287F"/>
    <w:rsid w:val="00365132"/>
    <w:rsid w:val="003861F8"/>
    <w:rsid w:val="00390754"/>
    <w:rsid w:val="00391ED0"/>
    <w:rsid w:val="00394B7F"/>
    <w:rsid w:val="0039593D"/>
    <w:rsid w:val="003A5D50"/>
    <w:rsid w:val="003B129C"/>
    <w:rsid w:val="003C481B"/>
    <w:rsid w:val="003E2F15"/>
    <w:rsid w:val="003E425D"/>
    <w:rsid w:val="003E64A0"/>
    <w:rsid w:val="003E6DA7"/>
    <w:rsid w:val="003E7B82"/>
    <w:rsid w:val="0040000B"/>
    <w:rsid w:val="0040455A"/>
    <w:rsid w:val="004135F7"/>
    <w:rsid w:val="00414F75"/>
    <w:rsid w:val="004165DA"/>
    <w:rsid w:val="00453047"/>
    <w:rsid w:val="00455F43"/>
    <w:rsid w:val="004574B0"/>
    <w:rsid w:val="00473083"/>
    <w:rsid w:val="00484AC2"/>
    <w:rsid w:val="004A12EF"/>
    <w:rsid w:val="004C367F"/>
    <w:rsid w:val="004C3FF2"/>
    <w:rsid w:val="004C4A39"/>
    <w:rsid w:val="004D40B6"/>
    <w:rsid w:val="004D7A68"/>
    <w:rsid w:val="004E2035"/>
    <w:rsid w:val="004E61B8"/>
    <w:rsid w:val="004F2A8C"/>
    <w:rsid w:val="004F60F5"/>
    <w:rsid w:val="0050387C"/>
    <w:rsid w:val="005178A2"/>
    <w:rsid w:val="005178C5"/>
    <w:rsid w:val="00517DFA"/>
    <w:rsid w:val="00523939"/>
    <w:rsid w:val="005250CF"/>
    <w:rsid w:val="0054158C"/>
    <w:rsid w:val="00551859"/>
    <w:rsid w:val="00552023"/>
    <w:rsid w:val="00560659"/>
    <w:rsid w:val="00562AB1"/>
    <w:rsid w:val="00565B39"/>
    <w:rsid w:val="00566203"/>
    <w:rsid w:val="00576294"/>
    <w:rsid w:val="005769B0"/>
    <w:rsid w:val="00577488"/>
    <w:rsid w:val="00584D19"/>
    <w:rsid w:val="0059224F"/>
    <w:rsid w:val="00596712"/>
    <w:rsid w:val="005A077D"/>
    <w:rsid w:val="005A21AB"/>
    <w:rsid w:val="005A3C37"/>
    <w:rsid w:val="005B5A63"/>
    <w:rsid w:val="005D0591"/>
    <w:rsid w:val="005F3F58"/>
    <w:rsid w:val="0060275E"/>
    <w:rsid w:val="00607BC4"/>
    <w:rsid w:val="00624FF2"/>
    <w:rsid w:val="006255DB"/>
    <w:rsid w:val="00626514"/>
    <w:rsid w:val="00636611"/>
    <w:rsid w:val="00646BB5"/>
    <w:rsid w:val="006470C4"/>
    <w:rsid w:val="0065115B"/>
    <w:rsid w:val="00651383"/>
    <w:rsid w:val="00654814"/>
    <w:rsid w:val="006576CF"/>
    <w:rsid w:val="006723AE"/>
    <w:rsid w:val="006934B0"/>
    <w:rsid w:val="006A0076"/>
    <w:rsid w:val="006B5686"/>
    <w:rsid w:val="006B763C"/>
    <w:rsid w:val="006C724B"/>
    <w:rsid w:val="006F2409"/>
    <w:rsid w:val="006F48D0"/>
    <w:rsid w:val="00701DD2"/>
    <w:rsid w:val="00702B33"/>
    <w:rsid w:val="00703FF7"/>
    <w:rsid w:val="0070646A"/>
    <w:rsid w:val="00711BE6"/>
    <w:rsid w:val="00723AAA"/>
    <w:rsid w:val="007331C6"/>
    <w:rsid w:val="0074034B"/>
    <w:rsid w:val="007405B8"/>
    <w:rsid w:val="00741853"/>
    <w:rsid w:val="00743702"/>
    <w:rsid w:val="0074672A"/>
    <w:rsid w:val="0075603F"/>
    <w:rsid w:val="00756A8D"/>
    <w:rsid w:val="00757D42"/>
    <w:rsid w:val="0076261E"/>
    <w:rsid w:val="00763A16"/>
    <w:rsid w:val="00780331"/>
    <w:rsid w:val="007804E8"/>
    <w:rsid w:val="007B5915"/>
    <w:rsid w:val="007D501E"/>
    <w:rsid w:val="007D548A"/>
    <w:rsid w:val="007D71C1"/>
    <w:rsid w:val="007E3F23"/>
    <w:rsid w:val="007E7B48"/>
    <w:rsid w:val="00803AF9"/>
    <w:rsid w:val="00807EAE"/>
    <w:rsid w:val="00816074"/>
    <w:rsid w:val="00827963"/>
    <w:rsid w:val="008304A4"/>
    <w:rsid w:val="0083500B"/>
    <w:rsid w:val="00843B39"/>
    <w:rsid w:val="008520BD"/>
    <w:rsid w:val="00853B7C"/>
    <w:rsid w:val="00857460"/>
    <w:rsid w:val="00867258"/>
    <w:rsid w:val="008752C6"/>
    <w:rsid w:val="008828CD"/>
    <w:rsid w:val="0088291F"/>
    <w:rsid w:val="00883A6E"/>
    <w:rsid w:val="00887F67"/>
    <w:rsid w:val="00890E86"/>
    <w:rsid w:val="008A6637"/>
    <w:rsid w:val="008B07F3"/>
    <w:rsid w:val="008B53B0"/>
    <w:rsid w:val="008C09AC"/>
    <w:rsid w:val="008C37C4"/>
    <w:rsid w:val="008C4329"/>
    <w:rsid w:val="008D065C"/>
    <w:rsid w:val="008E1BA6"/>
    <w:rsid w:val="008E48F5"/>
    <w:rsid w:val="00903D4C"/>
    <w:rsid w:val="00904BC1"/>
    <w:rsid w:val="00913577"/>
    <w:rsid w:val="00922113"/>
    <w:rsid w:val="009250D0"/>
    <w:rsid w:val="009310E1"/>
    <w:rsid w:val="00953A7F"/>
    <w:rsid w:val="009546D4"/>
    <w:rsid w:val="00964FD4"/>
    <w:rsid w:val="00973400"/>
    <w:rsid w:val="0098196E"/>
    <w:rsid w:val="00992963"/>
    <w:rsid w:val="00993E43"/>
    <w:rsid w:val="009B213E"/>
    <w:rsid w:val="009B4254"/>
    <w:rsid w:val="009C063A"/>
    <w:rsid w:val="009C1883"/>
    <w:rsid w:val="009D14A1"/>
    <w:rsid w:val="009D286E"/>
    <w:rsid w:val="009D295F"/>
    <w:rsid w:val="009D3969"/>
    <w:rsid w:val="009D58FF"/>
    <w:rsid w:val="009E71D8"/>
    <w:rsid w:val="009F32A9"/>
    <w:rsid w:val="009F65AD"/>
    <w:rsid w:val="00A03172"/>
    <w:rsid w:val="00A05944"/>
    <w:rsid w:val="00A2103F"/>
    <w:rsid w:val="00A21764"/>
    <w:rsid w:val="00A37DD0"/>
    <w:rsid w:val="00A40A52"/>
    <w:rsid w:val="00A53B15"/>
    <w:rsid w:val="00A5419E"/>
    <w:rsid w:val="00A71B34"/>
    <w:rsid w:val="00A729EA"/>
    <w:rsid w:val="00A72BDB"/>
    <w:rsid w:val="00A83E40"/>
    <w:rsid w:val="00A96310"/>
    <w:rsid w:val="00A97934"/>
    <w:rsid w:val="00AA0325"/>
    <w:rsid w:val="00AA06A4"/>
    <w:rsid w:val="00AC2792"/>
    <w:rsid w:val="00AD34C8"/>
    <w:rsid w:val="00AD74C7"/>
    <w:rsid w:val="00AE4938"/>
    <w:rsid w:val="00AE5949"/>
    <w:rsid w:val="00B01A54"/>
    <w:rsid w:val="00B0435E"/>
    <w:rsid w:val="00B21671"/>
    <w:rsid w:val="00B3127B"/>
    <w:rsid w:val="00B4069B"/>
    <w:rsid w:val="00B413CA"/>
    <w:rsid w:val="00B42DEE"/>
    <w:rsid w:val="00B51540"/>
    <w:rsid w:val="00B566BF"/>
    <w:rsid w:val="00B66A07"/>
    <w:rsid w:val="00BA1E17"/>
    <w:rsid w:val="00BA4243"/>
    <w:rsid w:val="00BA51CB"/>
    <w:rsid w:val="00BB4E3E"/>
    <w:rsid w:val="00BC7E57"/>
    <w:rsid w:val="00BD0CF2"/>
    <w:rsid w:val="00BD28E0"/>
    <w:rsid w:val="00BE27B6"/>
    <w:rsid w:val="00BF0311"/>
    <w:rsid w:val="00BF33E6"/>
    <w:rsid w:val="00BF522D"/>
    <w:rsid w:val="00BF7CC2"/>
    <w:rsid w:val="00C05E8A"/>
    <w:rsid w:val="00C115D9"/>
    <w:rsid w:val="00C17BD0"/>
    <w:rsid w:val="00C205F8"/>
    <w:rsid w:val="00C2175E"/>
    <w:rsid w:val="00C3433F"/>
    <w:rsid w:val="00C411E8"/>
    <w:rsid w:val="00C43A2D"/>
    <w:rsid w:val="00C6110A"/>
    <w:rsid w:val="00C823AC"/>
    <w:rsid w:val="00C90ADA"/>
    <w:rsid w:val="00C9453C"/>
    <w:rsid w:val="00C959B8"/>
    <w:rsid w:val="00CA0CCB"/>
    <w:rsid w:val="00CA0E82"/>
    <w:rsid w:val="00CA2DA2"/>
    <w:rsid w:val="00CA5DA4"/>
    <w:rsid w:val="00CB3842"/>
    <w:rsid w:val="00CC27EF"/>
    <w:rsid w:val="00CD27FE"/>
    <w:rsid w:val="00CE029E"/>
    <w:rsid w:val="00CE2092"/>
    <w:rsid w:val="00CE29E9"/>
    <w:rsid w:val="00CE5C68"/>
    <w:rsid w:val="00CE62F4"/>
    <w:rsid w:val="00D01C40"/>
    <w:rsid w:val="00D03238"/>
    <w:rsid w:val="00D063B2"/>
    <w:rsid w:val="00D16512"/>
    <w:rsid w:val="00D33A5A"/>
    <w:rsid w:val="00D3782D"/>
    <w:rsid w:val="00D43400"/>
    <w:rsid w:val="00D5331B"/>
    <w:rsid w:val="00D56166"/>
    <w:rsid w:val="00D5787B"/>
    <w:rsid w:val="00D816AF"/>
    <w:rsid w:val="00D866FE"/>
    <w:rsid w:val="00DA3E11"/>
    <w:rsid w:val="00DB293C"/>
    <w:rsid w:val="00DB4342"/>
    <w:rsid w:val="00DB5207"/>
    <w:rsid w:val="00DD1597"/>
    <w:rsid w:val="00DD511F"/>
    <w:rsid w:val="00DE1247"/>
    <w:rsid w:val="00DE5F4C"/>
    <w:rsid w:val="00E01E82"/>
    <w:rsid w:val="00E06B74"/>
    <w:rsid w:val="00E109EF"/>
    <w:rsid w:val="00E23308"/>
    <w:rsid w:val="00E23773"/>
    <w:rsid w:val="00E24C5A"/>
    <w:rsid w:val="00E25749"/>
    <w:rsid w:val="00E418B8"/>
    <w:rsid w:val="00E43ABC"/>
    <w:rsid w:val="00E504BF"/>
    <w:rsid w:val="00E521C5"/>
    <w:rsid w:val="00E6070A"/>
    <w:rsid w:val="00E627D9"/>
    <w:rsid w:val="00E66F1F"/>
    <w:rsid w:val="00E6719E"/>
    <w:rsid w:val="00E74A61"/>
    <w:rsid w:val="00E85573"/>
    <w:rsid w:val="00E9104A"/>
    <w:rsid w:val="00EA3417"/>
    <w:rsid w:val="00EA7E66"/>
    <w:rsid w:val="00EA7FF4"/>
    <w:rsid w:val="00EC5415"/>
    <w:rsid w:val="00EC7A58"/>
    <w:rsid w:val="00ED5317"/>
    <w:rsid w:val="00F02A0E"/>
    <w:rsid w:val="00F15A6C"/>
    <w:rsid w:val="00F15AD8"/>
    <w:rsid w:val="00F248D9"/>
    <w:rsid w:val="00F26C00"/>
    <w:rsid w:val="00F34CB2"/>
    <w:rsid w:val="00F555D5"/>
    <w:rsid w:val="00F6023A"/>
    <w:rsid w:val="00F67FEF"/>
    <w:rsid w:val="00F84D59"/>
    <w:rsid w:val="00F9056B"/>
    <w:rsid w:val="00FA65E9"/>
    <w:rsid w:val="00FB066E"/>
    <w:rsid w:val="00FC0E85"/>
    <w:rsid w:val="00FC384A"/>
    <w:rsid w:val="00FD4306"/>
    <w:rsid w:val="00FE0CEA"/>
    <w:rsid w:val="00FE6D5A"/>
    <w:rsid w:val="00FF03B6"/>
    <w:rsid w:val="00FF0AB1"/>
    <w:rsid w:val="00FF663E"/>
    <w:rsid w:val="00FF6FAE"/>
    <w:rsid w:val="0B5F1973"/>
    <w:rsid w:val="1DB6C40E"/>
    <w:rsid w:val="1E6FBB38"/>
    <w:rsid w:val="1E8BDFBF"/>
    <w:rsid w:val="1EB7CED4"/>
    <w:rsid w:val="1F5F8A44"/>
    <w:rsid w:val="1F7E380E"/>
    <w:rsid w:val="255BDEF4"/>
    <w:rsid w:val="27FB9EAE"/>
    <w:rsid w:val="2FE7F7FD"/>
    <w:rsid w:val="2FFEBEA6"/>
    <w:rsid w:val="35DE3197"/>
    <w:rsid w:val="377EA14F"/>
    <w:rsid w:val="37B567D4"/>
    <w:rsid w:val="37BFDFF1"/>
    <w:rsid w:val="3B6CACE4"/>
    <w:rsid w:val="3D2F60F5"/>
    <w:rsid w:val="3D6FB7A1"/>
    <w:rsid w:val="3EAEC425"/>
    <w:rsid w:val="3F7F2C78"/>
    <w:rsid w:val="3F7FA9E0"/>
    <w:rsid w:val="3FBFA661"/>
    <w:rsid w:val="3FFD64EE"/>
    <w:rsid w:val="4BFF4295"/>
    <w:rsid w:val="4DFE9DF2"/>
    <w:rsid w:val="4ECF3F49"/>
    <w:rsid w:val="4FFD80A1"/>
    <w:rsid w:val="55FF9E57"/>
    <w:rsid w:val="57FB9B4A"/>
    <w:rsid w:val="59D681CD"/>
    <w:rsid w:val="5D7EA438"/>
    <w:rsid w:val="5EF951DF"/>
    <w:rsid w:val="5EFD3E7C"/>
    <w:rsid w:val="5F3F7857"/>
    <w:rsid w:val="5F5FC1FE"/>
    <w:rsid w:val="5FAE91F3"/>
    <w:rsid w:val="5FB61AA5"/>
    <w:rsid w:val="5FBF8BE1"/>
    <w:rsid w:val="5FDF9EA8"/>
    <w:rsid w:val="5FEB0B69"/>
    <w:rsid w:val="5FFD840C"/>
    <w:rsid w:val="63DB2365"/>
    <w:rsid w:val="676A0770"/>
    <w:rsid w:val="69FF6853"/>
    <w:rsid w:val="69FFC491"/>
    <w:rsid w:val="6D57E4EA"/>
    <w:rsid w:val="6D74C321"/>
    <w:rsid w:val="6ED7718F"/>
    <w:rsid w:val="6F7F0A9E"/>
    <w:rsid w:val="6FC76905"/>
    <w:rsid w:val="6FCD8C2A"/>
    <w:rsid w:val="6FCDB3C7"/>
    <w:rsid w:val="6FF578CA"/>
    <w:rsid w:val="71DF581D"/>
    <w:rsid w:val="73FBB627"/>
    <w:rsid w:val="73FFFF21"/>
    <w:rsid w:val="755B4EF6"/>
    <w:rsid w:val="75ED5D32"/>
    <w:rsid w:val="77D79208"/>
    <w:rsid w:val="793D3AFC"/>
    <w:rsid w:val="79D9B95C"/>
    <w:rsid w:val="7A5EC20A"/>
    <w:rsid w:val="7B4D0EAA"/>
    <w:rsid w:val="7B57DE83"/>
    <w:rsid w:val="7BFDFB0F"/>
    <w:rsid w:val="7D2FC8B6"/>
    <w:rsid w:val="7DFD55A8"/>
    <w:rsid w:val="7DFF3335"/>
    <w:rsid w:val="7DFF8D11"/>
    <w:rsid w:val="7EBE765D"/>
    <w:rsid w:val="7ED47799"/>
    <w:rsid w:val="7F35D1F4"/>
    <w:rsid w:val="7F6DEE5B"/>
    <w:rsid w:val="7F721BDF"/>
    <w:rsid w:val="7F7F8630"/>
    <w:rsid w:val="7F94D85B"/>
    <w:rsid w:val="7FB7C67E"/>
    <w:rsid w:val="7FB9BA8F"/>
    <w:rsid w:val="7FCC43B5"/>
    <w:rsid w:val="7FED6D1E"/>
    <w:rsid w:val="7FFF015C"/>
    <w:rsid w:val="8C8F024D"/>
    <w:rsid w:val="8CE3016F"/>
    <w:rsid w:val="92FFEDA5"/>
    <w:rsid w:val="97DFA024"/>
    <w:rsid w:val="99FAF632"/>
    <w:rsid w:val="9B9C19FA"/>
    <w:rsid w:val="9D4B5CFF"/>
    <w:rsid w:val="9FC35B0A"/>
    <w:rsid w:val="A3BD7A9F"/>
    <w:rsid w:val="A47F9F44"/>
    <w:rsid w:val="A69E77F0"/>
    <w:rsid w:val="AFDFD4A2"/>
    <w:rsid w:val="AFF9C341"/>
    <w:rsid w:val="B1FF1583"/>
    <w:rsid w:val="B69D2925"/>
    <w:rsid w:val="B7DFAC58"/>
    <w:rsid w:val="BCE76A96"/>
    <w:rsid w:val="BCFEDC94"/>
    <w:rsid w:val="BD7A4C21"/>
    <w:rsid w:val="BF6BD521"/>
    <w:rsid w:val="BF6FCC19"/>
    <w:rsid w:val="BFFF1065"/>
    <w:rsid w:val="BFFF3265"/>
    <w:rsid w:val="C24E29A7"/>
    <w:rsid w:val="C59DAF25"/>
    <w:rsid w:val="C7BF3BF4"/>
    <w:rsid w:val="CF787A4B"/>
    <w:rsid w:val="CFBF81E6"/>
    <w:rsid w:val="CFFD1306"/>
    <w:rsid w:val="D36FF1C7"/>
    <w:rsid w:val="D5EFE880"/>
    <w:rsid w:val="D7BF500D"/>
    <w:rsid w:val="D9F0C277"/>
    <w:rsid w:val="DA962FED"/>
    <w:rsid w:val="DB9E5ED5"/>
    <w:rsid w:val="DBAD6C51"/>
    <w:rsid w:val="DC5B7A4F"/>
    <w:rsid w:val="DDF3B174"/>
    <w:rsid w:val="DF1BDAB0"/>
    <w:rsid w:val="DFDE5D75"/>
    <w:rsid w:val="DFEB4ADC"/>
    <w:rsid w:val="DFFB8C80"/>
    <w:rsid w:val="E56DA29F"/>
    <w:rsid w:val="E7FE39FD"/>
    <w:rsid w:val="E7FEA813"/>
    <w:rsid w:val="E9A31BC5"/>
    <w:rsid w:val="EBE70D61"/>
    <w:rsid w:val="EC7FBD80"/>
    <w:rsid w:val="EDAE4AB0"/>
    <w:rsid w:val="EEDFE23E"/>
    <w:rsid w:val="EF7BD997"/>
    <w:rsid w:val="EF7F43B7"/>
    <w:rsid w:val="EFBF2F6C"/>
    <w:rsid w:val="EFDC11E3"/>
    <w:rsid w:val="EFDDBD29"/>
    <w:rsid w:val="EFF98C89"/>
    <w:rsid w:val="EFFAEF66"/>
    <w:rsid w:val="EFFF8115"/>
    <w:rsid w:val="F4A7C83E"/>
    <w:rsid w:val="F5BBB168"/>
    <w:rsid w:val="F61B5639"/>
    <w:rsid w:val="F7DFEDAF"/>
    <w:rsid w:val="F7FF58D2"/>
    <w:rsid w:val="FAFF6A55"/>
    <w:rsid w:val="FB6E079A"/>
    <w:rsid w:val="FBF309DF"/>
    <w:rsid w:val="FBF79E2A"/>
    <w:rsid w:val="FBFD6EA3"/>
    <w:rsid w:val="FCCFCDD2"/>
    <w:rsid w:val="FDF99E22"/>
    <w:rsid w:val="FDFB061C"/>
    <w:rsid w:val="FDFDBCC5"/>
    <w:rsid w:val="FDFF2F3F"/>
    <w:rsid w:val="FE7B7CB0"/>
    <w:rsid w:val="FE7E47A8"/>
    <w:rsid w:val="FEBF9A6C"/>
    <w:rsid w:val="FECF05D8"/>
    <w:rsid w:val="FF2FD5DC"/>
    <w:rsid w:val="FF4D4DF3"/>
    <w:rsid w:val="FF4D5FCA"/>
    <w:rsid w:val="FFA78F7F"/>
    <w:rsid w:val="FFDAF10E"/>
    <w:rsid w:val="FFE7D486"/>
    <w:rsid w:val="FFEB1A70"/>
    <w:rsid w:val="FFF5ACE2"/>
    <w:rsid w:val="FFF61EC8"/>
    <w:rsid w:val="FFFB51E4"/>
    <w:rsid w:val="FFFBB809"/>
    <w:rsid w:val="FFFBD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99"/>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rFonts w:ascii="Calibri" w:hAnsi="Calibri" w:eastAsia="宋体" w:cs="Calibri"/>
      <w:sz w:val="18"/>
      <w:szCs w:val="18"/>
    </w:rPr>
  </w:style>
  <w:style w:type="character" w:customStyle="1" w:styleId="10">
    <w:name w:val="页脚 Char"/>
    <w:basedOn w:val="6"/>
    <w:link w:val="2"/>
    <w:semiHidden/>
    <w:qFormat/>
    <w:uiPriority w:val="99"/>
    <w:rPr>
      <w:rFonts w:ascii="Calibri" w:hAnsi="Calibri" w:eastAsia="宋体" w:cs="Calibri"/>
      <w:sz w:val="18"/>
      <w:szCs w:val="18"/>
    </w:rPr>
  </w:style>
  <w:style w:type="paragraph" w:styleId="11">
    <w:name w:val="List Paragraph"/>
    <w:basedOn w:val="1"/>
    <w:qFormat/>
    <w:uiPriority w:val="34"/>
    <w:pPr>
      <w:ind w:firstLine="420" w:firstLineChars="200"/>
    </w:pPr>
  </w:style>
  <w:style w:type="character" w:customStyle="1" w:styleId="12">
    <w:name w:val="Hyperlink.0"/>
    <w:basedOn w:val="6"/>
    <w:qFormat/>
    <w:uiPriority w:val="0"/>
    <w:rPr>
      <w:rFonts w:ascii="仿宋_GB2312" w:hAnsi="仿宋_GB2312" w:eastAsia="仿宋_GB2312" w:cs="仿宋_GB2312"/>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386</Words>
  <Characters>2201</Characters>
  <Lines>18</Lines>
  <Paragraphs>5</Paragraphs>
  <TotalTime>14</TotalTime>
  <ScaleCrop>false</ScaleCrop>
  <LinksUpToDate>false</LinksUpToDate>
  <CharactersWithSpaces>2582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2020-04-07T02:01:00Z</dcterms:created>
  <dc:creator>huangxiang</dc:creator>
  <cp:lastModifiedBy>文印室</cp:lastModifiedBy>
  <cp:lastPrinted>2025-05-17T01:05:00Z</cp:lastPrinted>
  <dcterms:modified xsi:type="dcterms:W3CDTF">2025-06-09T14:38:54Z</dcterms:modified>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