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0" w:afterLines="0" w:line="600" w:lineRule="exact"/>
        <w:ind w:firstLine="0" w:firstLineChars="0"/>
        <w:jc w:val="center"/>
        <w:rPr>
          <w:rFonts w:hint="eastAsia" w:ascii="方正小标宋简体" w:hAnsi="方正小标宋简体" w:eastAsia="方正小标宋简体" w:cs="方正小标宋简体"/>
          <w:b w:val="0"/>
          <w:bCs w:val="0"/>
          <w:sz w:val="36"/>
          <w:szCs w:val="36"/>
        </w:rPr>
      </w:pPr>
      <w:bookmarkStart w:id="17" w:name="_GoBack"/>
      <w:bookmarkEnd w:id="17"/>
      <w:bookmarkStart w:id="0" w:name="_Toc7364"/>
      <w:r>
        <w:rPr>
          <w:rFonts w:hint="eastAsia" w:ascii="方正小标宋简体" w:hAnsi="方正小标宋简体" w:eastAsia="方正小标宋简体" w:cs="方正小标宋简体"/>
          <w:b w:val="0"/>
          <w:bCs w:val="0"/>
          <w:sz w:val="36"/>
          <w:szCs w:val="36"/>
        </w:rPr>
        <w:t>上海市水平衡测试管理规定</w:t>
      </w:r>
      <w:bookmarkEnd w:id="0"/>
    </w:p>
    <w:p>
      <w:pPr>
        <w:spacing w:beforeLines="0" w:afterLines="0" w:line="600" w:lineRule="exact"/>
        <w:ind w:firstLine="640" w:firstLineChars="200"/>
        <w:jc w:val="left"/>
        <w:outlineLvl w:val="0"/>
        <w:rPr>
          <w:rFonts w:hint="eastAsia" w:ascii="仿宋_GB2312" w:hAnsi="仿宋_GB2312" w:eastAsia="仿宋_GB2312" w:cs="仿宋_GB2312"/>
          <w:sz w:val="32"/>
          <w:szCs w:val="32"/>
        </w:rPr>
      </w:pPr>
      <w:bookmarkStart w:id="1" w:name="_Toc30367"/>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第一条（目的和依据）</w:t>
      </w:r>
      <w:bookmarkEnd w:id="1"/>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最严格水资源管理制度，加强用水效率管理，规范本市水平衡测试工作，根据《中华人民共和国水法》《上海市水资源管理若干规定》《上海市取水许可和水资源费征收管理实施办法》等规定，结合本市实际，制定本规定。</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2" w:name="_Toc5675"/>
      <w:r>
        <w:rPr>
          <w:rFonts w:hint="eastAsia" w:ascii="仿宋_GB2312" w:hAnsi="仿宋_GB2312" w:eastAsia="仿宋_GB2312" w:cs="仿宋_GB2312"/>
          <w:b/>
          <w:bCs/>
          <w:sz w:val="32"/>
          <w:szCs w:val="32"/>
        </w:rPr>
        <w:t>第二条（定义）</w:t>
      </w:r>
      <w:bookmarkEnd w:id="2"/>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本规定所称的水平衡，是指以取水单位、用水单位（以下简称取用水单位）为考察对象的水量平衡，即该取用水单位各用水单元或系统的输入水量之和应等于输出水量之和。</w:t>
      </w:r>
    </w:p>
    <w:p>
      <w:pPr>
        <w:spacing w:beforeLines="0" w:afterLines="0" w:line="600" w:lineRule="exact"/>
        <w:ind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rPr>
        <w:t>本规定所</w:t>
      </w:r>
      <w:r>
        <w:rPr>
          <w:rFonts w:hint="eastAsia" w:ascii="仿宋_GB2312" w:hAnsi="仿宋_GB2312" w:eastAsia="仿宋_GB2312" w:cs="仿宋_GB2312"/>
          <w:b w:val="0"/>
          <w:bCs w:val="0"/>
          <w:sz w:val="32"/>
          <w:szCs w:val="32"/>
          <w:highlight w:val="none"/>
        </w:rPr>
        <w:t>称的水平衡测试，是指对用水单元和系统的水量进行系统</w:t>
      </w:r>
      <w:r>
        <w:rPr>
          <w:rFonts w:hint="eastAsia" w:ascii="仿宋_GB2312" w:hAnsi="仿宋_GB2312" w:eastAsia="仿宋_GB2312" w:cs="仿宋_GB2312"/>
          <w:b w:val="0"/>
          <w:bCs w:val="0"/>
          <w:sz w:val="32"/>
          <w:szCs w:val="32"/>
          <w:highlight w:val="none"/>
          <w:lang w:eastAsia="zh-CN"/>
        </w:rPr>
        <w:t>地</w:t>
      </w:r>
      <w:r>
        <w:rPr>
          <w:rFonts w:hint="eastAsia" w:ascii="仿宋_GB2312" w:hAnsi="仿宋_GB2312" w:eastAsia="仿宋_GB2312" w:cs="仿宋_GB2312"/>
          <w:b w:val="0"/>
          <w:bCs w:val="0"/>
          <w:sz w:val="32"/>
          <w:szCs w:val="32"/>
          <w:highlight w:val="none"/>
        </w:rPr>
        <w:t>测量、统计和计算，根据水量平衡原理，分析查找问题并提出持续改进建议的过程。</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3" w:name="_Toc4955"/>
      <w:r>
        <w:rPr>
          <w:rFonts w:hint="eastAsia" w:ascii="仿宋_GB2312" w:hAnsi="仿宋_GB2312" w:eastAsia="仿宋_GB2312" w:cs="仿宋_GB2312"/>
          <w:b/>
          <w:bCs/>
          <w:sz w:val="32"/>
          <w:szCs w:val="32"/>
          <w:highlight w:val="none"/>
        </w:rPr>
        <w:t>第三条（适用范围</w:t>
      </w:r>
      <w:r>
        <w:rPr>
          <w:rFonts w:hint="eastAsia" w:ascii="仿宋_GB2312" w:hAnsi="仿宋_GB2312" w:eastAsia="仿宋_GB2312" w:cs="仿宋_GB2312"/>
          <w:b/>
          <w:bCs/>
          <w:sz w:val="32"/>
          <w:szCs w:val="32"/>
        </w:rPr>
        <w:t>）</w:t>
      </w:r>
      <w:bookmarkEnd w:id="3"/>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本规定适用于本市行政区域内开展水平衡测试以及相关管理活动。</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4" w:name="_Toc7875"/>
      <w:r>
        <w:rPr>
          <w:rFonts w:hint="eastAsia" w:ascii="仿宋_GB2312" w:hAnsi="仿宋_GB2312" w:eastAsia="仿宋_GB2312" w:cs="仿宋_GB2312"/>
          <w:b/>
          <w:bCs/>
          <w:sz w:val="32"/>
          <w:szCs w:val="32"/>
        </w:rPr>
        <w:t>第四条（管理职责）</w:t>
      </w:r>
      <w:bookmarkEnd w:id="4"/>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上海市水务局（以下简称市水务局）是本市水平衡测试工作的主管部门，其所属的上海市供水管理事务中心（以下简称市供水事务中心）负责市管取用水单位的水平衡测试的具体管理工作。</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区水行政主管部门和中国（上海）自由贸易试验区临港新片区管理委员会，按照职责分工，负责区管取用水单位的水平衡测试的具体管理工作。</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市管取水单位同时属于区管用水单位的，由市供水事务中心负责水平衡测试的具体管理工作。</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5" w:name="_Toc27190"/>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条（测试范围和周期）</w:t>
      </w:r>
      <w:bookmarkEnd w:id="5"/>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日取水量15万立方米</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以上的取水单位和</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用水量</w:t>
      </w:r>
      <w:r>
        <w:rPr>
          <w:rFonts w:hint="eastAsia" w:ascii="仿宋_GB2312" w:hAnsi="仿宋_GB2312" w:eastAsia="仿宋_GB2312" w:cs="仿宋_GB2312"/>
          <w:sz w:val="32"/>
          <w:szCs w:val="32"/>
          <w:lang w:val="en-US" w:eastAsia="zh-CN"/>
        </w:rPr>
        <w:t>30万</w:t>
      </w:r>
      <w:r>
        <w:rPr>
          <w:rFonts w:hint="eastAsia" w:ascii="仿宋_GB2312" w:hAnsi="仿宋_GB2312" w:eastAsia="仿宋_GB2312" w:cs="仿宋_GB2312"/>
          <w:sz w:val="32"/>
          <w:szCs w:val="32"/>
        </w:rPr>
        <w:t>立方米</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以上的用水单位，应当每五年开展一次水平衡测试工作。</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取用水单位可以自行开展水平衡测试工作，也可以委托专业测试机构开展水平衡测试工作。</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6" w:name="_Toc4870"/>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条（及时测试）</w:t>
      </w:r>
      <w:bookmarkEnd w:id="6"/>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取用水单位有下列情形之一，导致用水情况发生变化的，应当及时进行水平衡测试：</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（一）改建、扩建工程竣工投入使用的；</w:t>
      </w:r>
    </w:p>
    <w:p>
      <w:pPr>
        <w:spacing w:beforeLines="0" w:afterLines="0" w:line="600" w:lineRule="exact"/>
        <w:ind w:firstLine="640" w:firstLineChars="200"/>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（二）产品结构、生产工艺、水处理及循环水设施发生变化的。</w:t>
      </w:r>
      <w:bookmarkStart w:id="7" w:name="_Toc28320"/>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条（主动服务）</w:t>
      </w:r>
      <w:bookmarkEnd w:id="7"/>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管理部门应当根据测试有效期，及时提醒取用水单位开展水平衡测试。</w:t>
      </w:r>
    </w:p>
    <w:p>
      <w:pPr>
        <w:pStyle w:val="27"/>
        <w:widowControl w:val="0"/>
        <w:spacing w:beforeLines="-2147483648" w:afterLines="-2147483648" w:line="240" w:lineRule="auto"/>
        <w:ind w:firstLine="642" w:firstLineChars="200"/>
        <w:jc w:val="left"/>
        <w:outlineLvl w:val="0"/>
        <w:rPr>
          <w:rFonts w:hint="eastAsia" w:ascii="仿宋_GB2312" w:hAnsi="Times New Roman" w:eastAsia="仿宋_GB2312" w:cs="Times New Roman"/>
          <w:b/>
          <w:bCs/>
          <w:sz w:val="32"/>
          <w:szCs w:val="20"/>
        </w:rPr>
      </w:pPr>
      <w:bookmarkStart w:id="8" w:name="_Toc19814"/>
      <w:r>
        <w:rPr>
          <w:rFonts w:hint="eastAsia" w:ascii="仿宋_GB2312" w:hAnsi="Times New Roman" w:eastAsia="仿宋_GB2312" w:cs="Times New Roman"/>
          <w:b/>
          <w:bCs/>
          <w:sz w:val="32"/>
          <w:szCs w:val="20"/>
        </w:rPr>
        <w:t>第</w:t>
      </w:r>
      <w:r>
        <w:rPr>
          <w:rFonts w:hint="eastAsia" w:ascii="仿宋_GB2312" w:hAnsi="Times New Roman" w:eastAsia="仿宋_GB2312" w:cs="Times New Roman"/>
          <w:b/>
          <w:bCs/>
          <w:sz w:val="32"/>
          <w:szCs w:val="20"/>
          <w:lang w:eastAsia="zh-CN"/>
        </w:rPr>
        <w:t>八</w:t>
      </w:r>
      <w:r>
        <w:rPr>
          <w:rFonts w:hint="eastAsia" w:ascii="仿宋_GB2312" w:hAnsi="Times New Roman" w:eastAsia="仿宋_GB2312" w:cs="Times New Roman"/>
          <w:b/>
          <w:bCs/>
          <w:sz w:val="32"/>
          <w:szCs w:val="20"/>
        </w:rPr>
        <w:t>条（监督性测试）</w:t>
      </w:r>
      <w:bookmarkEnd w:id="8"/>
    </w:p>
    <w:p>
      <w:pPr>
        <w:pStyle w:val="27"/>
        <w:widowControl w:val="0"/>
        <w:spacing w:beforeLines="-2147483648" w:afterLines="-2147483648" w:line="240" w:lineRule="auto"/>
        <w:ind w:firstLine="640" w:firstLineChars="200"/>
        <w:jc w:val="left"/>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管理部门应当根据取用水单位用水实际情况和节约用水管理需要，组织专业测试机构对部分取用水单位进行水平衡测试。</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管理部门应当提前十五日，将水平衡测试的范围和时间告知相关取用水单位。取用水单位应当配合管理部门及其委托的专业测试机构开展水平衡测试。</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9" w:name="_Toc16709"/>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条（测试具体内容）</w:t>
      </w:r>
      <w:bookmarkEnd w:id="9"/>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和专业测试机构应当按照《水平衡测试通则》（GB/T12452）和《用水单位水计量器具配备和管理通则》（GB/T24789）等标准规范，对水表配备率、水表计量率、用水环节、用水工艺、用水设备及用水合理化分析等开展测试工作。</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取用水单位应当针对水平衡测试过程中发现的问题，及时整改，达到水量平衡。</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0" w:name="_Toc17984"/>
      <w:r>
        <w:rPr>
          <w:rFonts w:hint="eastAsia" w:ascii="仿宋_GB2312" w:hAnsi="仿宋_GB2312" w:eastAsia="仿宋_GB2312" w:cs="仿宋_GB2312"/>
          <w:b/>
          <w:bCs/>
          <w:sz w:val="32"/>
          <w:szCs w:val="32"/>
        </w:rPr>
        <w:t>第十条（在线水平衡测试）</w:t>
      </w:r>
      <w:bookmarkEnd w:id="10"/>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鼓励取用水单位安装智能远传计量水表，完善智慧用水计量网络，建立智慧节水管理平台，开展在线水平衡测试。</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1" w:name="_Toc8695"/>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条（备案）</w:t>
      </w:r>
      <w:bookmarkEnd w:id="11"/>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取用水单位应当根据水平衡测试情况，编制水平衡测试报告书；水平衡测试和整改情况应当自测试整改完成之日起十五日内向管理部门备案。</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管理部门收到备案材料后，发现问题的，应当对取用水单位的水平衡情况进行监督检查。</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2" w:name="_Toc27022"/>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条（备案信息抄送）</w:t>
      </w:r>
      <w:bookmarkEnd w:id="12"/>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区水行政主管部门和中国（上海）自由贸易试验区临港新片区管理委员会应当每月将水平衡测试备案情况报送至市供水事务中心。</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3" w:name="_Toc29318"/>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条（培训）</w:t>
      </w:r>
      <w:bookmarkEnd w:id="13"/>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管理部门应当每年组织符合</w:t>
      </w:r>
      <w:r>
        <w:rPr>
          <w:rFonts w:hint="eastAsia" w:ascii="仿宋_GB2312" w:hAnsi="仿宋_GB2312" w:eastAsia="仿宋_GB2312" w:cs="仿宋_GB2312"/>
          <w:sz w:val="32"/>
          <w:szCs w:val="32"/>
          <w:lang w:eastAsia="zh-CN"/>
        </w:rPr>
        <w:t>第五条</w:t>
      </w:r>
      <w:r>
        <w:rPr>
          <w:rFonts w:hint="eastAsia" w:ascii="仿宋_GB2312" w:hAnsi="仿宋_GB2312" w:eastAsia="仿宋_GB2312" w:cs="仿宋_GB2312"/>
          <w:sz w:val="32"/>
          <w:szCs w:val="32"/>
        </w:rPr>
        <w:t>第一款规定的取用水单位开展水平衡测试专题培训。</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4" w:name="_Toc10387"/>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条（满意度测评）</w:t>
      </w:r>
      <w:bookmarkEnd w:id="14"/>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管理部门应当加强对专业测试机构的监管，每年开展满意度测评。</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lang w:eastAsia="zh-CN"/>
        </w:rPr>
      </w:pPr>
      <w:bookmarkStart w:id="15" w:name="_Toc766"/>
      <w:r>
        <w:rPr>
          <w:rFonts w:hint="eastAsia" w:ascii="仿宋_GB2312" w:hAnsi="仿宋_GB2312" w:eastAsia="仿宋_GB2312" w:cs="仿宋_GB2312"/>
          <w:b/>
          <w:bCs/>
          <w:sz w:val="32"/>
          <w:szCs w:val="32"/>
          <w:lang w:eastAsia="zh-CN"/>
        </w:rPr>
        <w:t>第十五条（鼓励测试）</w:t>
      </w:r>
    </w:p>
    <w:p>
      <w:pPr>
        <w:spacing w:beforeLines="0" w:afterLines="0" w:line="600" w:lineRule="exact"/>
        <w:ind w:firstLine="640" w:firstLineChars="2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鼓励月均用水量</w:t>
      </w:r>
      <w:r>
        <w:rPr>
          <w:rFonts w:hint="eastAsia" w:ascii="仿宋_GB2312" w:hAnsi="仿宋_GB2312" w:eastAsia="仿宋_GB2312" w:cs="仿宋_GB2312"/>
          <w:sz w:val="32"/>
          <w:szCs w:val="32"/>
          <w:lang w:val="en-US" w:eastAsia="zh-CN"/>
        </w:rPr>
        <w:t>5000立方米的用水单位开展水平衡测试，加强用水管理。</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第十六条（法律责任）</w:t>
      </w:r>
      <w:bookmarkEnd w:id="15"/>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取用水单位未按照要求进行水平衡测试的或未按照要求备案的，按照有关法规的规定予以处理。</w:t>
      </w:r>
    </w:p>
    <w:p>
      <w:pPr>
        <w:spacing w:beforeLines="0" w:afterLines="0" w:line="600" w:lineRule="exact"/>
        <w:ind w:firstLine="642" w:firstLineChars="200"/>
        <w:jc w:val="left"/>
        <w:outlineLvl w:val="0"/>
        <w:rPr>
          <w:rFonts w:hint="eastAsia" w:ascii="仿宋_GB2312" w:hAnsi="仿宋_GB2312" w:eastAsia="仿宋_GB2312" w:cs="仿宋_GB2312"/>
          <w:b/>
          <w:bCs/>
          <w:sz w:val="32"/>
          <w:szCs w:val="32"/>
        </w:rPr>
      </w:pPr>
      <w:bookmarkStart w:id="16" w:name="_Toc28604"/>
      <w:r>
        <w:rPr>
          <w:rFonts w:hint="eastAsia" w:ascii="仿宋_GB2312" w:hAnsi="仿宋_GB2312" w:eastAsia="仿宋_GB2312" w:cs="仿宋_GB2312"/>
          <w:b/>
          <w:bCs/>
          <w:sz w:val="32"/>
          <w:szCs w:val="32"/>
        </w:rPr>
        <w:t>第十七条（施行日期）</w:t>
      </w:r>
      <w:bookmarkEnd w:id="16"/>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本规定自2024年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日起施行，有效期5年。</w:t>
      </w:r>
    </w:p>
    <w:p>
      <w:pPr>
        <w:widowControl w:val="0"/>
        <w:adjustRightInd w:val="0"/>
        <w:spacing w:beforeLines="0" w:afterLines="0" w:line="600" w:lineRule="exact"/>
        <w:ind w:firstLine="640" w:firstLineChars="200"/>
        <w:rPr>
          <w:rFonts w:hint="eastAsia" w:ascii="仿宋_GB2312" w:hAnsi="仿宋_GB2312" w:eastAsia="仿宋_GB2312" w:cs="仿宋_GB2312"/>
          <w:sz w:val="32"/>
          <w:szCs w:val="32"/>
        </w:rPr>
      </w:pPr>
    </w:p>
    <w:sectPr>
      <w:headerReference r:id="rId5" w:type="default"/>
      <w:footerReference r:id="rId6" w:type="default"/>
      <w:pgSz w:w="11906" w:h="16838"/>
      <w:pgMar w:top="1660" w:right="1800" w:bottom="1658" w:left="1800" w:header="851" w:footer="85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11"/>
      </w:pPr>
      <w:r>
        <w:separator/>
      </w:r>
    </w:p>
  </w:endnote>
  <w:endnote w:type="continuationSeparator" w:id="1">
    <w:p>
      <w:pPr>
        <w:spacing w:line="240" w:lineRule="auto"/>
        <w:ind w:firstLine="4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0" w:firstLineChars="0"/>
      <w:jc w:val="both"/>
      <w:rPr>
        <w:rFonts w:cs="Calibr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ind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880907"/>
                          </w:sdtPr>
                          <w:sdtEndPr>
                            <w:rPr>
                              <w:rFonts w:cs="Calibri"/>
                            </w:rPr>
                          </w:sdtEndPr>
                          <w:sdtContent>
                            <w:p>
                              <w:pPr>
                                <w:pStyle w:val="8"/>
                                <w:spacing w:before="120" w:after="120"/>
                                <w:ind w:firstLine="353"/>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11880907"/>
                    </w:sdtPr>
                    <w:sdtEndPr>
                      <w:rPr>
                        <w:rFonts w:cs="Calibri"/>
                      </w:rPr>
                    </w:sdtEndPr>
                    <w:sdtContent>
                      <w:p>
                        <w:pPr>
                          <w:pStyle w:val="8"/>
                          <w:spacing w:before="120" w:after="120"/>
                          <w:ind w:firstLine="353"/>
                          <w:jc w:val="center"/>
                        </w:pPr>
                      </w:p>
                    </w:sdtContent>
                  </w:sd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11"/>
      </w:pPr>
      <w:r>
        <w:separator/>
      </w:r>
    </w:p>
  </w:footnote>
  <w:footnote w:type="continuationSeparator" w:id="1">
    <w:p>
      <w:pPr>
        <w:spacing w:before="0" w:after="0" w:line="360" w:lineRule="auto"/>
        <w:ind w:firstLine="41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35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ZTRiYjg2MGZhYzdkYTY1NmZkODhjNWUyOTEyYzUifQ=="/>
  </w:docVars>
  <w:rsids>
    <w:rsidRoot w:val="001B1000"/>
    <w:rsid w:val="000176E7"/>
    <w:rsid w:val="00021A75"/>
    <w:rsid w:val="00024F11"/>
    <w:rsid w:val="00042ECD"/>
    <w:rsid w:val="00047DDA"/>
    <w:rsid w:val="0005269F"/>
    <w:rsid w:val="00053381"/>
    <w:rsid w:val="0005663D"/>
    <w:rsid w:val="000A3EAC"/>
    <w:rsid w:val="000B5432"/>
    <w:rsid w:val="000C0E3C"/>
    <w:rsid w:val="000E3C54"/>
    <w:rsid w:val="000E4314"/>
    <w:rsid w:val="000F2FA2"/>
    <w:rsid w:val="0010356F"/>
    <w:rsid w:val="001052AD"/>
    <w:rsid w:val="001162E2"/>
    <w:rsid w:val="001611A6"/>
    <w:rsid w:val="0017626E"/>
    <w:rsid w:val="00184F2D"/>
    <w:rsid w:val="001975DB"/>
    <w:rsid w:val="001B1000"/>
    <w:rsid w:val="001C6B65"/>
    <w:rsid w:val="001E7054"/>
    <w:rsid w:val="00224928"/>
    <w:rsid w:val="00237950"/>
    <w:rsid w:val="002440E6"/>
    <w:rsid w:val="00262323"/>
    <w:rsid w:val="00271D95"/>
    <w:rsid w:val="00283237"/>
    <w:rsid w:val="00286D69"/>
    <w:rsid w:val="00292423"/>
    <w:rsid w:val="00296FEB"/>
    <w:rsid w:val="002A0E48"/>
    <w:rsid w:val="002A4B03"/>
    <w:rsid w:val="002B01EF"/>
    <w:rsid w:val="002B2720"/>
    <w:rsid w:val="002C0C1D"/>
    <w:rsid w:val="002E19F0"/>
    <w:rsid w:val="00317D73"/>
    <w:rsid w:val="00323DD0"/>
    <w:rsid w:val="00327DDA"/>
    <w:rsid w:val="003501AB"/>
    <w:rsid w:val="00350BBC"/>
    <w:rsid w:val="00364E6A"/>
    <w:rsid w:val="00376E44"/>
    <w:rsid w:val="00380E13"/>
    <w:rsid w:val="003C3B68"/>
    <w:rsid w:val="003D0D66"/>
    <w:rsid w:val="003D7F1A"/>
    <w:rsid w:val="003F762C"/>
    <w:rsid w:val="003F7782"/>
    <w:rsid w:val="00411522"/>
    <w:rsid w:val="00412C43"/>
    <w:rsid w:val="004159CF"/>
    <w:rsid w:val="00424DB8"/>
    <w:rsid w:val="004319FB"/>
    <w:rsid w:val="00450D24"/>
    <w:rsid w:val="00465AFC"/>
    <w:rsid w:val="0046736B"/>
    <w:rsid w:val="00482AE2"/>
    <w:rsid w:val="0049491C"/>
    <w:rsid w:val="00496B4C"/>
    <w:rsid w:val="004A32AF"/>
    <w:rsid w:val="004A34E6"/>
    <w:rsid w:val="004A7F3C"/>
    <w:rsid w:val="004D17AB"/>
    <w:rsid w:val="004D7D34"/>
    <w:rsid w:val="004F301E"/>
    <w:rsid w:val="00510901"/>
    <w:rsid w:val="00516649"/>
    <w:rsid w:val="0053199D"/>
    <w:rsid w:val="00540488"/>
    <w:rsid w:val="005543F0"/>
    <w:rsid w:val="00554B00"/>
    <w:rsid w:val="00554D83"/>
    <w:rsid w:val="00555FC9"/>
    <w:rsid w:val="00593F1F"/>
    <w:rsid w:val="005B0DE9"/>
    <w:rsid w:val="005C36FF"/>
    <w:rsid w:val="005C6BC7"/>
    <w:rsid w:val="005E0226"/>
    <w:rsid w:val="005F4BFE"/>
    <w:rsid w:val="006277A0"/>
    <w:rsid w:val="00641C28"/>
    <w:rsid w:val="00647727"/>
    <w:rsid w:val="00653640"/>
    <w:rsid w:val="00675E09"/>
    <w:rsid w:val="00680108"/>
    <w:rsid w:val="006847FC"/>
    <w:rsid w:val="006C2153"/>
    <w:rsid w:val="006C6656"/>
    <w:rsid w:val="006D25C7"/>
    <w:rsid w:val="006F60CC"/>
    <w:rsid w:val="006F7DCB"/>
    <w:rsid w:val="00723A83"/>
    <w:rsid w:val="00736B0D"/>
    <w:rsid w:val="0075156B"/>
    <w:rsid w:val="007519D9"/>
    <w:rsid w:val="0075322F"/>
    <w:rsid w:val="007572D2"/>
    <w:rsid w:val="00757F24"/>
    <w:rsid w:val="00760C93"/>
    <w:rsid w:val="007754C0"/>
    <w:rsid w:val="00792BE0"/>
    <w:rsid w:val="0079369F"/>
    <w:rsid w:val="007A1190"/>
    <w:rsid w:val="007B340E"/>
    <w:rsid w:val="007B466F"/>
    <w:rsid w:val="007B7D57"/>
    <w:rsid w:val="008010BB"/>
    <w:rsid w:val="0082255A"/>
    <w:rsid w:val="008256A9"/>
    <w:rsid w:val="00832533"/>
    <w:rsid w:val="00854958"/>
    <w:rsid w:val="00864394"/>
    <w:rsid w:val="00866682"/>
    <w:rsid w:val="008A025B"/>
    <w:rsid w:val="008C6D14"/>
    <w:rsid w:val="008D21A7"/>
    <w:rsid w:val="008D6661"/>
    <w:rsid w:val="008E076D"/>
    <w:rsid w:val="008E53D5"/>
    <w:rsid w:val="0090371C"/>
    <w:rsid w:val="009206D1"/>
    <w:rsid w:val="0092330D"/>
    <w:rsid w:val="009235F0"/>
    <w:rsid w:val="00934D5F"/>
    <w:rsid w:val="00935644"/>
    <w:rsid w:val="00937B35"/>
    <w:rsid w:val="00942D8E"/>
    <w:rsid w:val="00946447"/>
    <w:rsid w:val="0095130F"/>
    <w:rsid w:val="00957827"/>
    <w:rsid w:val="00994DFA"/>
    <w:rsid w:val="009B4A5D"/>
    <w:rsid w:val="009C04A9"/>
    <w:rsid w:val="009C3138"/>
    <w:rsid w:val="009C34F9"/>
    <w:rsid w:val="009D0B18"/>
    <w:rsid w:val="009D1401"/>
    <w:rsid w:val="009E778B"/>
    <w:rsid w:val="00A113FD"/>
    <w:rsid w:val="00A159FD"/>
    <w:rsid w:val="00A27FE4"/>
    <w:rsid w:val="00A42F75"/>
    <w:rsid w:val="00A47A46"/>
    <w:rsid w:val="00A63889"/>
    <w:rsid w:val="00A74B48"/>
    <w:rsid w:val="00A767E9"/>
    <w:rsid w:val="00A83152"/>
    <w:rsid w:val="00A8761E"/>
    <w:rsid w:val="00A940C0"/>
    <w:rsid w:val="00AB18DE"/>
    <w:rsid w:val="00AC36AD"/>
    <w:rsid w:val="00AC78FC"/>
    <w:rsid w:val="00AD2989"/>
    <w:rsid w:val="00AD55BF"/>
    <w:rsid w:val="00AF5014"/>
    <w:rsid w:val="00B01FCA"/>
    <w:rsid w:val="00B17E15"/>
    <w:rsid w:val="00B2123A"/>
    <w:rsid w:val="00B7005C"/>
    <w:rsid w:val="00B74578"/>
    <w:rsid w:val="00B756B3"/>
    <w:rsid w:val="00B82D0C"/>
    <w:rsid w:val="00B85ECE"/>
    <w:rsid w:val="00B86CA2"/>
    <w:rsid w:val="00B954A1"/>
    <w:rsid w:val="00BA14A2"/>
    <w:rsid w:val="00BE0885"/>
    <w:rsid w:val="00BE2D19"/>
    <w:rsid w:val="00BE600E"/>
    <w:rsid w:val="00C146C0"/>
    <w:rsid w:val="00C21D61"/>
    <w:rsid w:val="00C31612"/>
    <w:rsid w:val="00C33BEA"/>
    <w:rsid w:val="00C37A55"/>
    <w:rsid w:val="00C5760D"/>
    <w:rsid w:val="00C809D2"/>
    <w:rsid w:val="00C819AF"/>
    <w:rsid w:val="00C84D71"/>
    <w:rsid w:val="00C86590"/>
    <w:rsid w:val="00CA014C"/>
    <w:rsid w:val="00CF46DD"/>
    <w:rsid w:val="00D1162E"/>
    <w:rsid w:val="00D124E4"/>
    <w:rsid w:val="00D24A4A"/>
    <w:rsid w:val="00D24AA7"/>
    <w:rsid w:val="00D9238F"/>
    <w:rsid w:val="00DA1389"/>
    <w:rsid w:val="00DA4D00"/>
    <w:rsid w:val="00DB13A4"/>
    <w:rsid w:val="00DB1C27"/>
    <w:rsid w:val="00DB2338"/>
    <w:rsid w:val="00DB7B48"/>
    <w:rsid w:val="00DD0899"/>
    <w:rsid w:val="00E04364"/>
    <w:rsid w:val="00E0660B"/>
    <w:rsid w:val="00E16086"/>
    <w:rsid w:val="00E42B50"/>
    <w:rsid w:val="00E43705"/>
    <w:rsid w:val="00E45F1F"/>
    <w:rsid w:val="00E4685F"/>
    <w:rsid w:val="00E52A50"/>
    <w:rsid w:val="00E619C9"/>
    <w:rsid w:val="00E625C5"/>
    <w:rsid w:val="00E95EE7"/>
    <w:rsid w:val="00EA26CD"/>
    <w:rsid w:val="00EA2D45"/>
    <w:rsid w:val="00EA7F45"/>
    <w:rsid w:val="00EB5C38"/>
    <w:rsid w:val="00EC318B"/>
    <w:rsid w:val="00ED01EA"/>
    <w:rsid w:val="00ED17F6"/>
    <w:rsid w:val="00EE14D0"/>
    <w:rsid w:val="00EF0CB2"/>
    <w:rsid w:val="00F00662"/>
    <w:rsid w:val="00F13AB0"/>
    <w:rsid w:val="00F20CEF"/>
    <w:rsid w:val="00F25A1D"/>
    <w:rsid w:val="00F441F3"/>
    <w:rsid w:val="00F57C68"/>
    <w:rsid w:val="00FA650E"/>
    <w:rsid w:val="00FE0261"/>
    <w:rsid w:val="00FF0219"/>
    <w:rsid w:val="00FF211B"/>
    <w:rsid w:val="00FF45BB"/>
    <w:rsid w:val="01152832"/>
    <w:rsid w:val="06D66073"/>
    <w:rsid w:val="094E1C3C"/>
    <w:rsid w:val="099977C7"/>
    <w:rsid w:val="0F8E4C13"/>
    <w:rsid w:val="109516AC"/>
    <w:rsid w:val="13881E6D"/>
    <w:rsid w:val="1495685B"/>
    <w:rsid w:val="17490D94"/>
    <w:rsid w:val="1F795988"/>
    <w:rsid w:val="201B415A"/>
    <w:rsid w:val="21251C0E"/>
    <w:rsid w:val="231B0919"/>
    <w:rsid w:val="24D06CB6"/>
    <w:rsid w:val="2AA22981"/>
    <w:rsid w:val="32D14858"/>
    <w:rsid w:val="3613737B"/>
    <w:rsid w:val="37757058"/>
    <w:rsid w:val="38106F34"/>
    <w:rsid w:val="41E27146"/>
    <w:rsid w:val="477FA21C"/>
    <w:rsid w:val="4EAE236C"/>
    <w:rsid w:val="4F4635E7"/>
    <w:rsid w:val="52903990"/>
    <w:rsid w:val="530C60D4"/>
    <w:rsid w:val="53B635B2"/>
    <w:rsid w:val="575E1F88"/>
    <w:rsid w:val="591B7ABE"/>
    <w:rsid w:val="599252AD"/>
    <w:rsid w:val="5C2E0081"/>
    <w:rsid w:val="5CFB154B"/>
    <w:rsid w:val="5F0852D1"/>
    <w:rsid w:val="5F5127C2"/>
    <w:rsid w:val="5F552856"/>
    <w:rsid w:val="66E00800"/>
    <w:rsid w:val="6BD05960"/>
    <w:rsid w:val="6FDB4D05"/>
    <w:rsid w:val="72BFA7B4"/>
    <w:rsid w:val="75DA7ED3"/>
    <w:rsid w:val="77FF0376"/>
    <w:rsid w:val="7C1D695C"/>
    <w:rsid w:val="7CEB5718"/>
    <w:rsid w:val="7DB6603C"/>
    <w:rsid w:val="7F5A5A73"/>
    <w:rsid w:val="7FCF77DD"/>
    <w:rsid w:val="7FD5011A"/>
    <w:rsid w:val="7FF75C56"/>
    <w:rsid w:val="BA5A068E"/>
    <w:rsid w:val="BB5E2E8A"/>
    <w:rsid w:val="BBF5DBA0"/>
    <w:rsid w:val="DF3FD2CD"/>
    <w:rsid w:val="FAFE489C"/>
    <w:rsid w:val="FFD79B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afterLines="50" w:line="360" w:lineRule="auto"/>
      <w:ind w:firstLine="196" w:firstLineChars="196"/>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ind w:firstLine="0" w:firstLineChars="0"/>
      <w:outlineLvl w:val="1"/>
    </w:pPr>
    <w:rPr>
      <w:rFonts w:ascii="Arial" w:hAnsi="Arial" w:eastAsia="黑体"/>
      <w:b/>
      <w:bCs/>
      <w:kern w:val="0"/>
      <w:sz w:val="32"/>
      <w:szCs w:val="32"/>
    </w:rPr>
  </w:style>
  <w:style w:type="paragraph" w:styleId="4">
    <w:name w:val="heading 3"/>
    <w:basedOn w:val="1"/>
    <w:next w:val="1"/>
    <w:link w:val="17"/>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18"/>
    <w:qFormat/>
    <w:uiPriority w:val="99"/>
    <w:pPr>
      <w:keepNext/>
      <w:keepLines/>
      <w:spacing w:before="280" w:after="290" w:line="376" w:lineRule="auto"/>
      <w:outlineLvl w:val="3"/>
    </w:pPr>
    <w:rPr>
      <w:rFonts w:ascii="Cambria" w:hAnsi="Cambria"/>
      <w:b/>
      <w:bCs/>
      <w:kern w:val="0"/>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locked/>
    <w:uiPriority w:val="39"/>
    <w:pPr>
      <w:spacing w:beforeLines="0" w:afterLines="0" w:line="259" w:lineRule="auto"/>
      <w:ind w:left="440" w:firstLine="0" w:firstLineChars="0"/>
      <w:jc w:val="left"/>
    </w:pPr>
    <w:rPr>
      <w:rFonts w:asciiTheme="minorHAnsi" w:hAnsiTheme="minorHAnsi" w:eastAsiaTheme="minorEastAsia"/>
      <w:kern w:val="0"/>
      <w:sz w:val="22"/>
      <w:szCs w:val="22"/>
    </w:rPr>
  </w:style>
  <w:style w:type="paragraph" w:styleId="7">
    <w:name w:val="Balloon Text"/>
    <w:basedOn w:val="1"/>
    <w:link w:val="26"/>
    <w:semiHidden/>
    <w:unhideWhenUsed/>
    <w:qFormat/>
    <w:uiPriority w:val="99"/>
    <w:pPr>
      <w:spacing w:line="240" w:lineRule="auto"/>
    </w:pPr>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locked/>
    <w:uiPriority w:val="39"/>
    <w:pPr>
      <w:spacing w:beforeLines="0" w:afterLines="0" w:line="259" w:lineRule="auto"/>
      <w:ind w:firstLine="0" w:firstLineChars="0"/>
      <w:jc w:val="left"/>
    </w:pPr>
    <w:rPr>
      <w:rFonts w:asciiTheme="minorHAnsi" w:hAnsiTheme="minorHAnsi" w:eastAsiaTheme="minorEastAsia"/>
      <w:kern w:val="0"/>
      <w:sz w:val="22"/>
      <w:szCs w:val="22"/>
    </w:rPr>
  </w:style>
  <w:style w:type="paragraph" w:styleId="11">
    <w:name w:val="toc 2"/>
    <w:basedOn w:val="1"/>
    <w:next w:val="1"/>
    <w:unhideWhenUsed/>
    <w:qFormat/>
    <w:locked/>
    <w:uiPriority w:val="39"/>
    <w:pPr>
      <w:spacing w:beforeLines="0" w:afterLines="0" w:line="259" w:lineRule="auto"/>
      <w:ind w:left="220" w:firstLine="0" w:firstLineChars="0"/>
      <w:jc w:val="left"/>
    </w:pPr>
    <w:rPr>
      <w:rFonts w:asciiTheme="minorHAnsi" w:hAnsiTheme="minorHAnsi" w:eastAsiaTheme="minorEastAsia"/>
      <w:kern w:val="0"/>
      <w:sz w:val="22"/>
      <w:szCs w:val="22"/>
    </w:rPr>
  </w:style>
  <w:style w:type="table" w:styleId="13">
    <w:name w:val="Table Grid"/>
    <w:basedOn w:val="12"/>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2 Char"/>
    <w:link w:val="3"/>
    <w:qFormat/>
    <w:locked/>
    <w:uiPriority w:val="99"/>
    <w:rPr>
      <w:rFonts w:ascii="Arial" w:hAnsi="Arial" w:eastAsia="黑体" w:cs="Times New Roman"/>
      <w:b/>
      <w:sz w:val="32"/>
    </w:rPr>
  </w:style>
  <w:style w:type="character" w:customStyle="1" w:styleId="17">
    <w:name w:val="标题 3 Char"/>
    <w:link w:val="4"/>
    <w:qFormat/>
    <w:locked/>
    <w:uiPriority w:val="99"/>
    <w:rPr>
      <w:rFonts w:ascii="Times New Roman" w:hAnsi="Times New Roman" w:eastAsia="宋体" w:cs="Times New Roman"/>
      <w:b/>
      <w:sz w:val="32"/>
    </w:rPr>
  </w:style>
  <w:style w:type="character" w:customStyle="1" w:styleId="18">
    <w:name w:val="标题 4 Char"/>
    <w:link w:val="5"/>
    <w:qFormat/>
    <w:locked/>
    <w:uiPriority w:val="99"/>
    <w:rPr>
      <w:rFonts w:ascii="Cambria" w:hAnsi="Cambria" w:eastAsia="宋体" w:cs="Times New Roman"/>
      <w:b/>
      <w:sz w:val="28"/>
    </w:rPr>
  </w:style>
  <w:style w:type="character" w:customStyle="1" w:styleId="19">
    <w:name w:val="页眉 Char"/>
    <w:link w:val="9"/>
    <w:semiHidden/>
    <w:qFormat/>
    <w:locked/>
    <w:uiPriority w:val="99"/>
    <w:rPr>
      <w:rFonts w:cs="Times New Roman"/>
      <w:sz w:val="18"/>
    </w:rPr>
  </w:style>
  <w:style w:type="character" w:customStyle="1" w:styleId="20">
    <w:name w:val="页脚 Char"/>
    <w:link w:val="8"/>
    <w:qFormat/>
    <w:locked/>
    <w:uiPriority w:val="99"/>
    <w:rPr>
      <w:rFonts w:cs="Times New Roman"/>
      <w:sz w:val="18"/>
    </w:rPr>
  </w:style>
  <w:style w:type="paragraph" w:styleId="21">
    <w:name w:val="List Paragraph"/>
    <w:basedOn w:val="1"/>
    <w:qFormat/>
    <w:uiPriority w:val="99"/>
    <w:pPr>
      <w:widowControl w:val="0"/>
      <w:spacing w:beforeLines="0" w:afterLines="0" w:line="240" w:lineRule="auto"/>
      <w:ind w:firstLine="420" w:firstLineChars="200"/>
    </w:pPr>
    <w:rPr>
      <w:rFonts w:ascii="Calibri" w:hAnsi="Calibri"/>
      <w:szCs w:val="22"/>
    </w:rPr>
  </w:style>
  <w:style w:type="paragraph" w:customStyle="1" w:styleId="22">
    <w:name w:val="Body text|1"/>
    <w:qFormat/>
    <w:uiPriority w:val="0"/>
    <w:pPr>
      <w:widowControl w:val="0"/>
      <w:spacing w:line="388" w:lineRule="auto"/>
      <w:ind w:firstLine="400"/>
    </w:pPr>
    <w:rPr>
      <w:rFonts w:ascii="宋体" w:hAnsi="宋体" w:eastAsia="宋体" w:cs="宋体"/>
      <w:color w:val="000000"/>
      <w:sz w:val="28"/>
      <w:szCs w:val="28"/>
      <w:lang w:val="zh-TW" w:eastAsia="zh-TW" w:bidi="zh-TW"/>
    </w:rPr>
  </w:style>
  <w:style w:type="paragraph" w:customStyle="1" w:styleId="23">
    <w:name w:val="TOC 标题1"/>
    <w:basedOn w:val="2"/>
    <w:next w:val="1"/>
    <w:unhideWhenUsed/>
    <w:qFormat/>
    <w:uiPriority w:val="39"/>
    <w:pPr>
      <w:spacing w:beforeLines="0" w:afterLines="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4"/>
    <w:link w:val="7"/>
    <w:semiHidden/>
    <w:qFormat/>
    <w:uiPriority w:val="99"/>
    <w:rPr>
      <w:kern w:val="2"/>
      <w:sz w:val="18"/>
      <w:szCs w:val="18"/>
    </w:rPr>
  </w:style>
  <w:style w:type="paragraph" w:customStyle="1" w:styleId="27">
    <w:name w:val="发文正文"/>
    <w:basedOn w:val="1"/>
    <w:qFormat/>
    <w:uiPriority w:val="0"/>
    <w:pPr>
      <w:ind w:firstLine="20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1472</Words>
  <Characters>1496</Characters>
  <Lines>34</Lines>
  <Paragraphs>9</Paragraphs>
  <TotalTime>1</TotalTime>
  <ScaleCrop>false</ScaleCrop>
  <LinksUpToDate>false</LinksUpToDate>
  <CharactersWithSpaces>1496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2016-06-07T19:21:00Z</dcterms:created>
  <dc:creator>xx</dc:creator>
  <cp:lastModifiedBy>huawei</cp:lastModifiedBy>
  <cp:lastPrinted>2024-06-04T09:57:00Z</cp:lastPrinted>
  <dcterms:modified xsi:type="dcterms:W3CDTF">2026-05-18T21:31:39Z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053C85321AD94E29838DF3446F740B41_13</vt:lpwstr>
  </property>
</Properties>
</file>