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水务领域轻微违法行为依法不予行政处罚清单</w:t>
      </w:r>
    </w:p>
    <w:p>
      <w:pPr>
        <w:widowControl/>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（征求意见稿）</w:t>
      </w:r>
    </w:p>
    <w:p>
      <w:pPr>
        <w:ind w:firstLine="640" w:firstLineChars="200"/>
        <w:rPr>
          <w:rFonts w:hint="eastAsia" w:ascii="仿宋_GB2312" w:hAnsi="仿宋_GB2312" w:eastAsia="仿宋_GB2312" w:cs="仿宋_GB2312"/>
          <w:bCs/>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eastAsia="仿宋_GB2312"/>
          <w:sz w:val="32"/>
          <w:szCs w:val="32"/>
          <w:lang w:eastAsia="zh-CN"/>
        </w:rPr>
        <w:t>《国务院关于进一步规范和监督罚款设定与实施的指导意见》</w:t>
      </w:r>
      <w:r>
        <w:rPr>
          <w:rFonts w:hint="eastAsia" w:ascii="仿宋_GB2312" w:hAnsi="仿宋_GB2312" w:eastAsia="仿宋_GB2312" w:cs="仿宋_GB2312"/>
          <w:sz w:val="32"/>
          <w:szCs w:val="32"/>
        </w:rPr>
        <w:t>有关要求，在水务领域探索包容审慎监管，激发市场活力，不断优化更具国际竞争力的营商环境，促进经济持续健康发展，根据《中华人民共和国行政处罚法》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《上海市优化营商环境条例》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上海市人民政府办公厅</w:t>
      </w:r>
      <w:r>
        <w:rPr>
          <w:rFonts w:hint="eastAsia" w:ascii="仿宋_GB2312" w:eastAsia="仿宋_GB2312"/>
          <w:sz w:val="32"/>
          <w:szCs w:val="32"/>
          <w:lang w:eastAsia="zh-CN"/>
        </w:rPr>
        <w:t>《上海市加快打造国际一流营商环境行动方案（</w:t>
      </w:r>
      <w:r>
        <w:rPr>
          <w:rFonts w:hint="eastAsia" w:ascii="仿宋_GB2312" w:eastAsia="仿宋_GB2312"/>
          <w:sz w:val="32"/>
          <w:szCs w:val="32"/>
          <w:lang w:val="en-US" w:eastAsia="zh-CN"/>
        </w:rPr>
        <w:t>2026年</w:t>
      </w:r>
      <w:r>
        <w:rPr>
          <w:rFonts w:hint="eastAsia" w:ascii="仿宋_GB2312" w:eastAsia="仿宋_GB2312"/>
          <w:sz w:val="32"/>
          <w:szCs w:val="32"/>
          <w:lang w:eastAsia="zh-CN"/>
        </w:rPr>
        <w:t>）》、</w:t>
      </w:r>
      <w:r>
        <w:rPr>
          <w:rFonts w:hint="eastAsia" w:ascii="仿宋_GB2312" w:hAnsi="仿宋_GB2312" w:eastAsia="仿宋_GB2312" w:cs="仿宋_GB2312"/>
          <w:sz w:val="32"/>
          <w:szCs w:val="32"/>
        </w:rPr>
        <w:t>上海市法治政府建设工作领导小组办公室《关于全面推行轻微违法行为依法不予行政处罚的指导意见》等法律、法规、规章的规定和要求，制定本清单。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一、下列轻微违法行为，及时改正，没有造成危害后果的，</w:t>
      </w:r>
      <w:r>
        <w:rPr>
          <w:rFonts w:hint="eastAsia" w:ascii="仿宋_GB2312" w:eastAsia="仿宋_GB2312"/>
          <w:sz w:val="32"/>
          <w:szCs w:val="32"/>
          <w:lang w:val="en-US" w:eastAsia="zh-CN"/>
        </w:rPr>
        <w:t>且两年内首次被发现的，</w:t>
      </w:r>
      <w:r>
        <w:rPr>
          <w:rFonts w:hint="eastAsia" w:ascii="仿宋_GB2312" w:hAnsi="仿宋_GB2312" w:eastAsia="仿宋_GB2312" w:cs="仿宋_GB2312"/>
          <w:sz w:val="32"/>
          <w:szCs w:val="32"/>
        </w:rPr>
        <w:t>不予行政处罚：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（一）违反《中华人民共和国长江保护法》第二十五条，</w:t>
      </w:r>
      <w:r>
        <w:rPr>
          <w:rFonts w:hint="eastAsia" w:ascii="仿宋_GB2312" w:hAnsi="仿宋_GB2312" w:eastAsia="仿宋_GB2312" w:cs="仿宋_GB2312"/>
          <w:sz w:val="32"/>
          <w:szCs w:val="32"/>
          <w:lang w:eastAsia="zh-CN"/>
        </w:rPr>
        <w:t>《上海市河道管理条例》第十九条、第二十五条第四款，</w:t>
      </w:r>
      <w:r>
        <w:rPr>
          <w:rFonts w:hint="eastAsia" w:ascii="仿宋_GB2312" w:hAnsi="仿宋_GB2312" w:eastAsia="仿宋_GB2312" w:cs="仿宋_GB2312"/>
          <w:sz w:val="32"/>
          <w:szCs w:val="32"/>
        </w:rPr>
        <w:t>虽已经过填堵河道批准，但未办理河道管理范围内建设项目施工方案审核手续侵占河湖水域，</w:t>
      </w:r>
      <w:r>
        <w:rPr>
          <w:rFonts w:hint="eastAsia" w:ascii="仿宋_GB2312" w:hAnsi="仿宋_GB2312" w:eastAsia="仿宋_GB2312" w:cs="仿宋_GB2312"/>
          <w:sz w:val="32"/>
          <w:szCs w:val="32"/>
          <w:lang w:eastAsia="zh-CN"/>
        </w:rPr>
        <w:t>未产生违法所得，</w:t>
      </w:r>
      <w:r>
        <w:rPr>
          <w:rFonts w:hint="eastAsia" w:ascii="仿宋_GB2312" w:hAnsi="仿宋_GB2312" w:eastAsia="仿宋_GB2312" w:cs="仿宋_GB2312"/>
          <w:sz w:val="32"/>
          <w:szCs w:val="32"/>
        </w:rPr>
        <w:t>已实施开河面积大于或等于侵占河湖水域面积；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（二）违反《中华人民共和国长江保护法》第二十五条，</w:t>
      </w:r>
      <w:r>
        <w:rPr>
          <w:rFonts w:hint="eastAsia" w:ascii="仿宋_GB2312" w:hAnsi="仿宋_GB2312" w:eastAsia="仿宋_GB2312" w:cs="仿宋_GB2312"/>
          <w:sz w:val="32"/>
          <w:szCs w:val="32"/>
          <w:lang w:eastAsia="zh-CN"/>
        </w:rPr>
        <w:t>《上海市河道管理条例》第十九条、第二十五条第四款，</w:t>
      </w:r>
      <w:r>
        <w:rPr>
          <w:rFonts w:hint="eastAsia" w:ascii="仿宋_GB2312" w:hAnsi="仿宋_GB2312" w:eastAsia="仿宋_GB2312" w:cs="仿宋_GB2312"/>
          <w:sz w:val="32"/>
          <w:szCs w:val="32"/>
        </w:rPr>
        <w:t>虽已经过填堵河道批准，但未办理河道管理范围内建设项目施工方案审核手续侵占河湖水域，侵占河湖水域面积小于100平方米</w:t>
      </w:r>
      <w:r>
        <w:rPr>
          <w:rFonts w:hint="eastAsia" w:ascii="仿宋_GB2312" w:hAnsi="仿宋_GB2312" w:eastAsia="仿宋_GB2312" w:cs="仿宋_GB2312"/>
          <w:sz w:val="32"/>
          <w:szCs w:val="32"/>
          <w:lang w:eastAsia="zh-CN"/>
        </w:rPr>
        <w:t>，未产生违法所得</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（三）违反《中华人民共和国水法》第六十五条第三款，</w:t>
      </w:r>
      <w:r>
        <w:rPr>
          <w:rFonts w:hint="eastAsia" w:ascii="仿宋_GB2312" w:hAnsi="仿宋_GB2312" w:eastAsia="仿宋_GB2312" w:cs="仿宋_GB2312"/>
          <w:sz w:val="32"/>
          <w:szCs w:val="32"/>
          <w:lang w:eastAsia="zh-CN"/>
        </w:rPr>
        <w:t>虽经水行政主管部门同意，但超出许可批准的期限施工的，自许可期限届满之日起至违法状态消除之日（已按照许可要求完工或者已补办许可手续）在</w:t>
      </w:r>
      <w:r>
        <w:rPr>
          <w:rFonts w:hint="eastAsia" w:ascii="仿宋_GB2312" w:hAnsi="仿宋_GB2312" w:eastAsia="仿宋_GB2312" w:cs="仿宋_GB2312"/>
          <w:sz w:val="32"/>
          <w:szCs w:val="32"/>
          <w:lang w:val="en-US" w:eastAsia="zh-CN"/>
        </w:rPr>
        <w:t>90个自然日（含）内，</w:t>
      </w:r>
      <w:r>
        <w:rPr>
          <w:rFonts w:hint="eastAsia" w:ascii="仿宋_GB2312" w:hAnsi="仿宋_GB2312" w:eastAsia="仿宋_GB2312" w:cs="仿宋_GB2312"/>
          <w:sz w:val="32"/>
          <w:szCs w:val="32"/>
          <w:lang w:eastAsia="zh-CN"/>
        </w:rPr>
        <w:t>不存在汛期内施工（汛期为</w:t>
      </w:r>
      <w:r>
        <w:rPr>
          <w:rFonts w:hint="eastAsia" w:ascii="仿宋_GB2312" w:hAnsi="仿宋_GB2312" w:eastAsia="仿宋_GB2312" w:cs="仿宋_GB2312"/>
          <w:sz w:val="32"/>
          <w:szCs w:val="32"/>
          <w:lang w:val="en-US" w:eastAsia="zh-CN"/>
        </w:rPr>
        <w:t>6-9月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城镇排水与污水处理条例》第二十一条第一款、《上海市排水与污水处理条例》第二十八条，从事餐饮、汽车清洗、汽车修理活动的排水户未取得污水排入排水管网许可证向城镇排水设施排放污水，日排水量小于或等于10立方米，或者餐饮商铺营业面积小于150平方米，或者就餐座位少于75个；</w:t>
      </w:r>
    </w:p>
    <w:p>
      <w:pPr>
        <w:keepNext w:val="0"/>
        <w:keepLines w:val="0"/>
        <w:pageBreakBefore w:val="0"/>
        <w:widowControl w:val="0"/>
        <w:kinsoku/>
        <w:wordWrap/>
        <w:overflowPunct/>
        <w:topLinePunct w:val="0"/>
        <w:autoSpaceDE/>
        <w:autoSpaceDN/>
        <w:bidi w:val="0"/>
        <w:adjustRightInd/>
        <w:snapToGrid/>
        <w:spacing w:line="600" w:lineRule="exact"/>
        <w:ind w:firstLine="646"/>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违反</w:t>
      </w:r>
      <w:r>
        <w:rPr>
          <w:rFonts w:hint="eastAsia" w:ascii="仿宋_GB2312" w:hAnsi="仿宋_GB2312" w:eastAsia="仿宋_GB2312" w:cs="仿宋_GB2312"/>
          <w:sz w:val="32"/>
          <w:szCs w:val="32"/>
          <w:lang w:val="en-US" w:eastAsia="zh-CN"/>
        </w:rPr>
        <w:t>《城镇排水与污水处理条例》第二十一条第二款、</w:t>
      </w:r>
      <w:r>
        <w:rPr>
          <w:rFonts w:hint="eastAsia" w:ascii="仿宋_GB2312" w:eastAsia="仿宋_GB2312"/>
          <w:sz w:val="32"/>
          <w:szCs w:val="32"/>
          <w:lang w:eastAsia="zh-CN"/>
        </w:rPr>
        <w:t>《城镇污水排入排水管网许可管理办法》第十三条，</w:t>
      </w:r>
      <w:r>
        <w:rPr>
          <w:rFonts w:hint="eastAsia" w:ascii="仿宋_GB2312" w:eastAsia="仿宋_GB2312"/>
          <w:sz w:val="32"/>
          <w:szCs w:val="32"/>
        </w:rPr>
        <w:t>排水户未</w:t>
      </w:r>
      <w:r>
        <w:rPr>
          <w:rFonts w:hint="eastAsia" w:ascii="仿宋_GB2312" w:eastAsia="仿宋_GB2312"/>
          <w:sz w:val="32"/>
          <w:szCs w:val="32"/>
          <w:lang w:eastAsia="zh-CN"/>
        </w:rPr>
        <w:t>按照污水排入排水管网许可证要求的主要污染物排放标准排放污水：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日排水量</w:t>
      </w:r>
      <w:r>
        <w:rPr>
          <w:rFonts w:hint="eastAsia" w:ascii="仿宋_GB2312" w:eastAsia="仿宋_GB2312"/>
          <w:sz w:val="32"/>
          <w:szCs w:val="32"/>
          <w:lang w:val="en-US" w:eastAsia="zh-CN"/>
        </w:rPr>
        <w:t>20-80（含）立方米，</w:t>
      </w:r>
      <w:r>
        <w:rPr>
          <w:rFonts w:hint="eastAsia" w:ascii="仿宋_GB2312" w:eastAsia="仿宋_GB2312"/>
          <w:sz w:val="32"/>
          <w:szCs w:val="32"/>
          <w:lang w:eastAsia="zh-CN"/>
        </w:rPr>
        <w:t>超标第二类污染物数目</w:t>
      </w:r>
      <w:r>
        <w:rPr>
          <w:rFonts w:hint="eastAsia" w:ascii="仿宋_GB2312" w:eastAsia="仿宋_GB2312"/>
          <w:sz w:val="32"/>
          <w:szCs w:val="32"/>
          <w:lang w:val="en-US" w:eastAsia="zh-CN"/>
        </w:rPr>
        <w:t>2个及以下，且</w:t>
      </w:r>
      <w:r>
        <w:rPr>
          <w:rFonts w:hint="eastAsia" w:ascii="仿宋_GB2312" w:eastAsia="仿宋_GB2312"/>
          <w:sz w:val="32"/>
          <w:szCs w:val="32"/>
          <w:lang w:eastAsia="zh-CN"/>
        </w:rPr>
        <w:t>超标程度最高的第二类污染物项目超过排放限值</w:t>
      </w:r>
      <w:r>
        <w:rPr>
          <w:rFonts w:hint="eastAsia" w:ascii="仿宋_GB2312" w:eastAsia="仿宋_GB2312"/>
          <w:sz w:val="32"/>
          <w:szCs w:val="32"/>
          <w:lang w:val="en-US" w:eastAsia="zh-CN"/>
        </w:rPr>
        <w:t>0.5倍及以下的（如pH超标，则其超标范围应符合6</w:t>
      </w:r>
      <w:r>
        <w:rPr>
          <w:rFonts w:hint="default" w:ascii="仿宋_GB2312" w:eastAsia="仿宋_GB2312"/>
          <w:sz w:val="32"/>
          <w:szCs w:val="32"/>
          <w:lang w:val="en-US" w:eastAsia="zh-CN"/>
        </w:rPr>
        <w:t>≤</w:t>
      </w:r>
      <w:r>
        <w:rPr>
          <w:rFonts w:hint="eastAsia" w:ascii="仿宋_GB2312" w:eastAsia="仿宋_GB2312"/>
          <w:sz w:val="32"/>
          <w:szCs w:val="32"/>
          <w:lang w:val="en-US" w:eastAsia="zh-CN"/>
        </w:rPr>
        <w:t>pH</w:t>
      </w:r>
      <w:r>
        <w:rPr>
          <w:rFonts w:hint="default" w:ascii="仿宋_GB2312" w:eastAsia="仿宋_GB2312"/>
          <w:sz w:val="32"/>
          <w:szCs w:val="32"/>
          <w:lang w:val="en-US" w:eastAsia="zh-CN"/>
        </w:rPr>
        <w:t>≤</w:t>
      </w:r>
      <w:r>
        <w:rPr>
          <w:rFonts w:hint="eastAsia" w:ascii="仿宋_GB2312" w:eastAsia="仿宋_GB2312"/>
          <w:sz w:val="32"/>
          <w:szCs w:val="32"/>
          <w:lang w:val="en-US" w:eastAsia="zh-CN"/>
        </w:rPr>
        <w:t>9.5）；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日排水量</w:t>
      </w:r>
      <w:r>
        <w:rPr>
          <w:rFonts w:hint="eastAsia" w:ascii="仿宋_GB2312" w:eastAsia="仿宋_GB2312"/>
          <w:sz w:val="32"/>
          <w:szCs w:val="32"/>
          <w:lang w:val="en-US" w:eastAsia="zh-CN"/>
        </w:rPr>
        <w:t>10-20（含）立方米，</w:t>
      </w:r>
      <w:r>
        <w:rPr>
          <w:rFonts w:hint="eastAsia" w:ascii="仿宋_GB2312" w:eastAsia="仿宋_GB2312"/>
          <w:sz w:val="32"/>
          <w:szCs w:val="32"/>
          <w:lang w:eastAsia="zh-CN"/>
        </w:rPr>
        <w:t>超标第二类污染物数目</w:t>
      </w:r>
      <w:r>
        <w:rPr>
          <w:rFonts w:hint="eastAsia" w:ascii="仿宋_GB2312" w:eastAsia="仿宋_GB2312"/>
          <w:sz w:val="32"/>
          <w:szCs w:val="32"/>
          <w:lang w:val="en-US" w:eastAsia="zh-CN"/>
        </w:rPr>
        <w:t>2个及以下，且</w:t>
      </w:r>
      <w:r>
        <w:rPr>
          <w:rFonts w:hint="eastAsia" w:ascii="仿宋_GB2312" w:eastAsia="仿宋_GB2312"/>
          <w:sz w:val="32"/>
          <w:szCs w:val="32"/>
          <w:lang w:eastAsia="zh-CN"/>
        </w:rPr>
        <w:t>超标程度最高的第二类污染物项目超过排放限值</w:t>
      </w:r>
      <w:r>
        <w:rPr>
          <w:rFonts w:hint="eastAsia" w:ascii="仿宋_GB2312" w:eastAsia="仿宋_GB2312"/>
          <w:sz w:val="32"/>
          <w:szCs w:val="32"/>
          <w:lang w:val="en-US" w:eastAsia="zh-CN"/>
        </w:rPr>
        <w:t>1倍及以下的（如pH超标，则其超标范围应符合6</w:t>
      </w:r>
      <w:r>
        <w:rPr>
          <w:rFonts w:hint="default" w:ascii="仿宋_GB2312" w:eastAsia="仿宋_GB2312"/>
          <w:sz w:val="32"/>
          <w:szCs w:val="32"/>
          <w:lang w:val="en-US" w:eastAsia="zh-CN"/>
        </w:rPr>
        <w:t>≤</w:t>
      </w:r>
      <w:r>
        <w:rPr>
          <w:rFonts w:hint="eastAsia" w:ascii="仿宋_GB2312" w:eastAsia="仿宋_GB2312"/>
          <w:sz w:val="32"/>
          <w:szCs w:val="32"/>
          <w:lang w:val="en-US" w:eastAsia="zh-CN"/>
        </w:rPr>
        <w:t>pH</w:t>
      </w:r>
      <w:r>
        <w:rPr>
          <w:rFonts w:hint="default" w:ascii="仿宋_GB2312" w:eastAsia="仿宋_GB2312"/>
          <w:sz w:val="32"/>
          <w:szCs w:val="32"/>
          <w:lang w:val="en-US" w:eastAsia="zh-CN"/>
        </w:rPr>
        <w:t>≤</w:t>
      </w:r>
      <w:r>
        <w:rPr>
          <w:rFonts w:hint="eastAsia" w:ascii="仿宋_GB2312" w:eastAsia="仿宋_GB2312"/>
          <w:sz w:val="32"/>
          <w:szCs w:val="32"/>
          <w:lang w:val="en-US" w:eastAsia="zh-CN"/>
        </w:rPr>
        <w:t>9.5）；</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日排水量</w:t>
      </w:r>
      <w:r>
        <w:rPr>
          <w:rFonts w:hint="eastAsia" w:ascii="仿宋_GB2312" w:eastAsia="仿宋_GB2312"/>
          <w:sz w:val="32"/>
          <w:szCs w:val="32"/>
          <w:lang w:val="en-US" w:eastAsia="zh-CN"/>
        </w:rPr>
        <w:t>10立方米及以下，超</w:t>
      </w:r>
      <w:r>
        <w:rPr>
          <w:rFonts w:hint="eastAsia" w:ascii="仿宋_GB2312" w:eastAsia="仿宋_GB2312"/>
          <w:sz w:val="32"/>
          <w:szCs w:val="32"/>
          <w:lang w:eastAsia="zh-CN"/>
        </w:rPr>
        <w:t>标第二类污染物数目</w:t>
      </w:r>
      <w:r>
        <w:rPr>
          <w:rFonts w:hint="eastAsia" w:ascii="仿宋_GB2312" w:eastAsia="仿宋_GB2312"/>
          <w:sz w:val="32"/>
          <w:szCs w:val="32"/>
          <w:lang w:val="en-US" w:eastAsia="zh-CN"/>
        </w:rPr>
        <w:t>2个及以下，</w:t>
      </w:r>
      <w:r>
        <w:rPr>
          <w:rFonts w:hint="eastAsia" w:ascii="仿宋_GB2312" w:eastAsia="仿宋_GB2312"/>
          <w:sz w:val="32"/>
          <w:szCs w:val="32"/>
          <w:lang w:eastAsia="zh-CN"/>
        </w:rPr>
        <w:t>超标程度最高的第二类污染物项目超过排放限值</w:t>
      </w:r>
      <w:r>
        <w:rPr>
          <w:rFonts w:hint="eastAsia" w:ascii="仿宋_GB2312" w:eastAsia="仿宋_GB2312"/>
          <w:sz w:val="32"/>
          <w:szCs w:val="32"/>
          <w:lang w:val="en-US" w:eastAsia="zh-CN"/>
        </w:rPr>
        <w:t>2倍及以下的（如pH超标，则其超标范围应符合6</w:t>
      </w:r>
      <w:r>
        <w:rPr>
          <w:rFonts w:hint="default" w:ascii="仿宋_GB2312" w:eastAsia="仿宋_GB2312"/>
          <w:sz w:val="32"/>
          <w:szCs w:val="32"/>
          <w:lang w:val="en-US" w:eastAsia="zh-CN"/>
        </w:rPr>
        <w:t>≤</w:t>
      </w:r>
      <w:r>
        <w:rPr>
          <w:rFonts w:hint="eastAsia" w:ascii="仿宋_GB2312" w:eastAsia="仿宋_GB2312"/>
          <w:sz w:val="32"/>
          <w:szCs w:val="32"/>
          <w:lang w:val="en-US" w:eastAsia="zh-CN"/>
        </w:rPr>
        <w:t>pH</w:t>
      </w:r>
      <w:r>
        <w:rPr>
          <w:rFonts w:hint="default" w:ascii="仿宋_GB2312" w:eastAsia="仿宋_GB2312"/>
          <w:sz w:val="32"/>
          <w:szCs w:val="32"/>
          <w:lang w:val="en-US" w:eastAsia="zh-CN"/>
        </w:rPr>
        <w:t>≤</w:t>
      </w:r>
      <w:r>
        <w:rPr>
          <w:rFonts w:hint="eastAsia" w:ascii="仿宋_GB2312" w:eastAsia="仿宋_GB2312"/>
          <w:sz w:val="32"/>
          <w:szCs w:val="32"/>
          <w:lang w:val="en-US" w:eastAsia="zh-CN"/>
        </w:rPr>
        <w:t>9.5）。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违反《上海市防汛条例》第二十二条第一款第（三）项，在防汛墙保护范围内违反规定堆放货物，堆物面积小于35平方米，未超过防汛墙墙后堆载限值；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）违反《上海市河道管理条例》第三十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条第二款第（一）项，在河道管理范围内未经批准堆放物料，堆物面积小于70平方米；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）违反《上海市原水引水管渠保护办法》第十条第（二）项、第十三条第一款，在引水管渠保护范围内堆放砂石、砖瓦、金属、木材等物品，原水</w:t>
      </w:r>
      <w:r>
        <w:rPr>
          <w:rFonts w:hint="eastAsia" w:ascii="仿宋_GB2312" w:hAnsi="仿宋_GB2312" w:eastAsia="仿宋_GB2312" w:cs="仿宋_GB2312"/>
          <w:sz w:val="32"/>
          <w:szCs w:val="32"/>
          <w:lang w:eastAsia="zh-CN"/>
        </w:rPr>
        <w:t>引水</w:t>
      </w:r>
      <w:r>
        <w:rPr>
          <w:rFonts w:hint="eastAsia" w:ascii="仿宋_GB2312" w:hAnsi="仿宋_GB2312" w:eastAsia="仿宋_GB2312" w:cs="仿宋_GB2312"/>
          <w:sz w:val="32"/>
          <w:szCs w:val="32"/>
        </w:rPr>
        <w:t>管渠管径小于等于800毫米，施工前查明管线情况并采取保护措施；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）违反《注册建造师管理规定》第二十六条第（一）项，水务工程注册建造师不履行注册建造师义务；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）违反《上海市建设工程监理管理办法》第十七条第二款，水务工程建设项目总监理工程师未按照技术规范要求在施工现场履行监理职责；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）违反《水利工程建设监理规定》第十条第一款，水利工程建设监理单位聘用无相应监理人员资格的人员从事监理业务；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二、其他符合《中华人民共和国行政处罚法》等法律、法规、规章规定的不予行政处罚情形的违法行为，依法不予行政处罚。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于不予行政处罚的水务海洋领域轻微违法行为，应当按照行政处罚一般程序立案查处，发出《不予行政处罚决定书》。水务主管部门应当坚持处罚与教育相结合的原则，通过批评教育、指导约谈等措施，促进生产经营者依法合规开展生产经营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四、本清单自202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日起施行，市水务局于202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日印发的《水务领域轻微违法行为</w:t>
      </w:r>
      <w:r>
        <w:rPr>
          <w:rFonts w:hint="eastAsia" w:ascii="仿宋_GB2312" w:hAnsi="仿宋_GB2312" w:eastAsia="仿宋_GB2312" w:cs="仿宋_GB2312"/>
          <w:sz w:val="32"/>
          <w:szCs w:val="32"/>
          <w:lang w:eastAsia="zh-CN"/>
        </w:rPr>
        <w:t>依法不予行政处罚</w:t>
      </w:r>
      <w:r>
        <w:rPr>
          <w:rFonts w:hint="eastAsia" w:ascii="仿宋_GB2312" w:hAnsi="仿宋_GB2312" w:eastAsia="仿宋_GB2312" w:cs="仿宋_GB2312"/>
          <w:sz w:val="32"/>
          <w:szCs w:val="32"/>
        </w:rPr>
        <w:t>清单》（沪水务规范〔202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号）同时废止。</w:t>
      </w:r>
    </w:p>
    <w:p/>
    <w:sectPr>
      <w:footerReference r:id="rId3" w:type="default"/>
      <w:pgSz w:w="11906" w:h="16838"/>
      <w:pgMar w:top="1843" w:right="1531" w:bottom="141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NotTrackMoves/>
  <w:documentProtection w:enforcement="0"/>
  <w:defaultTabStop w:val="42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noLeading/>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27D"/>
    <w:rsid w:val="0015359C"/>
    <w:rsid w:val="004F6151"/>
    <w:rsid w:val="0087014D"/>
    <w:rsid w:val="009812D4"/>
    <w:rsid w:val="00C8127D"/>
    <w:rsid w:val="3CCDD581"/>
    <w:rsid w:val="6EF7D7AC"/>
    <w:rsid w:val="763BBC8F"/>
    <w:rsid w:val="7ABEC612"/>
    <w:rsid w:val="7B2FC453"/>
    <w:rsid w:val="7E7D0010"/>
    <w:rsid w:val="7E9686CD"/>
    <w:rsid w:val="7EF6933D"/>
    <w:rsid w:val="7F31F371"/>
    <w:rsid w:val="ABFB3BF2"/>
    <w:rsid w:val="DF7CFFF1"/>
    <w:rsid w:val="EBF1CC01"/>
    <w:rsid w:val="F7FF1F5D"/>
    <w:rsid w:val="FE7B3308"/>
    <w:rsid w:val="FEBA9962"/>
    <w:rsid w:val="FF8F52A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qFormat/>
    <w:uiPriority w:val="0"/>
  </w:style>
  <w:style w:type="character" w:customStyle="1" w:styleId="9">
    <w:name w:val="默认段落字体1"/>
    <w:qFormat/>
    <w:uiPriority w:val="0"/>
  </w:style>
  <w:style w:type="paragraph" w:customStyle="1" w:styleId="10">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1">
    <w:name w:val="Index"/>
    <w:basedOn w:val="1"/>
    <w:qFormat/>
    <w:uiPriority w:val="0"/>
    <w:pPr>
      <w:suppressLineNumbers/>
    </w:p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196</Words>
  <Characters>1122</Characters>
  <Lines>9</Lines>
  <Paragraphs>2</Paragraphs>
  <TotalTime>48</TotalTime>
  <ScaleCrop>false</ScaleCrop>
  <LinksUpToDate>false</LinksUpToDate>
  <CharactersWithSpaces>1316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2023-01-30T05:22:00Z</dcterms:created>
  <dc:creator>user</dc:creator>
  <cp:lastModifiedBy>kangdan</cp:lastModifiedBy>
  <dcterms:modified xsi:type="dcterms:W3CDTF">2026-02-04T10:55:31Z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F1E6D5CB1F708CB395CE7A699C311D97</vt:lpwstr>
  </property>
</Properties>
</file>