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4D217" w14:textId="77777777" w:rsidR="005C3CB5" w:rsidRDefault="005C3CB5" w:rsidP="005368CD">
      <w:pPr>
        <w:spacing w:after="0" w:line="600" w:lineRule="exact"/>
        <w:jc w:val="center"/>
        <w:rPr>
          <w:rFonts w:ascii="宋体" w:hAnsi="宋体" w:cs="Times New Roman" w:hint="eastAsia"/>
          <w:sz w:val="44"/>
        </w:rPr>
      </w:pPr>
    </w:p>
    <w:p w14:paraId="539C90B9" w14:textId="77777777" w:rsidR="005C3CB5" w:rsidRDefault="005C3CB5" w:rsidP="005368CD">
      <w:pPr>
        <w:spacing w:after="0" w:line="600" w:lineRule="exact"/>
        <w:jc w:val="center"/>
        <w:rPr>
          <w:rFonts w:ascii="宋体" w:hAnsi="宋体" w:cs="Times New Roman" w:hint="eastAsia"/>
          <w:sz w:val="44"/>
        </w:rPr>
      </w:pPr>
    </w:p>
    <w:p w14:paraId="3868F747" w14:textId="77777777" w:rsidR="005C3CB5" w:rsidRDefault="005C3CB5" w:rsidP="005368CD">
      <w:pPr>
        <w:spacing w:after="0" w:line="600" w:lineRule="exact"/>
        <w:jc w:val="center"/>
        <w:rPr>
          <w:rFonts w:ascii="宋体" w:hAnsi="宋体" w:cs="Times New Roman" w:hint="eastAsia"/>
          <w:sz w:val="44"/>
        </w:rPr>
      </w:pPr>
    </w:p>
    <w:p w14:paraId="7E6E0D5A" w14:textId="77777777" w:rsidR="005C3CB5" w:rsidRPr="00867B93" w:rsidRDefault="00000000" w:rsidP="005368CD">
      <w:pPr>
        <w:spacing w:after="0" w:line="600" w:lineRule="exact"/>
        <w:jc w:val="center"/>
        <w:rPr>
          <w:rFonts w:ascii="Arial Unicode MS" w:eastAsia="Arial Unicode MS" w:hAnsi="黑体" w:cs="Times New Roman" w:hint="eastAsia"/>
          <w:bCs/>
          <w:sz w:val="44"/>
          <w:szCs w:val="44"/>
        </w:rPr>
      </w:pPr>
      <w:r w:rsidRPr="00867B93">
        <w:rPr>
          <w:rFonts w:ascii="Arial Unicode MS" w:eastAsia="Arial Unicode MS" w:hAnsi="黑体" w:cs="Times New Roman" w:hint="eastAsia"/>
          <w:bCs/>
          <w:sz w:val="44"/>
          <w:szCs w:val="44"/>
        </w:rPr>
        <w:t>海域立体分层设权宗海空间范围界定</w:t>
      </w:r>
    </w:p>
    <w:p w14:paraId="1BA4D840" w14:textId="77777777" w:rsidR="005C3CB5" w:rsidRPr="00867B93" w:rsidRDefault="00000000" w:rsidP="005368CD">
      <w:pPr>
        <w:spacing w:after="0" w:line="600" w:lineRule="exact"/>
        <w:jc w:val="center"/>
        <w:rPr>
          <w:rFonts w:ascii="Arial Unicode MS" w:eastAsia="Arial Unicode MS" w:hAnsi="黑体" w:cs="Times New Roman" w:hint="eastAsia"/>
          <w:bCs/>
          <w:sz w:val="44"/>
          <w:szCs w:val="44"/>
        </w:rPr>
      </w:pPr>
      <w:r w:rsidRPr="00867B93">
        <w:rPr>
          <w:rFonts w:ascii="Arial Unicode MS" w:eastAsia="Arial Unicode MS" w:hAnsi="黑体" w:cs="Times New Roman" w:hint="eastAsia"/>
          <w:bCs/>
          <w:sz w:val="44"/>
          <w:szCs w:val="44"/>
        </w:rPr>
        <w:t>技术规范（征求意见稿）编制说明</w:t>
      </w:r>
    </w:p>
    <w:p w14:paraId="00065BC7" w14:textId="77777777" w:rsidR="005C3CB5" w:rsidRDefault="005C3CB5" w:rsidP="005368CD">
      <w:pPr>
        <w:spacing w:after="0" w:line="600" w:lineRule="exact"/>
        <w:jc w:val="center"/>
        <w:rPr>
          <w:rFonts w:ascii="仿宋_GB2312" w:eastAsia="仿宋_GB2312" w:hAnsi="宋体" w:cs="楷体_GB2312" w:hint="eastAsia"/>
          <w:sz w:val="32"/>
          <w:szCs w:val="32"/>
        </w:rPr>
      </w:pPr>
    </w:p>
    <w:p w14:paraId="2345658E" w14:textId="77777777" w:rsidR="005C3CB5" w:rsidRDefault="005C3CB5" w:rsidP="005368CD">
      <w:pPr>
        <w:spacing w:afterLines="200" w:after="624" w:line="600" w:lineRule="exact"/>
        <w:jc w:val="center"/>
        <w:rPr>
          <w:rFonts w:ascii="黑体" w:eastAsia="黑体" w:hAnsi="黑体" w:cs="楷体_GB2312" w:hint="eastAsia"/>
          <w:sz w:val="44"/>
          <w:szCs w:val="44"/>
        </w:rPr>
      </w:pPr>
    </w:p>
    <w:p w14:paraId="3EB68771" w14:textId="77777777" w:rsidR="005C3CB5" w:rsidRDefault="005C3CB5" w:rsidP="005368CD">
      <w:pPr>
        <w:spacing w:afterLines="200" w:after="624" w:line="600" w:lineRule="exact"/>
        <w:jc w:val="center"/>
        <w:rPr>
          <w:rFonts w:ascii="黑体" w:eastAsia="黑体" w:hAnsi="黑体" w:cs="楷体_GB2312" w:hint="eastAsia"/>
          <w:sz w:val="44"/>
          <w:szCs w:val="44"/>
        </w:rPr>
      </w:pPr>
    </w:p>
    <w:p w14:paraId="16054206" w14:textId="77777777" w:rsidR="005C3CB5" w:rsidRDefault="005C3CB5" w:rsidP="005368CD">
      <w:pPr>
        <w:spacing w:afterLines="200" w:after="624" w:line="600" w:lineRule="exact"/>
        <w:jc w:val="center"/>
        <w:rPr>
          <w:rFonts w:ascii="黑体" w:eastAsia="黑体" w:hAnsi="黑体" w:cs="楷体_GB2312" w:hint="eastAsia"/>
          <w:sz w:val="44"/>
          <w:szCs w:val="44"/>
        </w:rPr>
      </w:pPr>
    </w:p>
    <w:p w14:paraId="3DB57E88" w14:textId="77777777" w:rsidR="005C3CB5" w:rsidRDefault="005C3CB5" w:rsidP="005368CD">
      <w:pPr>
        <w:spacing w:line="600" w:lineRule="exact"/>
        <w:jc w:val="center"/>
        <w:rPr>
          <w:rFonts w:ascii="宋体" w:hAnsi="宋体" w:cs="楷体_GB2312" w:hint="eastAsia"/>
          <w:sz w:val="36"/>
          <w:szCs w:val="36"/>
        </w:rPr>
      </w:pPr>
    </w:p>
    <w:p w14:paraId="539F5A04" w14:textId="77777777" w:rsidR="005C3CB5" w:rsidRDefault="005C3CB5" w:rsidP="005368CD">
      <w:pPr>
        <w:spacing w:line="600" w:lineRule="exact"/>
        <w:jc w:val="center"/>
        <w:rPr>
          <w:rFonts w:ascii="宋体" w:hAnsi="宋体" w:cs="楷体_GB2312" w:hint="eastAsia"/>
          <w:sz w:val="36"/>
          <w:szCs w:val="36"/>
        </w:rPr>
      </w:pPr>
    </w:p>
    <w:p w14:paraId="234D1AF4" w14:textId="77777777" w:rsidR="005C3CB5" w:rsidRDefault="005C3CB5" w:rsidP="005368CD">
      <w:pPr>
        <w:spacing w:line="600" w:lineRule="exact"/>
        <w:jc w:val="center"/>
        <w:rPr>
          <w:rFonts w:ascii="宋体" w:hAnsi="宋体" w:cs="楷体_GB2312" w:hint="eastAsia"/>
          <w:sz w:val="36"/>
          <w:szCs w:val="36"/>
        </w:rPr>
      </w:pPr>
    </w:p>
    <w:p w14:paraId="600FD1C3" w14:textId="115DB818" w:rsidR="005C3CB5" w:rsidRDefault="00000000" w:rsidP="005368CD">
      <w:pPr>
        <w:tabs>
          <w:tab w:val="left" w:pos="2408"/>
        </w:tabs>
        <w:spacing w:after="0" w:line="600" w:lineRule="exact"/>
        <w:jc w:val="center"/>
        <w:rPr>
          <w:rFonts w:ascii="仿宋_GB2312" w:eastAsia="仿宋_GB2312" w:hAnsi="宋体" w:cstheme="minorBidi" w:hint="eastAsia"/>
          <w:bCs/>
          <w:sz w:val="32"/>
          <w:szCs w:val="32"/>
        </w:rPr>
      </w:pPr>
      <w:r>
        <w:rPr>
          <w:rFonts w:ascii="仿宋_GB2312" w:eastAsia="仿宋_GB2312" w:hAnsi="宋体" w:cstheme="minorBidi" w:hint="eastAsia"/>
          <w:bCs/>
          <w:sz w:val="32"/>
          <w:szCs w:val="32"/>
        </w:rPr>
        <w:t>规范编制组</w:t>
      </w:r>
    </w:p>
    <w:p w14:paraId="59EF1ED9" w14:textId="77777777" w:rsidR="005C3CB5" w:rsidRDefault="00000000" w:rsidP="005368CD">
      <w:pPr>
        <w:tabs>
          <w:tab w:val="left" w:pos="2408"/>
        </w:tabs>
        <w:spacing w:after="0" w:line="600" w:lineRule="exact"/>
        <w:jc w:val="center"/>
        <w:rPr>
          <w:rFonts w:ascii="宋体" w:hAnsi="宋体" w:cstheme="minorBidi" w:hint="eastAsia"/>
          <w:bCs/>
          <w:sz w:val="32"/>
          <w:szCs w:val="32"/>
        </w:rPr>
      </w:pPr>
      <w:r>
        <w:rPr>
          <w:rFonts w:ascii="宋体" w:hAnsi="宋体" w:cstheme="minorBidi"/>
          <w:bCs/>
          <w:sz w:val="32"/>
          <w:szCs w:val="32"/>
        </w:rPr>
        <w:t>2026年</w:t>
      </w:r>
      <w:r>
        <w:rPr>
          <w:rFonts w:ascii="宋体" w:hAnsi="宋体" w:cstheme="minorBidi" w:hint="eastAsia"/>
          <w:bCs/>
          <w:sz w:val="32"/>
          <w:szCs w:val="32"/>
        </w:rPr>
        <w:t>7</w:t>
      </w:r>
      <w:r>
        <w:rPr>
          <w:rFonts w:ascii="宋体" w:hAnsi="宋体" w:cstheme="minorBidi"/>
          <w:bCs/>
          <w:sz w:val="32"/>
          <w:szCs w:val="32"/>
        </w:rPr>
        <w:t>月</w:t>
      </w:r>
    </w:p>
    <w:p w14:paraId="457F5215" w14:textId="77777777" w:rsidR="005C3CB5" w:rsidRDefault="005C3CB5" w:rsidP="005368CD">
      <w:pPr>
        <w:spacing w:line="600" w:lineRule="exact"/>
      </w:pPr>
    </w:p>
    <w:p w14:paraId="407CD502" w14:textId="77777777" w:rsidR="005C3CB5" w:rsidRDefault="00000000" w:rsidP="005368CD">
      <w:pPr>
        <w:spacing w:line="600" w:lineRule="exact"/>
        <w:rPr>
          <w:rFonts w:ascii="宋体" w:hAnsi="宋体" w:hint="eastAsia"/>
          <w:b/>
          <w:bCs/>
          <w:sz w:val="28"/>
          <w:szCs w:val="28"/>
        </w:rPr>
      </w:pPr>
      <w:r>
        <w:rPr>
          <w:rFonts w:ascii="宋体" w:hAnsi="宋体" w:hint="eastAsia"/>
          <w:b/>
          <w:bCs/>
          <w:sz w:val="28"/>
          <w:szCs w:val="28"/>
        </w:rPr>
        <w:br w:type="page"/>
      </w:r>
    </w:p>
    <w:p w14:paraId="78C77F66" w14:textId="77777777" w:rsidR="005D6C1D" w:rsidRDefault="005D6C1D" w:rsidP="005368CD">
      <w:pPr>
        <w:spacing w:after="0" w:line="600" w:lineRule="exact"/>
        <w:ind w:firstLineChars="200" w:firstLine="640"/>
        <w:outlineLvl w:val="0"/>
        <w:rPr>
          <w:rFonts w:ascii="黑体" w:eastAsia="黑体" w:hAnsi="黑体" w:hint="eastAsia"/>
          <w:sz w:val="32"/>
          <w:szCs w:val="36"/>
        </w:rPr>
        <w:sectPr w:rsidR="005D6C1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p>
    <w:p w14:paraId="10047E5A" w14:textId="68EA3E59" w:rsidR="005C3CB5" w:rsidRDefault="00000000" w:rsidP="005368CD">
      <w:pPr>
        <w:spacing w:after="0" w:line="600" w:lineRule="exact"/>
        <w:ind w:firstLineChars="200" w:firstLine="640"/>
        <w:outlineLvl w:val="0"/>
        <w:rPr>
          <w:rFonts w:ascii="黑体" w:eastAsia="黑体" w:hAnsi="黑体" w:hint="eastAsia"/>
          <w:sz w:val="32"/>
          <w:szCs w:val="36"/>
        </w:rPr>
      </w:pPr>
      <w:r>
        <w:rPr>
          <w:rFonts w:ascii="黑体" w:eastAsia="黑体" w:hAnsi="黑体" w:hint="eastAsia"/>
          <w:sz w:val="32"/>
          <w:szCs w:val="36"/>
        </w:rPr>
        <w:lastRenderedPageBreak/>
        <w:t>一、规范编制背景与必要性</w:t>
      </w:r>
    </w:p>
    <w:p w14:paraId="17700742" w14:textId="3C6D4CF8"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bookmarkStart w:id="0" w:name="OLE_LINK1"/>
      <w:r>
        <w:rPr>
          <w:rFonts w:ascii="仿宋_GB2312" w:eastAsia="仿宋_GB2312" w:hAnsi="方正仿宋_GBK" w:cs="方正仿宋_GBK" w:hint="eastAsia"/>
          <w:sz w:val="32"/>
          <w:szCs w:val="32"/>
        </w:rPr>
        <w:t>长期以来，我国海域使用管理沿用二维平面化管理模式，难以适配新形势下海洋开发利用的立体化、多功能化发展需求。随着国家海洋强国战略的深入推进，海域资源开发利用的深度与广度持续拓展，近海传统产业的用海需求稳步增大，新兴产业业态、模式大量涌现，不同项目交叉重叠用海活动频繁，海域空间立体综合开发需求较大。为应对多产业、多主体的海域立体使用新态势，国家层面制定政策，明确管理要求，积极引导各地实践。2019年4月，中共中央办公厅、国务院办公厅联合印发《关于统筹推进自然资源资产产权制度改革的指导意见》（中办发〔2019〕25号），提出“探索海域立体分层设权”；2021年12月，国务院办公厅印发《要素市场化配置综合改革试点总体方案》（国办发〔2021〕51号），首次聚焦海域要素市场化配置的重点领域和关键环节，再次强调“探索海域立体分层设权”；2023年11月，自然资源部印发《自然资源部关于探索推进海域立体分层设权工作的通知》（自然资规〔2023〕8号）和《海域立体分层设权宗海范围界定指南（试行）》（自然资办函〔2023〕2234号，以下简称</w:t>
      </w:r>
      <w:bookmarkStart w:id="1" w:name="_Hlk235780685"/>
      <w:r>
        <w:rPr>
          <w:rFonts w:ascii="仿宋_GB2312" w:eastAsia="仿宋_GB2312" w:hAnsi="方正仿宋_GBK" w:cs="方正仿宋_GBK" w:hint="eastAsia"/>
          <w:sz w:val="32"/>
          <w:szCs w:val="32"/>
        </w:rPr>
        <w:t>《国家界定指南》</w:t>
      </w:r>
      <w:bookmarkEnd w:id="1"/>
      <w:r>
        <w:rPr>
          <w:rFonts w:ascii="仿宋_GB2312" w:eastAsia="仿宋_GB2312" w:hAnsi="方正仿宋_GBK" w:cs="方正仿宋_GBK" w:hint="eastAsia"/>
          <w:sz w:val="32"/>
          <w:szCs w:val="32"/>
        </w:rPr>
        <w:t>），以部门规范性文件形式，细化了海域立体分层设权工作的总体要求和技术规范，推动制度设计正式迈入落地实施阶段。在国家政策引导下，浙江、广东、海南、江苏等地陆续出台了相应的政策管理文件，制定了地方性技术规范。</w:t>
      </w:r>
    </w:p>
    <w:p w14:paraId="3FD32A2C" w14:textId="4E1C9276"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lastRenderedPageBreak/>
        <w:t>上海市围绕“五个中心”和现代海洋城市建设，强化用海要素保障，先后服务保障交通、能源等一批重大项目用海需求。上海市管辖海域港口航运、海底管线、新能源等用海活动集聚，立体开发需求迫切，已累积审批立体分层用海项目46个。上海市海洋局通过先行先试，积累审批经验，研究印发了《关于推进海域立体分层设权工作的通知》（沪海洋〔2025〕169号，以下简称《上海推进通知》），同步配套出台了《上海市海域立体分层设权宗海空间范围界定指南（试行）》（以下简称</w:t>
      </w:r>
      <w:bookmarkStart w:id="2" w:name="_Hlk235779240"/>
      <w:r>
        <w:rPr>
          <w:rFonts w:ascii="仿宋_GB2312" w:eastAsia="仿宋_GB2312" w:hAnsi="方正仿宋_GBK" w:cs="方正仿宋_GBK" w:hint="eastAsia"/>
          <w:sz w:val="32"/>
          <w:szCs w:val="32"/>
        </w:rPr>
        <w:t>《上海界定指南》</w:t>
      </w:r>
      <w:bookmarkEnd w:id="2"/>
      <w:r>
        <w:rPr>
          <w:rFonts w:ascii="仿宋_GB2312" w:eastAsia="仿宋_GB2312" w:hAnsi="方正仿宋_GBK" w:cs="方正仿宋_GBK" w:hint="eastAsia"/>
          <w:sz w:val="32"/>
          <w:szCs w:val="32"/>
        </w:rPr>
        <w:t>），初步构建了本市海域立体分层设权制度管理体系。</w:t>
      </w:r>
    </w:p>
    <w:p w14:paraId="2305A07E" w14:textId="3A09FD1F"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技术规范在《国家界定指南》核心内容基础上，结合上海海域开发利用实际对用海活动类型进行了扩充，细化了高程等技术要求。与《上海界定指南》相比，本规范进一步完善了用海组合目录和高程换算要求，旨在规范本市海域立体开发利用活动，提高宗海空间范围界定的统一性、科学性和合理性，进一步完善本市海域立体分层设权制度体系，服务上海现代海洋城市建设。本规范正式印发后，将替代《上海界定指南》实施。</w:t>
      </w:r>
    </w:p>
    <w:bookmarkEnd w:id="0"/>
    <w:p w14:paraId="29EAD8B1" w14:textId="77777777" w:rsidR="005C3CB5" w:rsidRDefault="00000000" w:rsidP="005368CD">
      <w:pPr>
        <w:spacing w:after="0" w:line="600" w:lineRule="exact"/>
        <w:ind w:firstLineChars="200" w:firstLine="640"/>
        <w:outlineLvl w:val="0"/>
        <w:rPr>
          <w:rFonts w:ascii="黑体" w:eastAsia="黑体" w:hAnsi="黑体" w:hint="eastAsia"/>
          <w:sz w:val="32"/>
          <w:szCs w:val="36"/>
        </w:rPr>
      </w:pPr>
      <w:r>
        <w:rPr>
          <w:rFonts w:ascii="黑体" w:eastAsia="黑体" w:hAnsi="黑体" w:hint="eastAsia"/>
          <w:sz w:val="32"/>
          <w:szCs w:val="36"/>
        </w:rPr>
        <w:t>二、起草组工作简况</w:t>
      </w:r>
    </w:p>
    <w:p w14:paraId="3187CCC0"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（一）任务来源与立项</w:t>
      </w:r>
    </w:p>
    <w:p w14:paraId="41C6C268" w14:textId="04284C85"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根据上海市海洋局年度工作安排和技术咨询服务合同，规范批准立项。立项名称为《海域立体分层设权宗海空间范围界定技术规范》。</w:t>
      </w:r>
    </w:p>
    <w:p w14:paraId="011CF5C3"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lastRenderedPageBreak/>
        <w:t>（二）成立编制组</w:t>
      </w:r>
    </w:p>
    <w:p w14:paraId="4F0CF57B"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编制组由上海市海洋管理事务中心、上海东海海洋工程勘察设计研究院有限公司作为联合主编单位，自然资源部东海海域海岛中心、上海市海洋局行政服务中心、上海市水务规划设计研究院作为参编单位。按照职责分工分别负责数学基础、宗海立面界址界定、各用海类型宗海空间范围界定以及宗海图编绘等工作。编制组汇聚了海洋管理、海洋测绘、地理信息系统等多领域的专家和技术骨干，为编制工作提供了坚实的技术保障。</w:t>
      </w:r>
    </w:p>
    <w:p w14:paraId="3F326001"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（三）调研与协商</w:t>
      </w:r>
    </w:p>
    <w:p w14:paraId="0A99D005"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t>1.起草阶段</w:t>
      </w:r>
    </w:p>
    <w:p w14:paraId="49CE187F" w14:textId="04D05A9A"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在充分调研和协商的基础上，编制组按照GB/T 1.1-2020《标准化工作导则 第1部分：标准化文件的结构和起草规则》要求，于2026年4月完成《海域立体分层设权宗海空间范围界定技术规范（草案）》编制，草案明确了规范的适用范围、术语定义、总体要求、宗海空间范围界定及宗海图编绘等规范核心内容。</w:t>
      </w:r>
    </w:p>
    <w:p w14:paraId="028EA153"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t>2.</w:t>
      </w:r>
      <w:r>
        <w:rPr>
          <w:rFonts w:ascii="仿宋_GB2312" w:eastAsia="仿宋_GB2312" w:hAnsi="方正仿宋_GBK" w:cs="方正仿宋_GBK" w:hint="eastAsia"/>
          <w:b/>
          <w:bCs/>
          <w:color w:val="auto"/>
        </w:rPr>
        <w:t>咨询协调</w:t>
      </w:r>
      <w:r>
        <w:rPr>
          <w:rFonts w:ascii="仿宋_GB2312" w:eastAsia="仿宋_GB2312" w:hAnsi="方正仿宋_GBK" w:cs="方正仿宋_GBK"/>
          <w:b/>
          <w:bCs/>
          <w:color w:val="auto"/>
        </w:rPr>
        <w:t>阶段</w:t>
      </w:r>
    </w:p>
    <w:p w14:paraId="34CF90D2" w14:textId="71CCA1EA" w:rsidR="005C3CB5" w:rsidRPr="00200993" w:rsidRDefault="005C3CB5" w:rsidP="005368CD">
      <w:pPr>
        <w:pStyle w:val="aa"/>
        <w:widowControl/>
        <w:spacing w:line="600" w:lineRule="exact"/>
        <w:ind w:firstLineChars="200" w:firstLine="640"/>
        <w:rPr>
          <w:rFonts w:ascii="仿宋_GB2312" w:eastAsia="仿宋_GB2312" w:hAnsi="方正仿宋_GBK" w:cs="方正仿宋_GBK" w:hint="eastAsia"/>
          <w:sz w:val="32"/>
          <w:szCs w:val="32"/>
        </w:rPr>
      </w:pPr>
    </w:p>
    <w:p w14:paraId="19F38D74"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t>3.</w:t>
      </w:r>
      <w:r>
        <w:rPr>
          <w:rFonts w:ascii="仿宋_GB2312" w:eastAsia="仿宋_GB2312" w:hAnsi="方正仿宋_GBK" w:cs="方正仿宋_GBK" w:hint="eastAsia"/>
          <w:b/>
          <w:bCs/>
          <w:color w:val="auto"/>
        </w:rPr>
        <w:t>征求意见</w:t>
      </w:r>
      <w:r>
        <w:rPr>
          <w:rFonts w:ascii="仿宋_GB2312" w:eastAsia="仿宋_GB2312" w:hAnsi="方正仿宋_GBK" w:cs="方正仿宋_GBK"/>
          <w:b/>
          <w:bCs/>
          <w:color w:val="auto"/>
        </w:rPr>
        <w:t>阶段</w:t>
      </w:r>
    </w:p>
    <w:p w14:paraId="2F86585C" w14:textId="526C7422" w:rsidR="005C3CB5" w:rsidRDefault="005C3CB5" w:rsidP="005368CD">
      <w:pPr>
        <w:pStyle w:val="aa"/>
        <w:widowControl/>
        <w:spacing w:line="600" w:lineRule="exact"/>
        <w:ind w:firstLineChars="200" w:firstLine="640"/>
        <w:rPr>
          <w:rFonts w:ascii="仿宋_GB2312" w:eastAsia="仿宋_GB2312" w:hAnsi="方正仿宋_GBK" w:cs="方正仿宋_GBK" w:hint="eastAsia"/>
          <w:sz w:val="32"/>
          <w:szCs w:val="32"/>
          <w:highlight w:val="yellow"/>
        </w:rPr>
      </w:pPr>
    </w:p>
    <w:p w14:paraId="4FF88442"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t>4.</w:t>
      </w:r>
      <w:r>
        <w:rPr>
          <w:rFonts w:ascii="仿宋_GB2312" w:eastAsia="仿宋_GB2312" w:hAnsi="方正仿宋_GBK" w:cs="方正仿宋_GBK" w:hint="eastAsia"/>
          <w:b/>
          <w:bCs/>
          <w:color w:val="auto"/>
        </w:rPr>
        <w:t>审查</w:t>
      </w:r>
      <w:r>
        <w:rPr>
          <w:rFonts w:ascii="仿宋_GB2312" w:eastAsia="仿宋_GB2312" w:hAnsi="方正仿宋_GBK" w:cs="方正仿宋_GBK"/>
          <w:b/>
          <w:bCs/>
          <w:color w:val="auto"/>
        </w:rPr>
        <w:t>阶段</w:t>
      </w:r>
    </w:p>
    <w:p w14:paraId="0BF6B2B8" w14:textId="25B02C5F" w:rsidR="005C3CB5" w:rsidRDefault="005C3CB5" w:rsidP="005368CD">
      <w:pPr>
        <w:pStyle w:val="aa"/>
        <w:widowControl/>
        <w:spacing w:line="600" w:lineRule="exact"/>
        <w:ind w:firstLineChars="200" w:firstLine="640"/>
        <w:rPr>
          <w:rFonts w:ascii="仿宋_GB2312" w:eastAsia="仿宋_GB2312" w:hAnsi="方正仿宋_GBK" w:cs="方正仿宋_GBK" w:hint="eastAsia"/>
          <w:sz w:val="32"/>
          <w:szCs w:val="32"/>
          <w:highlight w:val="yellow"/>
        </w:rPr>
      </w:pPr>
    </w:p>
    <w:p w14:paraId="1232EF0D" w14:textId="5A4143AF" w:rsidR="005C3CB5" w:rsidRDefault="00000000" w:rsidP="005368CD">
      <w:pPr>
        <w:spacing w:after="0" w:line="600" w:lineRule="exact"/>
        <w:ind w:firstLineChars="200" w:firstLine="640"/>
        <w:outlineLvl w:val="0"/>
        <w:rPr>
          <w:rFonts w:ascii="黑体" w:eastAsia="黑体" w:hAnsi="黑体" w:hint="eastAsia"/>
          <w:sz w:val="32"/>
          <w:szCs w:val="36"/>
        </w:rPr>
      </w:pPr>
      <w:r>
        <w:rPr>
          <w:rFonts w:ascii="黑体" w:eastAsia="黑体" w:hAnsi="黑体" w:hint="eastAsia"/>
          <w:sz w:val="32"/>
          <w:szCs w:val="36"/>
        </w:rPr>
        <w:lastRenderedPageBreak/>
        <w:t>三、规范编制原则和主要技术要求的确定依据（包括验证报告、统计数据等）及理由</w:t>
      </w:r>
    </w:p>
    <w:p w14:paraId="47096DA9" w14:textId="6FB7EABC"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（一）规范编制原则</w:t>
      </w:r>
    </w:p>
    <w:p w14:paraId="4FC0BF1D" w14:textId="2AAB71E4"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本规范的编制遵循以下四项核心原则，确保规范的统一性、先进性、适用性和可操作性。</w:t>
      </w:r>
    </w:p>
    <w:p w14:paraId="3070A9C2"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t>1.</w:t>
      </w:r>
      <w:r>
        <w:rPr>
          <w:rFonts w:ascii="仿宋_GB2312" w:eastAsia="仿宋_GB2312" w:hAnsi="方正仿宋_GBK" w:cs="方正仿宋_GBK" w:hint="eastAsia"/>
          <w:b/>
          <w:bCs/>
          <w:color w:val="auto"/>
        </w:rPr>
        <w:t>统一性原则</w:t>
      </w:r>
    </w:p>
    <w:p w14:paraId="6D2D325E" w14:textId="1BAD86D3"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 xml:space="preserve">本规范严格遵循《中华人民共和国海域使用管理法》《中华人民共和国测绘法》《中华人民共和国保守国家秘密法》等法律法规，与现行的国家标准（GB/T </w:t>
      </w:r>
      <w:r>
        <w:rPr>
          <w:rFonts w:ascii="仿宋_GB2312" w:eastAsia="仿宋_GB2312" w:hAnsi="方正仿宋_GBK" w:cs="方正仿宋_GBK"/>
          <w:sz w:val="32"/>
          <w:szCs w:val="32"/>
        </w:rPr>
        <w:t>42361</w:t>
      </w:r>
      <w:r>
        <w:rPr>
          <w:rFonts w:ascii="仿宋_GB2312" w:eastAsia="仿宋_GB2312" w:hAnsi="方正仿宋_GBK" w:cs="方正仿宋_GBK" w:hint="eastAsia"/>
          <w:sz w:val="32"/>
          <w:szCs w:val="32"/>
        </w:rPr>
        <w:t>）、行业标准（HY/T 123、HY/T 124、HY/T 251）及沿海各省市发布的地方标准或技术指南相互协调。通过“向上对齐、横向协调”，构建层次清晰、协调一致的标准体系，避免标准的冲突与重复。</w:t>
      </w:r>
    </w:p>
    <w:p w14:paraId="79F23782"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t>2.</w:t>
      </w:r>
      <w:r>
        <w:rPr>
          <w:rFonts w:ascii="仿宋_GB2312" w:eastAsia="仿宋_GB2312" w:hAnsi="方正仿宋_GBK" w:cs="方正仿宋_GBK" w:hint="eastAsia"/>
          <w:b/>
          <w:bCs/>
          <w:color w:val="auto"/>
        </w:rPr>
        <w:t>先进性原则</w:t>
      </w:r>
    </w:p>
    <w:p w14:paraId="5C485DB3" w14:textId="0777BEDC"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在全面执行现行国家标准与行业标准的基础上，围绕上海市海域立体分层设权实际需求实现多项创新与提升。在用海空间层方面，针对多个用海类型的实际用海需求，创新性提出用海空间层复合界定规则。在宗海图编绘方面，创新性提出横纵依比例尺绘制宗海立体空间范围示意图，为后续海域使用信息化管理从二维转向三维提供坚实的技术基础；特别地，针对海底电缆管道项目，根据不同区段和不同施工方式，提出分段整合绘制宗海立体空间范围示意图，</w:t>
      </w:r>
      <w:r>
        <w:rPr>
          <w:rFonts w:ascii="仿宋_GB2312" w:eastAsia="仿宋_GB2312" w:hAnsi="方正仿宋_GBK" w:cs="方正仿宋_GBK"/>
          <w:sz w:val="32"/>
          <w:szCs w:val="32"/>
        </w:rPr>
        <w:t>有效精简成果图件数量</w:t>
      </w:r>
      <w:r>
        <w:rPr>
          <w:rFonts w:ascii="仿宋_GB2312" w:eastAsia="仿宋_GB2312" w:hAnsi="方正仿宋_GBK" w:cs="方正仿宋_GBK" w:hint="eastAsia"/>
          <w:sz w:val="32"/>
          <w:szCs w:val="32"/>
        </w:rPr>
        <w:t>，提升了图件的可读性及利用率。</w:t>
      </w:r>
    </w:p>
    <w:p w14:paraId="5F3F9662"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lastRenderedPageBreak/>
        <w:t>3.</w:t>
      </w:r>
      <w:r>
        <w:rPr>
          <w:rFonts w:ascii="仿宋_GB2312" w:eastAsia="仿宋_GB2312" w:hAnsi="方正仿宋_GBK" w:cs="方正仿宋_GBK" w:hint="eastAsia"/>
          <w:b/>
          <w:bCs/>
          <w:color w:val="auto"/>
        </w:rPr>
        <w:t>适用性原则</w:t>
      </w:r>
    </w:p>
    <w:p w14:paraId="25791F32" w14:textId="72C72043"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聚焦上海市海域立体分层设权宗海空间范围界定的需求，系统规定了数学基础、宗海立面界址界定、各用海类型宗海空间范围界定以及宗海图编绘等内容，全面适配上海市管辖海域范围内用海活动的海域立体分层设权需求，兼具适用性与示范性。</w:t>
      </w:r>
    </w:p>
    <w:p w14:paraId="32AE82BA"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t>4.</w:t>
      </w:r>
      <w:r>
        <w:rPr>
          <w:rFonts w:ascii="仿宋_GB2312" w:eastAsia="仿宋_GB2312" w:hAnsi="方正仿宋_GBK" w:cs="方正仿宋_GBK" w:hint="eastAsia"/>
          <w:b/>
          <w:bCs/>
          <w:color w:val="auto"/>
        </w:rPr>
        <w:t>可操作性原则</w:t>
      </w:r>
    </w:p>
    <w:p w14:paraId="6BD9F0EF" w14:textId="63C9BB2F"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在宗海空间范围界定、宗海图编绘等方面提供了全流程、可直接落地可操作的技术支撑。针对上海市现有的和潜在的主要用海类型，逐一细化用海空间层的界定，所提出的横纵依比例尺绘制宗海立体空间范围示意图，将来可接入海域使用三维信息化管理体系。</w:t>
      </w:r>
    </w:p>
    <w:p w14:paraId="22FCF916"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（二）主要技术要求的确定依据及理由</w:t>
      </w:r>
    </w:p>
    <w:p w14:paraId="5DEC88FF" w14:textId="6C8683B0"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共设6章正文、4个资料性附录，核心技术主要围绕数学基础、宗海立面界址界定、主用海类型宗海空间范围界定以及宗海图编绘四大关键模块展开。各技术要求的确定，均严格结合国家现行法律法规、国家标准和行业标准以及上海市海域立体分层设权实际需求。</w:t>
      </w:r>
    </w:p>
    <w:p w14:paraId="56508DD4"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t>1.</w:t>
      </w:r>
      <w:r>
        <w:rPr>
          <w:rFonts w:ascii="仿宋_GB2312" w:eastAsia="仿宋_GB2312" w:hAnsi="方正仿宋_GBK" w:cs="方正仿宋_GBK" w:hint="eastAsia"/>
          <w:b/>
          <w:bCs/>
          <w:color w:val="auto"/>
        </w:rPr>
        <w:t>数学基础的确定依据及理由</w:t>
      </w:r>
    </w:p>
    <w:p w14:paraId="6B5DED22" w14:textId="77777777" w:rsidR="005C3CB5" w:rsidRDefault="00000000" w:rsidP="005368CD">
      <w:pPr>
        <w:spacing w:after="0" w:line="600" w:lineRule="exact"/>
        <w:ind w:firstLine="420"/>
        <w:outlineLvl w:val="3"/>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（1）确定依据</w:t>
      </w:r>
    </w:p>
    <w:p w14:paraId="0D5F1981"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①法律法规：《中华人民共和国测绘法》明确规定国家建立全国统一的大地坐标系统、高程系统，这是数学基础统</w:t>
      </w:r>
      <w:r>
        <w:rPr>
          <w:rFonts w:ascii="仿宋_GB2312" w:eastAsia="仿宋_GB2312" w:hAnsi="方正仿宋_GBK" w:cs="方正仿宋_GBK" w:hint="eastAsia"/>
          <w:sz w:val="32"/>
          <w:szCs w:val="32"/>
        </w:rPr>
        <w:lastRenderedPageBreak/>
        <w:t>一设定的根本法定依据，确保海域使用权属成果的合法性和通用性。</w:t>
      </w:r>
    </w:p>
    <w:p w14:paraId="14622FED"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②国家标准：《国家大地测量基本技术规定》（GB 22021-2008）正式确立2000国家大地坐标系（CGCS2000）为我国法定国家大地坐标系；《国家高程基准》（GB/T 12897-2006）确立1985国家高程基准为法定国家高程基准，为规范数学基础的选择提供了国家级标准支撑。</w:t>
      </w:r>
    </w:p>
    <w:p w14:paraId="15D54435"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③行业标准：《宗海图编绘技术规范》（HY/T 251-2018）确定宗海图一般采用A4幅面，满幅面设计；绘图采用高斯—克吕格投影，</w:t>
      </w:r>
      <w:r>
        <w:rPr>
          <w:rFonts w:ascii="仿宋_GB2312" w:eastAsia="仿宋_GB2312" w:hAnsi="方正仿宋_GBK" w:cs="方正仿宋_GBK"/>
          <w:sz w:val="32"/>
          <w:szCs w:val="32"/>
        </w:rPr>
        <w:t>中央经线为宗海中心相近的0.5</w:t>
      </w:r>
      <w:r>
        <w:rPr>
          <w:rFonts w:ascii="仿宋_GB2312" w:eastAsia="仿宋_GB2312" w:hAnsi="方正仿宋_GBK" w:cs="方正仿宋_GBK"/>
          <w:sz w:val="32"/>
          <w:szCs w:val="32"/>
        </w:rPr>
        <w:t>°</w:t>
      </w:r>
      <w:r>
        <w:rPr>
          <w:rFonts w:ascii="仿宋_GB2312" w:eastAsia="仿宋_GB2312" w:hAnsi="方正仿宋_GBK" w:cs="方正仿宋_GBK"/>
          <w:sz w:val="32"/>
          <w:szCs w:val="32"/>
        </w:rPr>
        <w:t>整数倍经线</w:t>
      </w:r>
      <w:r>
        <w:rPr>
          <w:rFonts w:ascii="仿宋_GB2312" w:eastAsia="仿宋_GB2312" w:hAnsi="方正仿宋_GBK" w:cs="方正仿宋_GBK" w:hint="eastAsia"/>
          <w:sz w:val="32"/>
          <w:szCs w:val="32"/>
        </w:rPr>
        <w:t>；深度基准采用当地理论最低潮面。</w:t>
      </w:r>
    </w:p>
    <w:p w14:paraId="31A66611"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④区域技术条件：上海市已建成完善的连续运行卫星定位服务系统（</w:t>
      </w:r>
      <w:r>
        <w:rPr>
          <w:rFonts w:ascii="仿宋_GB2312" w:eastAsia="仿宋_GB2312" w:hAnsi="方正仿宋_GBK" w:cs="方正仿宋_GBK"/>
          <w:sz w:val="32"/>
          <w:szCs w:val="32"/>
        </w:rPr>
        <w:t>Continuous Operational</w:t>
      </w:r>
      <w:r>
        <w:rPr>
          <w:rFonts w:ascii="仿宋_GB2312" w:eastAsia="仿宋_GB2312" w:hAnsi="方正仿宋_GBK" w:cs="方正仿宋_GBK" w:hint="eastAsia"/>
          <w:sz w:val="32"/>
          <w:szCs w:val="32"/>
        </w:rPr>
        <w:t xml:space="preserve"> </w:t>
      </w:r>
      <w:r>
        <w:rPr>
          <w:rFonts w:ascii="仿宋_GB2312" w:eastAsia="仿宋_GB2312" w:hAnsi="方正仿宋_GBK" w:cs="方正仿宋_GBK"/>
          <w:sz w:val="32"/>
          <w:szCs w:val="32"/>
        </w:rPr>
        <w:t>Reference System，简称</w:t>
      </w:r>
      <w:r>
        <w:rPr>
          <w:rFonts w:ascii="仿宋_GB2312" w:eastAsia="仿宋_GB2312" w:hAnsi="方正仿宋_GBK" w:cs="方正仿宋_GBK" w:hint="eastAsia"/>
          <w:sz w:val="32"/>
          <w:szCs w:val="32"/>
        </w:rPr>
        <w:t>：</w:t>
      </w:r>
      <w:r>
        <w:rPr>
          <w:rFonts w:ascii="仿宋_GB2312" w:eastAsia="仿宋_GB2312" w:hAnsi="方正仿宋_GBK" w:cs="方正仿宋_GBK"/>
          <w:sz w:val="32"/>
          <w:szCs w:val="32"/>
        </w:rPr>
        <w:t>CORS</w:t>
      </w:r>
      <w:r>
        <w:rPr>
          <w:rFonts w:ascii="仿宋_GB2312" w:eastAsia="仿宋_GB2312" w:hAnsi="方正仿宋_GBK" w:cs="方正仿宋_GBK" w:hint="eastAsia"/>
          <w:sz w:val="32"/>
          <w:szCs w:val="32"/>
        </w:rPr>
        <w:t>），可实现CGCS2000坐标的实时、动态获取，具备便捷采用统一基准的技术基础，无需额外投入大量资源搭建新的基准体系。</w:t>
      </w:r>
    </w:p>
    <w:p w14:paraId="57A67896" w14:textId="5FF02A1D"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⑤规范明确规定及行业现状：规范文本第4.1条明确“坐标系统应采用2000国家大地坐标系（CGCS2000）”“高程基准应采用1985国家高程基准”“深度基准可采用当地理论最低潮面”；“图件采用A4图幅，</w:t>
      </w:r>
      <w:r>
        <w:rPr>
          <w:rFonts w:ascii="仿宋_GB2312" w:eastAsia="仿宋_GB2312" w:hAnsi="方正仿宋_GBK" w:cs="方正仿宋_GBK"/>
          <w:sz w:val="32"/>
          <w:szCs w:val="32"/>
        </w:rPr>
        <w:t>宗海位置图、宗海平面布置图、宗海界址图主图比例尺原则上为50整数倍</w:t>
      </w:r>
      <w:r>
        <w:rPr>
          <w:rFonts w:ascii="仿宋_GB2312" w:eastAsia="仿宋_GB2312" w:hAnsi="方正仿宋_GBK" w:cs="方正仿宋_GBK" w:hint="eastAsia"/>
          <w:sz w:val="32"/>
          <w:szCs w:val="32"/>
        </w:rPr>
        <w:t>。局部放大图比例尺与主图比例尺成倍数关系；宗海立体空间范围示意图宜在横纵方向分别依比例尺绘制”。同时考虑到陆域与海域</w:t>
      </w:r>
      <w:r>
        <w:rPr>
          <w:rFonts w:ascii="仿宋_GB2312" w:eastAsia="仿宋_GB2312" w:hAnsi="方正仿宋_GBK" w:cs="方正仿宋_GBK" w:hint="eastAsia"/>
          <w:sz w:val="32"/>
          <w:szCs w:val="32"/>
        </w:rPr>
        <w:lastRenderedPageBreak/>
        <w:t>高程之间常用基准面的差异，需提供当地理论最低潮面与1985国家高程基准的相互转换关系。该转换关系可由项目附近的长期验潮站资料获得。</w:t>
      </w:r>
    </w:p>
    <w:p w14:paraId="286CE73D" w14:textId="77777777" w:rsidR="005C3CB5" w:rsidRDefault="00000000" w:rsidP="005368CD">
      <w:pPr>
        <w:spacing w:after="0" w:line="600" w:lineRule="exact"/>
        <w:ind w:firstLine="420"/>
        <w:outlineLvl w:val="3"/>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（2）确定理由</w:t>
      </w:r>
    </w:p>
    <w:p w14:paraId="74EFD358"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①权威性与合法性：采用国家法定基准，是确保宗海图件成果合法、有效的根本前提，同时能够实现与国家海域海岛动态监管系统的无缝对接，避免因基准不统一造成的成果不兼容问题，确保海域使用权属数据的权威性和合法性。</w:t>
      </w:r>
    </w:p>
    <w:p w14:paraId="2F8BBC0C"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②解决数据转换难题：长期以来，陆域普遍采用高程基准（如1985国家高程基准、上海吴淞高程基准），海域普遍采用深度基准（如当地理论最低潮面），两类基准不统一造成空间高程数据无法拼接，直接影响宗海立体空间范围的准确界定，建立高程基准和深度基准之间的相互转换关系，是破解该问题的根本途径。</w:t>
      </w:r>
    </w:p>
    <w:p w14:paraId="1EB9F38D"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③保障宗海图件的规范性和通用性：参照</w:t>
      </w:r>
      <w:r>
        <w:rPr>
          <w:rFonts w:ascii="仿宋_GB2312" w:eastAsia="仿宋_GB2312" w:hAnsi="方正仿宋_GBK" w:cs="方正仿宋_GBK"/>
          <w:sz w:val="32"/>
          <w:szCs w:val="32"/>
        </w:rPr>
        <w:t>国家基本比例尺地形图的比例尺体系，结合海籍调查</w:t>
      </w:r>
      <w:r>
        <w:rPr>
          <w:rFonts w:ascii="仿宋_GB2312" w:eastAsia="仿宋_GB2312" w:hAnsi="方正仿宋_GBK" w:cs="方正仿宋_GBK" w:hint="eastAsia"/>
          <w:sz w:val="32"/>
          <w:szCs w:val="32"/>
        </w:rPr>
        <w:t>成图</w:t>
      </w:r>
      <w:r>
        <w:rPr>
          <w:rFonts w:ascii="仿宋_GB2312" w:eastAsia="仿宋_GB2312" w:hAnsi="方正仿宋_GBK" w:cs="方正仿宋_GBK"/>
          <w:sz w:val="32"/>
          <w:szCs w:val="32"/>
        </w:rPr>
        <w:t>要求，</w:t>
      </w:r>
      <w:r>
        <w:rPr>
          <w:rFonts w:ascii="仿宋_GB2312" w:eastAsia="仿宋_GB2312" w:hAnsi="方正仿宋_GBK" w:cs="方正仿宋_GBK" w:hint="eastAsia"/>
          <w:sz w:val="32"/>
          <w:szCs w:val="32"/>
        </w:rPr>
        <w:t>明确主图比例尺原则上取50的整数倍，局部放大图比例尺须与主图比例尺成倍数关系，杜绝比例尺随意设定的情况；同时</w:t>
      </w:r>
      <w:r>
        <w:rPr>
          <w:rFonts w:ascii="仿宋_GB2312" w:eastAsia="仿宋_GB2312" w:hAnsi="方正仿宋_GBK" w:cs="方正仿宋_GBK"/>
          <w:sz w:val="32"/>
          <w:szCs w:val="32"/>
        </w:rPr>
        <w:t>兼顾未来海域三维信息化管理的数据需求，支持在满足技术条件时，宗海立体空间范围示意图采用横纵分比例尺绘制。</w:t>
      </w:r>
    </w:p>
    <w:p w14:paraId="5EC11DDF"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④技术可行性：</w:t>
      </w:r>
      <w:r>
        <w:rPr>
          <w:rFonts w:ascii="仿宋_GB2312" w:eastAsia="仿宋_GB2312" w:hAnsi="方正仿宋_GBK" w:cs="方正仿宋_GBK"/>
          <w:sz w:val="32"/>
          <w:szCs w:val="32"/>
        </w:rPr>
        <w:t>横纵分比例尺绘制方式已广泛应用于海底电缆管道路由勘察的纵剖面图编制，具备成熟的技术方法</w:t>
      </w:r>
      <w:r>
        <w:rPr>
          <w:rFonts w:ascii="仿宋_GB2312" w:eastAsia="仿宋_GB2312" w:hAnsi="方正仿宋_GBK" w:cs="方正仿宋_GBK"/>
          <w:sz w:val="32"/>
          <w:szCs w:val="32"/>
        </w:rPr>
        <w:lastRenderedPageBreak/>
        <w:t>与绘图标准，将其引入宗海立体空间范围示意图编制，技术层面具备充分可行性。</w:t>
      </w:r>
    </w:p>
    <w:p w14:paraId="31A3CFF3"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t>2.</w:t>
      </w:r>
      <w:r>
        <w:rPr>
          <w:rFonts w:ascii="仿宋_GB2312" w:eastAsia="仿宋_GB2312" w:hAnsi="方正仿宋_GBK" w:cs="方正仿宋_GBK" w:hint="eastAsia"/>
          <w:b/>
          <w:bCs/>
          <w:color w:val="auto"/>
        </w:rPr>
        <w:t>宗海立面界址界定的确定依据及理由</w:t>
      </w:r>
    </w:p>
    <w:p w14:paraId="746D723E" w14:textId="77777777" w:rsidR="005C3CB5" w:rsidRDefault="00000000" w:rsidP="005368CD">
      <w:pPr>
        <w:spacing w:after="0" w:line="600" w:lineRule="exact"/>
        <w:ind w:firstLine="420"/>
        <w:outlineLvl w:val="3"/>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（1）确定依据</w:t>
      </w:r>
    </w:p>
    <w:p w14:paraId="25C4B3FA"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①法律法规：《中华人民共和国海域使用管理法》明确规定，我国海域是指中华人民共和国内水、领海的水面、水体、海床和底土。该条款是宗海立体分层设权用海空间界定的根本法定依据，为海域使用权属成果的合法性和通用性提供了法律基础。</w:t>
      </w:r>
    </w:p>
    <w:p w14:paraId="0639569D"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②国家标准：《海域使用论证技术导则》（GB/T 42361-2023）规定，项目涉及立体分层用海的，应分别给出各层用海垂直距离。</w:t>
      </w:r>
    </w:p>
    <w:p w14:paraId="60BC81E0" w14:textId="6602050A"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③规范明确规定：规范文本第4.2条提出，</w:t>
      </w:r>
      <w:r>
        <w:rPr>
          <w:rFonts w:ascii="仿宋_GB2312" w:eastAsia="仿宋_GB2312" w:hAnsi="方正仿宋_GBK" w:cs="方正仿宋_GBK"/>
          <w:sz w:val="32"/>
          <w:szCs w:val="32"/>
        </w:rPr>
        <w:t>宗海立面界址以用海项目主体工程结构或</w:t>
      </w:r>
      <w:r>
        <w:rPr>
          <w:rFonts w:ascii="仿宋_GB2312" w:eastAsia="仿宋_GB2312" w:hAnsi="方正仿宋_GBK" w:cs="方正仿宋_GBK" w:hint="eastAsia"/>
          <w:sz w:val="32"/>
          <w:szCs w:val="32"/>
        </w:rPr>
        <w:t>主要用海活动</w:t>
      </w:r>
      <w:r>
        <w:rPr>
          <w:rFonts w:ascii="仿宋_GB2312" w:eastAsia="仿宋_GB2312" w:hAnsi="方正仿宋_GBK" w:cs="方正仿宋_GBK"/>
          <w:sz w:val="32"/>
          <w:szCs w:val="32"/>
        </w:rPr>
        <w:t>所使用的主要海域空间为依据，分水面、水体、海床和底土界定主要用海空间层，并明确高程和深度范围</w:t>
      </w:r>
      <w:r>
        <w:rPr>
          <w:rFonts w:ascii="仿宋_GB2312" w:eastAsia="仿宋_GB2312" w:hAnsi="方正仿宋_GBK" w:cs="方正仿宋_GBK" w:hint="eastAsia"/>
          <w:sz w:val="32"/>
          <w:szCs w:val="32"/>
        </w:rPr>
        <w:t>，高程和深度范围可采用数值定量描述，也可采用文字定性描述；填海造地等完全改变海域自然属性的用海活动，以及排他性较强的采砂等用海活动，原则上不宜进行立体分层设权；用海项目所使用的附占用海空间，可不进行海域立体分层宗海界定。确需将该附占用海空间立体分层设权给其他用海活动的，应保障相邻用海主体正常使用和运行，并综合考虑安全性、生态影响及空间兼容性等因素；相邻用海项目工程设施无实际交越，仅因宗</w:t>
      </w:r>
      <w:r>
        <w:rPr>
          <w:rFonts w:ascii="仿宋_GB2312" w:eastAsia="仿宋_GB2312" w:hAnsi="方正仿宋_GBK" w:cs="方正仿宋_GBK" w:hint="eastAsia"/>
          <w:sz w:val="32"/>
          <w:szCs w:val="32"/>
        </w:rPr>
        <w:lastRenderedPageBreak/>
        <w:t>海界址外扩造成范围重叠的，重叠范围不宜进行立体分层设权，相邻宗海界址按无缝衔接处理</w:t>
      </w:r>
      <w:r>
        <w:rPr>
          <w:rFonts w:ascii="仿宋_GB2312" w:eastAsia="仿宋_GB2312" w:hAnsi="方正仿宋_GBK" w:cs="方正仿宋_GBK"/>
          <w:sz w:val="32"/>
          <w:szCs w:val="32"/>
        </w:rPr>
        <w:t>。</w:t>
      </w:r>
    </w:p>
    <w:p w14:paraId="3ACF5B19"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④实际情况：</w:t>
      </w:r>
      <w:r>
        <w:rPr>
          <w:rFonts w:ascii="仿宋_GB2312" w:eastAsia="仿宋_GB2312" w:hAnsi="方正仿宋_GBK" w:cs="方正仿宋_GBK"/>
          <w:sz w:val="32"/>
          <w:szCs w:val="32"/>
        </w:rPr>
        <w:t>结合权属项目管理实际，充分考量资料完备程度差异，对用海空间层的高程与深度范围采用定量、定性两种表述方式</w:t>
      </w:r>
      <w:r>
        <w:rPr>
          <w:rFonts w:ascii="仿宋_GB2312" w:eastAsia="仿宋_GB2312" w:hAnsi="方正仿宋_GBK" w:cs="方正仿宋_GBK" w:hint="eastAsia"/>
          <w:sz w:val="32"/>
          <w:szCs w:val="32"/>
        </w:rPr>
        <w:t>；明确立体分层设权不适用的情况；明确无实体交越、仅宗海界址外扩造成范围重叠的不进行立体分层设权</w:t>
      </w:r>
      <w:r>
        <w:rPr>
          <w:rFonts w:ascii="仿宋_GB2312" w:eastAsia="仿宋_GB2312" w:hAnsi="方正仿宋_GBK" w:cs="方正仿宋_GBK"/>
          <w:sz w:val="32"/>
          <w:szCs w:val="32"/>
        </w:rPr>
        <w:t>。</w:t>
      </w:r>
    </w:p>
    <w:p w14:paraId="3FE69710" w14:textId="77777777" w:rsidR="005C3CB5" w:rsidRDefault="00000000" w:rsidP="005368CD">
      <w:pPr>
        <w:spacing w:after="0" w:line="600" w:lineRule="exact"/>
        <w:ind w:firstLine="420"/>
        <w:outlineLvl w:val="3"/>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（2）确定理由</w:t>
      </w:r>
    </w:p>
    <w:p w14:paraId="0C3E1782" w14:textId="77777777"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①统一用海空间层：根据相关法律法规和技术规范，将用海空间层统一分为水面、水体、海床和底土四层，便于管理上与国家及相邻省市衔接。</w:t>
      </w:r>
    </w:p>
    <w:p w14:paraId="45188FC6" w14:textId="58BFB65A"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②分类科学管理：针对项目已有资料情况，用海空间层高程与深度范围界定采用数值定量和文字定性两种表达方式，既满足了海域立体分层设权的总体要求，也不增加额外调查工作成本与负担；明确填海造地、采砂等不适用立体分层设权的用海类型，细化附占用海空间的分层设权规则，强调无实体交越、仅宗海界址外扩造成范围重叠的不进行立体分层设权，形成层级清晰的分类管控体系。</w:t>
      </w:r>
    </w:p>
    <w:p w14:paraId="5A506596" w14:textId="5E14A7ED" w:rsidR="005C3CB5" w:rsidRDefault="00000000" w:rsidP="005368CD">
      <w:pPr>
        <w:pStyle w:val="aa"/>
        <w:widowControl/>
        <w:spacing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③适配区域需求：上海市管辖海域内海底电缆管道、交通运输类用海项目密集，立体分层设权管理需求突出。确立的立体分层界址界定规则，尤其是附占用海空间分层规则、相邻宗海外扩重叠处理规则，可有效提升本市海域精细化管理水平。</w:t>
      </w:r>
    </w:p>
    <w:p w14:paraId="59561058"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lastRenderedPageBreak/>
        <w:t>3.</w:t>
      </w:r>
      <w:r>
        <w:rPr>
          <w:rFonts w:ascii="仿宋_GB2312" w:eastAsia="仿宋_GB2312" w:hAnsi="方正仿宋_GBK" w:cs="方正仿宋_GBK" w:hint="eastAsia"/>
          <w:b/>
          <w:bCs/>
          <w:color w:val="auto"/>
        </w:rPr>
        <w:t>宗海空间范围的确定依据及理由</w:t>
      </w:r>
    </w:p>
    <w:p w14:paraId="2A1B5A88" w14:textId="77777777" w:rsidR="005C3CB5" w:rsidRDefault="00000000" w:rsidP="005368CD">
      <w:pPr>
        <w:spacing w:after="0" w:line="600" w:lineRule="exact"/>
        <w:ind w:firstLineChars="200" w:firstLine="640"/>
        <w:outlineLvl w:val="3"/>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（1）确定依据</w:t>
      </w:r>
    </w:p>
    <w:p w14:paraId="2981D251" w14:textId="7777777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①行业规范：《海籍调查规范》（HY/T 124-2009）明确规定了各用海类型的平面界址界定规则。</w:t>
      </w:r>
    </w:p>
    <w:p w14:paraId="67E1836E" w14:textId="4DD45868"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②政策及规范性文件：根据</w:t>
      </w:r>
      <w:r>
        <w:rPr>
          <w:rFonts w:ascii="仿宋_GB2312" w:eastAsia="仿宋_GB2312" w:hAnsi="方正仿宋_GBK" w:cs="方正仿宋_GBK"/>
          <w:sz w:val="32"/>
          <w:szCs w:val="32"/>
        </w:rPr>
        <w:t>《自然资源部关于进一步加强海上风电项目用海管理的通知》</w:t>
      </w:r>
      <w:r>
        <w:rPr>
          <w:rFonts w:ascii="仿宋_GB2312" w:eastAsia="仿宋_GB2312" w:hAnsi="方正仿宋_GBK" w:cs="方正仿宋_GBK" w:hint="eastAsia"/>
          <w:sz w:val="32"/>
          <w:szCs w:val="32"/>
        </w:rPr>
        <w:t>（2024年7月，以下简称</w:t>
      </w:r>
      <w:bookmarkStart w:id="3" w:name="_Hlk235781277"/>
      <w:r>
        <w:rPr>
          <w:rFonts w:ascii="仿宋_GB2312" w:eastAsia="仿宋_GB2312" w:hAnsi="方正仿宋_GBK" w:cs="方正仿宋_GBK" w:hint="eastAsia"/>
          <w:sz w:val="32"/>
          <w:szCs w:val="32"/>
        </w:rPr>
        <w:t>《风电项目管理通知》</w:t>
      </w:r>
      <w:bookmarkEnd w:id="3"/>
      <w:r>
        <w:rPr>
          <w:rFonts w:ascii="仿宋_GB2312" w:eastAsia="仿宋_GB2312" w:hAnsi="方正仿宋_GBK" w:cs="方正仿宋_GBK" w:hint="eastAsia"/>
          <w:sz w:val="32"/>
          <w:szCs w:val="32"/>
        </w:rPr>
        <w:t>）及自然资源部关于海上光伏的相关政策文件，对海上风电和光伏用海项目宗海界址按照最新要求进行了调整优化；根据《国家界定指南》对典型用海类型的主要用海空间层进行了界定，为宗海空间范围的确定提供了重要参考。</w:t>
      </w:r>
    </w:p>
    <w:p w14:paraId="5AA41094" w14:textId="53491880"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③实践经验支撑：在上海市前期相关用海项目中已开展海域立体分层设权相关技术工作，积累了大量的实践经验，同时规范编制过程中经过多轮专家咨询和编制单位内部协商，结合上海市海域使用管理和技术水平，确定了契合实际的技术规范。</w:t>
      </w:r>
    </w:p>
    <w:p w14:paraId="1D2A13A5" w14:textId="7AB51384"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④规范明确规定：</w:t>
      </w:r>
      <w:r>
        <w:rPr>
          <w:rFonts w:ascii="仿宋_GB2312" w:eastAsia="仿宋_GB2312" w:hAnsi="方正仿宋_GBK" w:cs="方正仿宋_GBK"/>
          <w:sz w:val="32"/>
          <w:szCs w:val="32"/>
        </w:rPr>
        <w:t>规范</w:t>
      </w:r>
      <w:r>
        <w:rPr>
          <w:rFonts w:ascii="仿宋_GB2312" w:eastAsia="仿宋_GB2312" w:hAnsi="方正仿宋_GBK" w:cs="方正仿宋_GBK" w:hint="eastAsia"/>
          <w:sz w:val="32"/>
          <w:szCs w:val="32"/>
        </w:rPr>
        <w:t>文本</w:t>
      </w:r>
      <w:r>
        <w:rPr>
          <w:rFonts w:ascii="仿宋_GB2312" w:eastAsia="仿宋_GB2312" w:hAnsi="方正仿宋_GBK" w:cs="方正仿宋_GBK"/>
          <w:sz w:val="32"/>
          <w:szCs w:val="32"/>
        </w:rPr>
        <w:t>第5章针对上海市当前及今后一段时期内的</w:t>
      </w:r>
      <w:r>
        <w:rPr>
          <w:rFonts w:ascii="仿宋_GB2312" w:eastAsia="仿宋_GB2312" w:hAnsi="方正仿宋_GBK" w:cs="方正仿宋_GBK" w:hint="eastAsia"/>
          <w:sz w:val="32"/>
          <w:szCs w:val="32"/>
        </w:rPr>
        <w:t>主要</w:t>
      </w:r>
      <w:r>
        <w:rPr>
          <w:rFonts w:ascii="仿宋_GB2312" w:eastAsia="仿宋_GB2312" w:hAnsi="方正仿宋_GBK" w:cs="方正仿宋_GBK"/>
          <w:sz w:val="32"/>
          <w:szCs w:val="32"/>
        </w:rPr>
        <w:t>用海类型（含渔业用海、工业用海、交通运输用海、旅游娱乐用海、海底工程用海、特殊用海），分别明确其平面界址与主要用海空间层的界定要求；同时针对取排水口、温（冷）排水、海底电缆管道外扩形成的三类非实体重叠或交越情形，明确重叠范围原则上不开展立体分层设权，相邻宗海界址按无缝衔接方式处理。</w:t>
      </w:r>
    </w:p>
    <w:p w14:paraId="65E85E24" w14:textId="77777777" w:rsidR="005C3CB5" w:rsidRDefault="00000000" w:rsidP="005368CD">
      <w:pPr>
        <w:spacing w:after="0" w:line="600" w:lineRule="exact"/>
        <w:ind w:firstLineChars="200" w:firstLine="640"/>
        <w:outlineLvl w:val="3"/>
        <w:rPr>
          <w:sz w:val="24"/>
          <w:szCs w:val="24"/>
        </w:rPr>
      </w:pPr>
      <w:r>
        <w:rPr>
          <w:rFonts w:ascii="仿宋_GB2312" w:eastAsia="仿宋_GB2312" w:hAnsi="方正仿宋_GBK" w:cs="方正仿宋_GBK" w:hint="eastAsia"/>
          <w:sz w:val="32"/>
          <w:szCs w:val="32"/>
        </w:rPr>
        <w:lastRenderedPageBreak/>
        <w:t>（2）确定理由</w:t>
      </w:r>
    </w:p>
    <w:p w14:paraId="1E707448" w14:textId="417DDA36"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①符合国家政策要求：根据自然资源部2024年先后发布的关于海上风电和光伏用海项目宗海界址界定调整优化的政策文件，在规范文本中做出相应的规定，符合国家政策的要求。</w:t>
      </w:r>
    </w:p>
    <w:p w14:paraId="5B29A288" w14:textId="527199C2"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②兼顾实际用海需求：</w:t>
      </w:r>
      <w:r>
        <w:rPr>
          <w:rFonts w:ascii="仿宋_GB2312" w:eastAsia="仿宋_GB2312" w:hAnsi="方正仿宋_GBK" w:cs="方正仿宋_GBK"/>
          <w:sz w:val="32"/>
          <w:szCs w:val="32"/>
        </w:rPr>
        <w:t>结合各用海类型的实际使用需求，在自然资源部相关技术指南基础上，将用海空间层的界定范围由单一用海空间层拓展至复合用海空间层</w:t>
      </w:r>
      <w:r>
        <w:rPr>
          <w:rFonts w:ascii="仿宋_GB2312" w:eastAsia="仿宋_GB2312" w:hAnsi="方正仿宋_GBK" w:cs="方正仿宋_GBK" w:hint="eastAsia"/>
          <w:sz w:val="32"/>
          <w:szCs w:val="32"/>
        </w:rPr>
        <w:t>；重点聚焦实体重叠或交越的用海空间层界定。</w:t>
      </w:r>
    </w:p>
    <w:p w14:paraId="674D13F8"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b/>
          <w:bCs/>
          <w:color w:val="auto"/>
        </w:rPr>
        <w:t>4.</w:t>
      </w:r>
      <w:r>
        <w:rPr>
          <w:rFonts w:ascii="仿宋_GB2312" w:eastAsia="仿宋_GB2312" w:hAnsi="方正仿宋_GBK" w:cs="方正仿宋_GBK" w:hint="eastAsia"/>
          <w:b/>
          <w:bCs/>
          <w:color w:val="auto"/>
        </w:rPr>
        <w:t>宗海图编绘的确定依据及理由</w:t>
      </w:r>
    </w:p>
    <w:p w14:paraId="130405C3" w14:textId="77777777" w:rsidR="005C3CB5" w:rsidRDefault="00000000" w:rsidP="005368CD">
      <w:pPr>
        <w:spacing w:after="0" w:line="600" w:lineRule="exact"/>
        <w:ind w:firstLineChars="200" w:firstLine="640"/>
        <w:outlineLvl w:val="3"/>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（1）确定依据</w:t>
      </w:r>
    </w:p>
    <w:p w14:paraId="1C5DB633" w14:textId="7777777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①行业规范：《宗海图编绘技术规范》（HY/T 251-2018）明确规定了绘制宗海位置图、宗海平面布置图、宗海界址图的技术要求。</w:t>
      </w:r>
    </w:p>
    <w:p w14:paraId="52238A62" w14:textId="4D9E8A6B"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②规范性文件：《国家界定指南》</w:t>
      </w:r>
      <w:r>
        <w:rPr>
          <w:rFonts w:ascii="仿宋_GB2312" w:eastAsia="仿宋_GB2312" w:hAnsi="方正仿宋_GBK" w:cs="方正仿宋_GBK"/>
          <w:sz w:val="32"/>
          <w:szCs w:val="32"/>
        </w:rPr>
        <w:t>明确了宗海立体空间范围示意图的编制范例，并</w:t>
      </w:r>
      <w:r>
        <w:rPr>
          <w:rFonts w:ascii="仿宋_GB2312" w:eastAsia="仿宋_GB2312" w:hAnsi="方正仿宋_GBK" w:cs="方正仿宋_GBK" w:hint="eastAsia"/>
          <w:sz w:val="32"/>
          <w:szCs w:val="32"/>
        </w:rPr>
        <w:t>规定</w:t>
      </w:r>
      <w:r>
        <w:rPr>
          <w:rFonts w:ascii="仿宋_GB2312" w:eastAsia="仿宋_GB2312" w:hAnsi="方正仿宋_GBK" w:cs="方正仿宋_GBK"/>
          <w:sz w:val="32"/>
          <w:szCs w:val="32"/>
        </w:rPr>
        <w:t>立体分层设权项目的宗海平面布置图、宗海界址图须增设</w:t>
      </w:r>
      <w:r>
        <w:rPr>
          <w:rFonts w:ascii="仿宋_GB2312" w:eastAsia="仿宋_GB2312" w:hAnsi="方正仿宋_GBK" w:cs="方正仿宋_GBK" w:hint="eastAsia"/>
          <w:sz w:val="32"/>
          <w:szCs w:val="32"/>
        </w:rPr>
        <w:t>相应的</w:t>
      </w:r>
      <w:r>
        <w:rPr>
          <w:rFonts w:ascii="仿宋_GB2312" w:eastAsia="仿宋_GB2312" w:hAnsi="方正仿宋_GBK" w:cs="方正仿宋_GBK"/>
          <w:sz w:val="32"/>
          <w:szCs w:val="32"/>
        </w:rPr>
        <w:t>立体分层设权信息栏。</w:t>
      </w:r>
    </w:p>
    <w:p w14:paraId="3880B2DC" w14:textId="329CBFA2"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③规范明确规定：规范文本第6章对立体分层设权项目的宗海位置图、宗海平面布置图、宗海界址图以及宗海立体空间范围示意图</w:t>
      </w:r>
      <w:r>
        <w:rPr>
          <w:rFonts w:ascii="仿宋_GB2312" w:eastAsia="仿宋_GB2312" w:hAnsi="方正仿宋_GBK" w:cs="方正仿宋_GBK"/>
          <w:sz w:val="32"/>
          <w:szCs w:val="32"/>
        </w:rPr>
        <w:t>，均作出了详细的绘制技术规定。</w:t>
      </w:r>
    </w:p>
    <w:p w14:paraId="3C5A72EB" w14:textId="77777777" w:rsidR="005C3CB5" w:rsidRDefault="00000000" w:rsidP="005368CD">
      <w:pPr>
        <w:spacing w:after="0" w:line="600" w:lineRule="exact"/>
        <w:ind w:firstLineChars="200" w:firstLine="640"/>
        <w:outlineLvl w:val="3"/>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（2）确定理由</w:t>
      </w:r>
    </w:p>
    <w:p w14:paraId="74F788C5" w14:textId="7777777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①规范图件绘制：</w:t>
      </w:r>
      <w:r>
        <w:rPr>
          <w:rFonts w:ascii="仿宋_GB2312" w:eastAsia="仿宋_GB2312" w:hAnsi="方正仿宋_GBK" w:cs="方正仿宋_GBK"/>
          <w:sz w:val="32"/>
          <w:szCs w:val="32"/>
        </w:rPr>
        <w:t>在现行国家、行业技术规范基础上，针对宗海位置图、宗海平面布置图、宗海界址图、宗海立体</w:t>
      </w:r>
      <w:r>
        <w:rPr>
          <w:rFonts w:ascii="仿宋_GB2312" w:eastAsia="仿宋_GB2312" w:hAnsi="方正仿宋_GBK" w:cs="方正仿宋_GBK"/>
          <w:sz w:val="32"/>
          <w:szCs w:val="32"/>
        </w:rPr>
        <w:lastRenderedPageBreak/>
        <w:t>空间范围示意图四类核心图件，统一明确图幅版式、成图尺寸、注记字号、图面排版等全流程技术细节，实现本市宗海成果图件绘制标准统一、格式规范。</w:t>
      </w:r>
    </w:p>
    <w:p w14:paraId="5746E0E1" w14:textId="7777777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②补充绘图要素：</w:t>
      </w:r>
      <w:r>
        <w:rPr>
          <w:rFonts w:ascii="仿宋_GB2312" w:eastAsia="仿宋_GB2312" w:hAnsi="方正仿宋_GBK" w:cs="方正仿宋_GBK"/>
          <w:sz w:val="32"/>
          <w:szCs w:val="32"/>
        </w:rPr>
        <w:t>在宗海立体空间范围示意图中增设海岸线地理要素，清晰划分陆域、海域空间边界；同步规范各分层用海空间的填充符号、色彩标识，直观区分不同立体用海层级，提升图件可读性与辨识度。</w:t>
      </w:r>
    </w:p>
    <w:p w14:paraId="552E068E" w14:textId="169FCC69"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③破解示意图精度不足难点：</w:t>
      </w:r>
      <w:r>
        <w:rPr>
          <w:rFonts w:ascii="仿宋_GB2312" w:eastAsia="仿宋_GB2312" w:hAnsi="方正仿宋_GBK" w:cs="方正仿宋_GBK"/>
          <w:sz w:val="32"/>
          <w:szCs w:val="32"/>
        </w:rPr>
        <w:t>现有技术指南仅要求对宗海立体空间范围进行简易示意绘制，空间相对位置、垂向尺度表达精度不足。本规范借鉴海底电缆管道路由勘察剖面图成熟绘制工艺与表达范式，创新性提出横纵分比例尺绘制技术规则，兼顾平面范围与垂向分层尺度的精准表达，有效提升立体示意图科学严谨性，形成可落地、可复制的标准化制图技术路径。</w:t>
      </w:r>
    </w:p>
    <w:p w14:paraId="61BE6839" w14:textId="669ABFA2" w:rsidR="005C3CB5" w:rsidRDefault="00000000" w:rsidP="005368CD">
      <w:pPr>
        <w:spacing w:after="0" w:line="600" w:lineRule="exact"/>
        <w:ind w:firstLineChars="200" w:firstLine="640"/>
        <w:outlineLvl w:val="0"/>
        <w:rPr>
          <w:rFonts w:ascii="黑体" w:eastAsia="黑体" w:hAnsi="黑体" w:hint="eastAsia"/>
          <w:sz w:val="32"/>
          <w:szCs w:val="36"/>
        </w:rPr>
      </w:pPr>
      <w:r>
        <w:rPr>
          <w:rFonts w:ascii="黑体" w:eastAsia="黑体" w:hAnsi="黑体" w:hint="eastAsia"/>
          <w:sz w:val="32"/>
          <w:szCs w:val="36"/>
        </w:rPr>
        <w:t>四、与有关法律法规、规章的关系以及与相关国家标准、行业标准、地方标准的重复性、协调性分析</w:t>
      </w:r>
    </w:p>
    <w:p w14:paraId="60B14F76" w14:textId="59B68603"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（一）与法律法规、规章的协调性</w:t>
      </w:r>
    </w:p>
    <w:p w14:paraId="0D424C45" w14:textId="52C84C23"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本规范的制定严格遵循《中华人民共和国海域使用管理法》《中华人民共和国测绘法》以及本市相应的地方性法规，并充分衔接自然资源部、上海市海洋局等出台的部门规章。</w:t>
      </w:r>
      <w:r w:rsidR="00B96E57" w:rsidRPr="00B96E57">
        <w:rPr>
          <w:rFonts w:ascii="仿宋_GB2312" w:eastAsia="仿宋_GB2312" w:hAnsi="方正仿宋_GBK" w:cs="方正仿宋_GBK"/>
          <w:sz w:val="32"/>
          <w:szCs w:val="32"/>
        </w:rPr>
        <w:t>规范内容是对上述法律法规及规章中关于海域使用权属界定原则的细化与补充，旨在为立体分层设权管理提供可操作的技术支撑，与现行法律体系不存在任何冲突或抵触。</w:t>
      </w:r>
    </w:p>
    <w:p w14:paraId="4374A3D8"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lastRenderedPageBreak/>
        <w:t>（二）与国家及行业标准的协调性</w:t>
      </w:r>
    </w:p>
    <w:p w14:paraId="6CBE78D2" w14:textId="421EFCC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本规范是对现行国家标准、行业标准及相关政策性文件的地方细化与落地拓展，各项技术要求均与上位依据衔接一致，不存在冲突或抵触内容。</w:t>
      </w:r>
    </w:p>
    <w:p w14:paraId="622E0AF2" w14:textId="76233198"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本规范编制过程中，引用并遵循《海域使用论证技术导则》（GB/T 42361）、《海域使用分类》（HY/T 123）、《海籍调查规范》（HY/T 124）、《宗海图编绘技术规范》（HY/T 251）等国家及行业标准，贯彻落实</w:t>
      </w:r>
      <w:r>
        <w:rPr>
          <w:rFonts w:ascii="仿宋_GB2312" w:eastAsia="仿宋_GB2312" w:hAnsi="方正仿宋_GBK" w:cs="方正仿宋_GBK" w:hint="eastAsia"/>
          <w:sz w:val="32"/>
          <w:szCs w:val="32"/>
        </w:rPr>
        <w:t>《国家界定指南》《风电项目管理通知》</w:t>
      </w:r>
      <w:r>
        <w:rPr>
          <w:rFonts w:ascii="仿宋_GB2312" w:eastAsia="仿宋_GB2312" w:hAnsi="方正仿宋_GBK" w:cs="方正仿宋_GBK"/>
          <w:sz w:val="32"/>
          <w:szCs w:val="32"/>
        </w:rPr>
        <w:t>及自然资源部关于海上光伏用海管理的相关政策要求。</w:t>
      </w:r>
    </w:p>
    <w:p w14:paraId="1B66CD18"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（三）与地方标准的协调性</w:t>
      </w:r>
    </w:p>
    <w:p w14:paraId="51D6C9C4" w14:textId="715A3CB1"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本规范与本市现行海洋管理相关制度、技术文件总体衔接一致，不存在冲突或重复设定的技术要求。</w:t>
      </w:r>
    </w:p>
    <w:p w14:paraId="380738F3" w14:textId="4BA81D62"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本规范在2025年上海市海洋局发布的</w:t>
      </w:r>
      <w:r>
        <w:rPr>
          <w:rFonts w:ascii="仿宋_GB2312" w:eastAsia="仿宋_GB2312" w:hAnsi="方正仿宋_GBK" w:cs="方正仿宋_GBK" w:hint="eastAsia"/>
          <w:sz w:val="32"/>
          <w:szCs w:val="32"/>
        </w:rPr>
        <w:t>《上海界定指南》</w:t>
      </w:r>
      <w:r>
        <w:rPr>
          <w:rFonts w:ascii="仿宋_GB2312" w:eastAsia="仿宋_GB2312" w:hAnsi="方正仿宋_GBK" w:cs="方正仿宋_GBK"/>
          <w:sz w:val="32"/>
          <w:szCs w:val="32"/>
        </w:rPr>
        <w:t>基础上编制，对宗海空间范围界定、宗海图编绘等技术要求进行了补充细化。规范延续了原指南的核心界定规则与分层体系，仅做局部优化调整，无颠覆性技术变更。本规范正式实施后，本市海域立体分层设权宗海空间范围界定工作统一以本规范为技术依据。通过标准化的统一引领，可进一步规范本市海域立体分层设权技术路径，持续提升宗海空间范围界定成果的统一性、科学性和合理性。</w:t>
      </w:r>
    </w:p>
    <w:p w14:paraId="08208677" w14:textId="77777777" w:rsidR="005C3CB5" w:rsidRDefault="00000000" w:rsidP="005368CD">
      <w:pPr>
        <w:spacing w:after="0" w:line="600" w:lineRule="exact"/>
        <w:ind w:firstLineChars="200" w:firstLine="640"/>
        <w:outlineLvl w:val="0"/>
        <w:rPr>
          <w:rFonts w:ascii="黑体" w:eastAsia="黑体" w:hAnsi="黑体" w:hint="eastAsia"/>
          <w:sz w:val="32"/>
          <w:szCs w:val="36"/>
        </w:rPr>
      </w:pPr>
      <w:r>
        <w:rPr>
          <w:rFonts w:ascii="黑体" w:eastAsia="黑体" w:hAnsi="黑体" w:hint="eastAsia"/>
          <w:sz w:val="32"/>
          <w:szCs w:val="36"/>
        </w:rPr>
        <w:t>五、技术要求的验证情况</w:t>
      </w:r>
    </w:p>
    <w:p w14:paraId="62D341F2" w14:textId="27BC7ABA"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为验证本规范提出的技术可行性和适用性，参与编制单</w:t>
      </w:r>
      <w:r>
        <w:rPr>
          <w:rFonts w:ascii="仿宋_GB2312" w:eastAsia="仿宋_GB2312" w:hAnsi="方正仿宋_GBK" w:cs="方正仿宋_GBK" w:hint="eastAsia"/>
          <w:sz w:val="32"/>
          <w:szCs w:val="32"/>
        </w:rPr>
        <w:lastRenderedPageBreak/>
        <w:t>位结合近期的海域使用论证项目和已有标准实施经验，对垂直基准转换、宗海空间范围界定、宗海图编绘等关键技术要求和指标进行了验证，规范相关技术指标适用上海市海域立体分层设权宗海空间范围的界定。</w:t>
      </w:r>
    </w:p>
    <w:p w14:paraId="5D95BC06"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（一）垂直基准转换</w:t>
      </w:r>
    </w:p>
    <w:p w14:paraId="545B2D96" w14:textId="7777777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国家与地方已在上海市沿海布设多处长期验潮站，依托长时序连续潮位观测数据，可推算确定站点周边1985国家高程基准与当地理论最低潮面深度基准的转换关系。</w:t>
      </w:r>
    </w:p>
    <w:p w14:paraId="48F0B38D" w14:textId="0FD3CEAC"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此外，鉴于上海市涉海工程项目多采用上海吴淞高程基准，可依据上海市规划和自然资源局定期发布的高程控制网水准复测成果，实现上海吴淞高程基准向1985国家高程基准的换算衔接。</w:t>
      </w:r>
    </w:p>
    <w:p w14:paraId="5524FCD1" w14:textId="77777777" w:rsidR="005C3CB5" w:rsidRDefault="00000000" w:rsidP="005368CD">
      <w:pPr>
        <w:spacing w:after="0" w:line="600" w:lineRule="exact"/>
        <w:ind w:firstLineChars="200" w:firstLine="643"/>
        <w:rPr>
          <w:rFonts w:ascii="仿宋_GB2312" w:eastAsia="仿宋_GB2312" w:hAnsi="方正仿宋_GBK" w:cs="方正仿宋_GBK" w:hint="eastAsia"/>
          <w:sz w:val="32"/>
          <w:szCs w:val="32"/>
        </w:rPr>
      </w:pPr>
      <w:r>
        <w:rPr>
          <w:rFonts w:ascii="仿宋_GB2312" w:eastAsia="仿宋_GB2312" w:hAnsi="方正仿宋_GBK" w:cs="方正仿宋_GBK" w:hint="eastAsia"/>
          <w:b/>
          <w:bCs/>
          <w:sz w:val="32"/>
          <w:szCs w:val="32"/>
        </w:rPr>
        <w:t>总体结论：</w:t>
      </w:r>
      <w:r>
        <w:rPr>
          <w:rFonts w:ascii="仿宋_GB2312" w:eastAsia="仿宋_GB2312" w:hAnsi="方正仿宋_GBK" w:cs="方正仿宋_GBK"/>
          <w:sz w:val="32"/>
          <w:szCs w:val="32"/>
        </w:rPr>
        <w:t>上海市沿海全域均已具备将高程基准、深度基准分别统一至1985国家高程基准与当地理论最低潮面深度基准的资料基础与技术条件。</w:t>
      </w:r>
    </w:p>
    <w:p w14:paraId="0703BA8A"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（二）宗海空间范围界定</w:t>
      </w:r>
    </w:p>
    <w:p w14:paraId="35180717" w14:textId="7777777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相关技术单位</w:t>
      </w:r>
      <w:r>
        <w:rPr>
          <w:rFonts w:ascii="仿宋_GB2312" w:eastAsia="仿宋_GB2312" w:hAnsi="方正仿宋_GBK" w:cs="方正仿宋_GBK"/>
          <w:sz w:val="32"/>
          <w:szCs w:val="32"/>
        </w:rPr>
        <w:t>依托前期形成的</w:t>
      </w:r>
      <w:r>
        <w:rPr>
          <w:rFonts w:ascii="仿宋_GB2312" w:eastAsia="仿宋_GB2312" w:hAnsi="方正仿宋_GBK" w:cs="方正仿宋_GBK" w:hint="eastAsia"/>
          <w:sz w:val="32"/>
          <w:szCs w:val="32"/>
        </w:rPr>
        <w:t>宗海空间范围界定方案初稿</w:t>
      </w:r>
      <w:r>
        <w:rPr>
          <w:rFonts w:ascii="仿宋_GB2312" w:eastAsia="仿宋_GB2312" w:hAnsi="方正仿宋_GBK" w:cs="方正仿宋_GBK"/>
          <w:sz w:val="32"/>
          <w:szCs w:val="32"/>
        </w:rPr>
        <w:t>，选取上海市多类典型用海项目，开展海域立体分层设权宗海空间范围界定技术验证工作。</w:t>
      </w:r>
    </w:p>
    <w:tbl>
      <w:tblPr>
        <w:tblStyle w:val="ae"/>
        <w:tblW w:w="5000" w:type="pct"/>
        <w:jc w:val="center"/>
        <w:tblLook w:val="04A0" w:firstRow="1" w:lastRow="0" w:firstColumn="1" w:lastColumn="0" w:noHBand="0" w:noVBand="1"/>
      </w:tblPr>
      <w:tblGrid>
        <w:gridCol w:w="1541"/>
        <w:gridCol w:w="1439"/>
        <w:gridCol w:w="1510"/>
        <w:gridCol w:w="2192"/>
        <w:gridCol w:w="1614"/>
      </w:tblGrid>
      <w:tr w:rsidR="005C3CB5" w14:paraId="44DAB2BB" w14:textId="77777777" w:rsidTr="002529D5">
        <w:trPr>
          <w:jc w:val="center"/>
        </w:trPr>
        <w:tc>
          <w:tcPr>
            <w:tcW w:w="928" w:type="pct"/>
            <w:vAlign w:val="center"/>
          </w:tcPr>
          <w:p w14:paraId="75D4D7B7" w14:textId="77777777" w:rsidR="005C3CB5" w:rsidRDefault="00000000" w:rsidP="005368CD">
            <w:pPr>
              <w:spacing w:after="0" w:line="600" w:lineRule="exact"/>
              <w:jc w:val="center"/>
              <w:rPr>
                <w:sz w:val="24"/>
                <w:szCs w:val="24"/>
              </w:rPr>
            </w:pPr>
            <w:r>
              <w:rPr>
                <w:rFonts w:hint="eastAsia"/>
                <w:sz w:val="24"/>
                <w:szCs w:val="24"/>
              </w:rPr>
              <w:t>验证项目</w:t>
            </w:r>
          </w:p>
        </w:tc>
        <w:tc>
          <w:tcPr>
            <w:tcW w:w="867" w:type="pct"/>
            <w:vAlign w:val="center"/>
          </w:tcPr>
          <w:p w14:paraId="016489EF" w14:textId="77777777" w:rsidR="005C3CB5" w:rsidRDefault="00000000" w:rsidP="005368CD">
            <w:pPr>
              <w:spacing w:after="0" w:line="600" w:lineRule="exact"/>
              <w:jc w:val="center"/>
              <w:rPr>
                <w:sz w:val="24"/>
                <w:szCs w:val="24"/>
              </w:rPr>
            </w:pPr>
            <w:r>
              <w:rPr>
                <w:rFonts w:hint="eastAsia"/>
                <w:sz w:val="24"/>
                <w:szCs w:val="24"/>
              </w:rPr>
              <w:t>用海单元</w:t>
            </w:r>
          </w:p>
        </w:tc>
        <w:tc>
          <w:tcPr>
            <w:tcW w:w="910" w:type="pct"/>
            <w:vAlign w:val="center"/>
          </w:tcPr>
          <w:p w14:paraId="090C5272" w14:textId="77777777" w:rsidR="005C3CB5" w:rsidRDefault="00000000" w:rsidP="005368CD">
            <w:pPr>
              <w:spacing w:after="0" w:line="600" w:lineRule="exact"/>
              <w:jc w:val="center"/>
              <w:rPr>
                <w:sz w:val="24"/>
                <w:szCs w:val="24"/>
              </w:rPr>
            </w:pPr>
            <w:r>
              <w:rPr>
                <w:rFonts w:hint="eastAsia"/>
                <w:sz w:val="24"/>
                <w:szCs w:val="24"/>
              </w:rPr>
              <w:t>用海空间层</w:t>
            </w:r>
          </w:p>
        </w:tc>
        <w:tc>
          <w:tcPr>
            <w:tcW w:w="1320" w:type="pct"/>
            <w:vAlign w:val="center"/>
          </w:tcPr>
          <w:p w14:paraId="38C390DE" w14:textId="77777777" w:rsidR="005C3CB5" w:rsidRDefault="00000000" w:rsidP="005368CD">
            <w:pPr>
              <w:spacing w:after="0" w:line="600" w:lineRule="exact"/>
              <w:jc w:val="center"/>
              <w:rPr>
                <w:sz w:val="24"/>
                <w:szCs w:val="24"/>
              </w:rPr>
            </w:pPr>
            <w:r>
              <w:rPr>
                <w:rFonts w:hint="eastAsia"/>
                <w:sz w:val="24"/>
                <w:szCs w:val="24"/>
              </w:rPr>
              <w:t>验证说明</w:t>
            </w:r>
          </w:p>
        </w:tc>
        <w:tc>
          <w:tcPr>
            <w:tcW w:w="973" w:type="pct"/>
            <w:vAlign w:val="center"/>
          </w:tcPr>
          <w:p w14:paraId="4199757E" w14:textId="77777777" w:rsidR="005C3CB5" w:rsidRDefault="00000000" w:rsidP="005368CD">
            <w:pPr>
              <w:spacing w:after="0" w:line="600" w:lineRule="exact"/>
              <w:jc w:val="center"/>
              <w:rPr>
                <w:sz w:val="24"/>
                <w:szCs w:val="24"/>
              </w:rPr>
            </w:pPr>
            <w:r>
              <w:rPr>
                <w:rFonts w:hint="eastAsia"/>
                <w:sz w:val="24"/>
                <w:szCs w:val="24"/>
              </w:rPr>
              <w:t>立体设权面积</w:t>
            </w:r>
          </w:p>
          <w:p w14:paraId="373D4707" w14:textId="77777777" w:rsidR="005C3CB5" w:rsidRDefault="00000000" w:rsidP="005368CD">
            <w:pPr>
              <w:spacing w:after="0" w:line="600" w:lineRule="exact"/>
              <w:jc w:val="center"/>
              <w:rPr>
                <w:sz w:val="24"/>
                <w:szCs w:val="24"/>
              </w:rPr>
            </w:pPr>
            <w:r>
              <w:rPr>
                <w:rFonts w:hint="eastAsia"/>
                <w:sz w:val="24"/>
                <w:szCs w:val="24"/>
              </w:rPr>
              <w:t>（公顷）</w:t>
            </w:r>
          </w:p>
        </w:tc>
      </w:tr>
      <w:tr w:rsidR="005C3CB5" w14:paraId="00D92B92" w14:textId="77777777" w:rsidTr="002529D5">
        <w:trPr>
          <w:jc w:val="center"/>
        </w:trPr>
        <w:tc>
          <w:tcPr>
            <w:tcW w:w="928" w:type="pct"/>
            <w:vMerge w:val="restart"/>
            <w:vAlign w:val="center"/>
          </w:tcPr>
          <w:p w14:paraId="15078BF3" w14:textId="77777777" w:rsidR="005C3CB5" w:rsidRDefault="00000000" w:rsidP="005368CD">
            <w:pPr>
              <w:spacing w:after="0" w:line="600" w:lineRule="exact"/>
              <w:jc w:val="center"/>
              <w:rPr>
                <w:sz w:val="24"/>
                <w:szCs w:val="24"/>
              </w:rPr>
            </w:pPr>
            <w:r>
              <w:rPr>
                <w:rFonts w:hint="eastAsia"/>
                <w:sz w:val="24"/>
                <w:szCs w:val="24"/>
              </w:rPr>
              <w:t>陈行水库</w:t>
            </w:r>
          </w:p>
          <w:p w14:paraId="5D909ED9" w14:textId="77777777" w:rsidR="005C3CB5" w:rsidRDefault="00000000" w:rsidP="005368CD">
            <w:pPr>
              <w:spacing w:after="0" w:line="600" w:lineRule="exact"/>
              <w:jc w:val="center"/>
              <w:rPr>
                <w:sz w:val="24"/>
                <w:szCs w:val="24"/>
              </w:rPr>
            </w:pPr>
            <w:r>
              <w:rPr>
                <w:rFonts w:hint="eastAsia"/>
                <w:sz w:val="24"/>
                <w:szCs w:val="24"/>
              </w:rPr>
              <w:lastRenderedPageBreak/>
              <w:t>取水口上移工程</w:t>
            </w:r>
          </w:p>
        </w:tc>
        <w:tc>
          <w:tcPr>
            <w:tcW w:w="867" w:type="pct"/>
            <w:vAlign w:val="center"/>
          </w:tcPr>
          <w:p w14:paraId="102AE62B" w14:textId="77777777" w:rsidR="005C3CB5" w:rsidRDefault="00000000" w:rsidP="005368CD">
            <w:pPr>
              <w:spacing w:after="0" w:line="600" w:lineRule="exact"/>
              <w:jc w:val="center"/>
              <w:rPr>
                <w:sz w:val="24"/>
                <w:szCs w:val="24"/>
              </w:rPr>
            </w:pPr>
            <w:r>
              <w:rPr>
                <w:rFonts w:hint="eastAsia"/>
                <w:sz w:val="24"/>
                <w:szCs w:val="24"/>
              </w:rPr>
              <w:lastRenderedPageBreak/>
              <w:t>防油围栏</w:t>
            </w:r>
          </w:p>
        </w:tc>
        <w:tc>
          <w:tcPr>
            <w:tcW w:w="910" w:type="pct"/>
            <w:vAlign w:val="center"/>
          </w:tcPr>
          <w:p w14:paraId="58CCB259" w14:textId="77777777" w:rsidR="005C3CB5" w:rsidRDefault="00000000" w:rsidP="005368CD">
            <w:pPr>
              <w:spacing w:after="0" w:line="600" w:lineRule="exact"/>
              <w:jc w:val="center"/>
              <w:rPr>
                <w:sz w:val="24"/>
                <w:szCs w:val="24"/>
              </w:rPr>
            </w:pPr>
            <w:r>
              <w:rPr>
                <w:rFonts w:hint="eastAsia"/>
                <w:sz w:val="24"/>
                <w:szCs w:val="24"/>
              </w:rPr>
              <w:t>水面</w:t>
            </w:r>
          </w:p>
        </w:tc>
        <w:tc>
          <w:tcPr>
            <w:tcW w:w="1320" w:type="pct"/>
            <w:vMerge w:val="restart"/>
            <w:vAlign w:val="center"/>
          </w:tcPr>
          <w:p w14:paraId="3FE2D90C" w14:textId="77777777" w:rsidR="005C3CB5" w:rsidRDefault="00000000" w:rsidP="005368CD">
            <w:pPr>
              <w:spacing w:after="0" w:line="600" w:lineRule="exact"/>
              <w:jc w:val="center"/>
              <w:rPr>
                <w:sz w:val="24"/>
                <w:szCs w:val="24"/>
              </w:rPr>
            </w:pPr>
            <w:r>
              <w:rPr>
                <w:rFonts w:hint="eastAsia"/>
                <w:sz w:val="24"/>
                <w:szCs w:val="24"/>
              </w:rPr>
              <w:t>单独立体</w:t>
            </w:r>
          </w:p>
          <w:p w14:paraId="7CAD7D98" w14:textId="77777777" w:rsidR="005C3CB5" w:rsidRDefault="00000000" w:rsidP="005368CD">
            <w:pPr>
              <w:spacing w:after="0" w:line="600" w:lineRule="exact"/>
              <w:jc w:val="center"/>
              <w:rPr>
                <w:sz w:val="24"/>
                <w:szCs w:val="24"/>
              </w:rPr>
            </w:pPr>
            <w:r>
              <w:rPr>
                <w:rFonts w:hint="eastAsia"/>
                <w:sz w:val="24"/>
                <w:szCs w:val="24"/>
              </w:rPr>
              <w:lastRenderedPageBreak/>
              <w:t>分层设权</w:t>
            </w:r>
          </w:p>
        </w:tc>
        <w:tc>
          <w:tcPr>
            <w:tcW w:w="973" w:type="pct"/>
            <w:vMerge w:val="restart"/>
            <w:vAlign w:val="center"/>
          </w:tcPr>
          <w:p w14:paraId="26B82110" w14:textId="77777777" w:rsidR="005C3CB5" w:rsidRDefault="00000000" w:rsidP="005368CD">
            <w:pPr>
              <w:spacing w:after="0" w:line="600" w:lineRule="exact"/>
              <w:jc w:val="center"/>
              <w:rPr>
                <w:sz w:val="24"/>
                <w:szCs w:val="24"/>
              </w:rPr>
            </w:pPr>
            <w:r>
              <w:rPr>
                <w:rFonts w:hint="eastAsia"/>
                <w:sz w:val="24"/>
                <w:szCs w:val="24"/>
              </w:rPr>
              <w:lastRenderedPageBreak/>
              <w:t>11.3837</w:t>
            </w:r>
          </w:p>
        </w:tc>
      </w:tr>
      <w:tr w:rsidR="005C3CB5" w14:paraId="74DFE844" w14:textId="77777777" w:rsidTr="002529D5">
        <w:trPr>
          <w:jc w:val="center"/>
        </w:trPr>
        <w:tc>
          <w:tcPr>
            <w:tcW w:w="928" w:type="pct"/>
            <w:vMerge/>
            <w:vAlign w:val="center"/>
          </w:tcPr>
          <w:p w14:paraId="266941D4" w14:textId="77777777" w:rsidR="005C3CB5" w:rsidRDefault="005C3CB5" w:rsidP="005368CD">
            <w:pPr>
              <w:spacing w:after="0" w:line="600" w:lineRule="exact"/>
              <w:jc w:val="center"/>
              <w:rPr>
                <w:sz w:val="24"/>
                <w:szCs w:val="24"/>
              </w:rPr>
            </w:pPr>
          </w:p>
        </w:tc>
        <w:tc>
          <w:tcPr>
            <w:tcW w:w="867" w:type="pct"/>
            <w:vAlign w:val="center"/>
          </w:tcPr>
          <w:p w14:paraId="2F0F27ED" w14:textId="77777777" w:rsidR="005C3CB5" w:rsidRDefault="00000000" w:rsidP="005368CD">
            <w:pPr>
              <w:spacing w:after="0" w:line="600" w:lineRule="exact"/>
              <w:jc w:val="center"/>
              <w:rPr>
                <w:sz w:val="24"/>
                <w:szCs w:val="24"/>
              </w:rPr>
            </w:pPr>
            <w:r>
              <w:rPr>
                <w:rFonts w:hint="eastAsia"/>
                <w:sz w:val="24"/>
                <w:szCs w:val="24"/>
              </w:rPr>
              <w:t>取水管道</w:t>
            </w:r>
          </w:p>
        </w:tc>
        <w:tc>
          <w:tcPr>
            <w:tcW w:w="910" w:type="pct"/>
            <w:vAlign w:val="center"/>
          </w:tcPr>
          <w:p w14:paraId="737B8021" w14:textId="77777777" w:rsidR="005C3CB5" w:rsidRDefault="00000000" w:rsidP="005368CD">
            <w:pPr>
              <w:spacing w:after="0" w:line="600" w:lineRule="exact"/>
              <w:jc w:val="center"/>
              <w:rPr>
                <w:sz w:val="24"/>
                <w:szCs w:val="24"/>
              </w:rPr>
            </w:pPr>
            <w:r>
              <w:rPr>
                <w:rFonts w:hint="eastAsia"/>
                <w:sz w:val="24"/>
                <w:szCs w:val="24"/>
              </w:rPr>
              <w:t>底土</w:t>
            </w:r>
          </w:p>
        </w:tc>
        <w:tc>
          <w:tcPr>
            <w:tcW w:w="1320" w:type="pct"/>
            <w:vMerge/>
            <w:vAlign w:val="center"/>
          </w:tcPr>
          <w:p w14:paraId="63EF700E" w14:textId="77777777" w:rsidR="005C3CB5" w:rsidRDefault="005C3CB5" w:rsidP="005368CD">
            <w:pPr>
              <w:spacing w:after="0" w:line="600" w:lineRule="exact"/>
              <w:jc w:val="center"/>
              <w:rPr>
                <w:sz w:val="24"/>
                <w:szCs w:val="24"/>
              </w:rPr>
            </w:pPr>
          </w:p>
        </w:tc>
        <w:tc>
          <w:tcPr>
            <w:tcW w:w="973" w:type="pct"/>
            <w:vMerge/>
            <w:vAlign w:val="center"/>
          </w:tcPr>
          <w:p w14:paraId="73AAA745" w14:textId="77777777" w:rsidR="005C3CB5" w:rsidRDefault="005C3CB5" w:rsidP="005368CD">
            <w:pPr>
              <w:spacing w:after="0" w:line="600" w:lineRule="exact"/>
              <w:jc w:val="center"/>
              <w:rPr>
                <w:sz w:val="24"/>
                <w:szCs w:val="24"/>
              </w:rPr>
            </w:pPr>
          </w:p>
        </w:tc>
      </w:tr>
      <w:tr w:rsidR="005C3CB5" w14:paraId="72E4B2C1" w14:textId="77777777" w:rsidTr="002529D5">
        <w:trPr>
          <w:jc w:val="center"/>
        </w:trPr>
        <w:tc>
          <w:tcPr>
            <w:tcW w:w="928" w:type="pct"/>
            <w:vMerge/>
            <w:vAlign w:val="center"/>
          </w:tcPr>
          <w:p w14:paraId="4CDE6F9D" w14:textId="77777777" w:rsidR="005C3CB5" w:rsidRDefault="005C3CB5" w:rsidP="005368CD">
            <w:pPr>
              <w:spacing w:after="0" w:line="600" w:lineRule="exact"/>
              <w:jc w:val="center"/>
              <w:rPr>
                <w:sz w:val="24"/>
                <w:szCs w:val="24"/>
              </w:rPr>
            </w:pPr>
          </w:p>
        </w:tc>
        <w:tc>
          <w:tcPr>
            <w:tcW w:w="867" w:type="pct"/>
            <w:vAlign w:val="center"/>
          </w:tcPr>
          <w:p w14:paraId="0C6CBE11" w14:textId="77777777" w:rsidR="005C3CB5" w:rsidRDefault="00000000" w:rsidP="005368CD">
            <w:pPr>
              <w:spacing w:after="0" w:line="600" w:lineRule="exact"/>
              <w:jc w:val="center"/>
              <w:rPr>
                <w:sz w:val="24"/>
                <w:szCs w:val="24"/>
              </w:rPr>
            </w:pPr>
            <w:r>
              <w:rPr>
                <w:rFonts w:hint="eastAsia"/>
                <w:sz w:val="24"/>
                <w:szCs w:val="24"/>
              </w:rPr>
              <w:t>取水口</w:t>
            </w:r>
          </w:p>
        </w:tc>
        <w:tc>
          <w:tcPr>
            <w:tcW w:w="910" w:type="pct"/>
            <w:vAlign w:val="center"/>
          </w:tcPr>
          <w:p w14:paraId="42C45875" w14:textId="77777777" w:rsidR="005C3CB5" w:rsidRDefault="00000000" w:rsidP="005368CD">
            <w:pPr>
              <w:spacing w:after="0" w:line="600" w:lineRule="exact"/>
              <w:jc w:val="center"/>
              <w:rPr>
                <w:sz w:val="24"/>
                <w:szCs w:val="24"/>
              </w:rPr>
            </w:pPr>
            <w:r>
              <w:rPr>
                <w:rFonts w:hint="eastAsia"/>
                <w:sz w:val="24"/>
                <w:szCs w:val="24"/>
              </w:rPr>
              <w:t>水体</w:t>
            </w:r>
          </w:p>
        </w:tc>
        <w:tc>
          <w:tcPr>
            <w:tcW w:w="1320" w:type="pct"/>
            <w:vMerge/>
            <w:vAlign w:val="center"/>
          </w:tcPr>
          <w:p w14:paraId="018268E2" w14:textId="77777777" w:rsidR="005C3CB5" w:rsidRDefault="005C3CB5" w:rsidP="005368CD">
            <w:pPr>
              <w:spacing w:after="0" w:line="600" w:lineRule="exact"/>
              <w:jc w:val="center"/>
              <w:rPr>
                <w:sz w:val="24"/>
                <w:szCs w:val="24"/>
              </w:rPr>
            </w:pPr>
          </w:p>
        </w:tc>
        <w:tc>
          <w:tcPr>
            <w:tcW w:w="973" w:type="pct"/>
            <w:vMerge/>
            <w:vAlign w:val="center"/>
          </w:tcPr>
          <w:p w14:paraId="02FE5A8E" w14:textId="77777777" w:rsidR="005C3CB5" w:rsidRDefault="005C3CB5" w:rsidP="005368CD">
            <w:pPr>
              <w:spacing w:after="0" w:line="600" w:lineRule="exact"/>
              <w:jc w:val="center"/>
              <w:rPr>
                <w:sz w:val="24"/>
                <w:szCs w:val="24"/>
              </w:rPr>
            </w:pPr>
          </w:p>
        </w:tc>
      </w:tr>
      <w:tr w:rsidR="005C3CB5" w14:paraId="649E1575" w14:textId="77777777" w:rsidTr="002529D5">
        <w:trPr>
          <w:jc w:val="center"/>
        </w:trPr>
        <w:tc>
          <w:tcPr>
            <w:tcW w:w="928" w:type="pct"/>
            <w:vMerge w:val="restart"/>
            <w:vAlign w:val="center"/>
          </w:tcPr>
          <w:p w14:paraId="4AAA9228" w14:textId="77777777" w:rsidR="005C3CB5" w:rsidRDefault="00000000" w:rsidP="005368CD">
            <w:pPr>
              <w:spacing w:after="0" w:line="600" w:lineRule="exact"/>
              <w:jc w:val="center"/>
              <w:rPr>
                <w:sz w:val="24"/>
                <w:szCs w:val="24"/>
              </w:rPr>
            </w:pPr>
            <w:r>
              <w:rPr>
                <w:rFonts w:hint="eastAsia"/>
                <w:sz w:val="24"/>
                <w:szCs w:val="24"/>
              </w:rPr>
              <w:t>临港</w:t>
            </w:r>
            <w:r>
              <w:rPr>
                <w:rFonts w:hint="eastAsia"/>
                <w:sz w:val="24"/>
                <w:szCs w:val="24"/>
              </w:rPr>
              <w:t>1#</w:t>
            </w:r>
            <w:r>
              <w:rPr>
                <w:rFonts w:hint="eastAsia"/>
                <w:sz w:val="24"/>
                <w:szCs w:val="24"/>
              </w:rPr>
              <w:t>海上光伏项目</w:t>
            </w:r>
          </w:p>
        </w:tc>
        <w:tc>
          <w:tcPr>
            <w:tcW w:w="867" w:type="pct"/>
            <w:vAlign w:val="center"/>
          </w:tcPr>
          <w:p w14:paraId="0CB5D363" w14:textId="77777777" w:rsidR="005C3CB5" w:rsidRDefault="00000000" w:rsidP="005368CD">
            <w:pPr>
              <w:spacing w:after="0" w:line="600" w:lineRule="exact"/>
              <w:jc w:val="center"/>
              <w:rPr>
                <w:sz w:val="24"/>
                <w:szCs w:val="24"/>
              </w:rPr>
            </w:pPr>
            <w:r>
              <w:rPr>
                <w:rFonts w:hint="eastAsia"/>
                <w:sz w:val="24"/>
                <w:szCs w:val="24"/>
              </w:rPr>
              <w:t>海上光伏</w:t>
            </w:r>
          </w:p>
        </w:tc>
        <w:tc>
          <w:tcPr>
            <w:tcW w:w="910" w:type="pct"/>
            <w:vAlign w:val="center"/>
          </w:tcPr>
          <w:p w14:paraId="367B420D" w14:textId="77777777" w:rsidR="005C3CB5" w:rsidRDefault="00000000" w:rsidP="005368CD">
            <w:pPr>
              <w:spacing w:after="0" w:line="600" w:lineRule="exact"/>
              <w:jc w:val="center"/>
              <w:rPr>
                <w:sz w:val="24"/>
                <w:szCs w:val="24"/>
              </w:rPr>
            </w:pPr>
            <w:r>
              <w:rPr>
                <w:rFonts w:hint="eastAsia"/>
                <w:sz w:val="24"/>
                <w:szCs w:val="24"/>
              </w:rPr>
              <w:t>水面</w:t>
            </w:r>
          </w:p>
        </w:tc>
        <w:tc>
          <w:tcPr>
            <w:tcW w:w="1320" w:type="pct"/>
            <w:vMerge w:val="restart"/>
            <w:vAlign w:val="center"/>
          </w:tcPr>
          <w:p w14:paraId="31A1B255" w14:textId="77777777" w:rsidR="005C3CB5" w:rsidRDefault="00000000" w:rsidP="005368CD">
            <w:pPr>
              <w:spacing w:after="0" w:line="600" w:lineRule="exact"/>
              <w:jc w:val="center"/>
              <w:rPr>
                <w:sz w:val="24"/>
                <w:szCs w:val="24"/>
              </w:rPr>
            </w:pPr>
            <w:r>
              <w:rPr>
                <w:rFonts w:hint="eastAsia"/>
                <w:sz w:val="24"/>
                <w:szCs w:val="24"/>
              </w:rPr>
              <w:t>临港</w:t>
            </w:r>
            <w:r>
              <w:rPr>
                <w:rFonts w:hint="eastAsia"/>
                <w:sz w:val="24"/>
                <w:szCs w:val="24"/>
              </w:rPr>
              <w:t>2#</w:t>
            </w:r>
            <w:r>
              <w:rPr>
                <w:rFonts w:hint="eastAsia"/>
                <w:sz w:val="24"/>
                <w:szCs w:val="24"/>
              </w:rPr>
              <w:t>海上风电、临港生态修复项目</w:t>
            </w:r>
          </w:p>
        </w:tc>
        <w:tc>
          <w:tcPr>
            <w:tcW w:w="973" w:type="pct"/>
            <w:vMerge w:val="restart"/>
            <w:vAlign w:val="center"/>
          </w:tcPr>
          <w:p w14:paraId="234336E8" w14:textId="77777777" w:rsidR="005C3CB5" w:rsidRDefault="00000000" w:rsidP="005368CD">
            <w:pPr>
              <w:spacing w:after="0" w:line="600" w:lineRule="exact"/>
              <w:jc w:val="center"/>
              <w:rPr>
                <w:sz w:val="24"/>
                <w:szCs w:val="24"/>
              </w:rPr>
            </w:pPr>
            <w:r>
              <w:rPr>
                <w:rFonts w:hint="eastAsia"/>
                <w:sz w:val="24"/>
                <w:szCs w:val="24"/>
              </w:rPr>
              <w:t>1.1110</w:t>
            </w:r>
          </w:p>
        </w:tc>
      </w:tr>
      <w:tr w:rsidR="005C3CB5" w14:paraId="6A67C792" w14:textId="77777777" w:rsidTr="002529D5">
        <w:trPr>
          <w:jc w:val="center"/>
        </w:trPr>
        <w:tc>
          <w:tcPr>
            <w:tcW w:w="928" w:type="pct"/>
            <w:vMerge/>
            <w:vAlign w:val="center"/>
          </w:tcPr>
          <w:p w14:paraId="1FAA05AB" w14:textId="77777777" w:rsidR="005C3CB5" w:rsidRDefault="005C3CB5" w:rsidP="005368CD">
            <w:pPr>
              <w:spacing w:after="0" w:line="600" w:lineRule="exact"/>
              <w:jc w:val="center"/>
              <w:rPr>
                <w:sz w:val="24"/>
                <w:szCs w:val="24"/>
              </w:rPr>
            </w:pPr>
          </w:p>
        </w:tc>
        <w:tc>
          <w:tcPr>
            <w:tcW w:w="867" w:type="pct"/>
            <w:vAlign w:val="center"/>
          </w:tcPr>
          <w:p w14:paraId="58A834A1" w14:textId="77777777" w:rsidR="005C3CB5" w:rsidRDefault="00000000" w:rsidP="005368CD">
            <w:pPr>
              <w:spacing w:after="0" w:line="600" w:lineRule="exact"/>
              <w:jc w:val="center"/>
              <w:rPr>
                <w:sz w:val="24"/>
                <w:szCs w:val="24"/>
              </w:rPr>
            </w:pPr>
            <w:r>
              <w:rPr>
                <w:rFonts w:hint="eastAsia"/>
                <w:sz w:val="24"/>
                <w:szCs w:val="24"/>
              </w:rPr>
              <w:t>海底电缆</w:t>
            </w:r>
          </w:p>
        </w:tc>
        <w:tc>
          <w:tcPr>
            <w:tcW w:w="910" w:type="pct"/>
            <w:vAlign w:val="center"/>
          </w:tcPr>
          <w:p w14:paraId="47F7F794" w14:textId="77777777" w:rsidR="005C3CB5" w:rsidRDefault="00000000" w:rsidP="005368CD">
            <w:pPr>
              <w:spacing w:after="0" w:line="600" w:lineRule="exact"/>
              <w:jc w:val="center"/>
              <w:rPr>
                <w:sz w:val="24"/>
                <w:szCs w:val="24"/>
              </w:rPr>
            </w:pPr>
            <w:r>
              <w:rPr>
                <w:rFonts w:hint="eastAsia"/>
                <w:sz w:val="24"/>
                <w:szCs w:val="24"/>
              </w:rPr>
              <w:t>底土</w:t>
            </w:r>
          </w:p>
        </w:tc>
        <w:tc>
          <w:tcPr>
            <w:tcW w:w="1320" w:type="pct"/>
            <w:vMerge/>
            <w:vAlign w:val="center"/>
          </w:tcPr>
          <w:p w14:paraId="0EE1C29C" w14:textId="77777777" w:rsidR="005C3CB5" w:rsidRDefault="005C3CB5" w:rsidP="005368CD">
            <w:pPr>
              <w:spacing w:after="0" w:line="600" w:lineRule="exact"/>
              <w:jc w:val="center"/>
              <w:rPr>
                <w:sz w:val="24"/>
                <w:szCs w:val="24"/>
              </w:rPr>
            </w:pPr>
          </w:p>
        </w:tc>
        <w:tc>
          <w:tcPr>
            <w:tcW w:w="973" w:type="pct"/>
            <w:vMerge/>
            <w:vAlign w:val="center"/>
          </w:tcPr>
          <w:p w14:paraId="05F385FC" w14:textId="77777777" w:rsidR="005C3CB5" w:rsidRDefault="005C3CB5" w:rsidP="005368CD">
            <w:pPr>
              <w:spacing w:after="0" w:line="600" w:lineRule="exact"/>
              <w:jc w:val="center"/>
              <w:rPr>
                <w:sz w:val="24"/>
                <w:szCs w:val="24"/>
              </w:rPr>
            </w:pPr>
          </w:p>
        </w:tc>
      </w:tr>
      <w:tr w:rsidR="005C3CB5" w14:paraId="51CF625C" w14:textId="77777777" w:rsidTr="002529D5">
        <w:trPr>
          <w:jc w:val="center"/>
        </w:trPr>
        <w:tc>
          <w:tcPr>
            <w:tcW w:w="928" w:type="pct"/>
            <w:vMerge w:val="restart"/>
            <w:vAlign w:val="center"/>
          </w:tcPr>
          <w:p w14:paraId="2A6020A1" w14:textId="77777777" w:rsidR="005C3CB5" w:rsidRDefault="00000000" w:rsidP="005368CD">
            <w:pPr>
              <w:spacing w:after="0" w:line="600" w:lineRule="exact"/>
              <w:jc w:val="center"/>
              <w:rPr>
                <w:sz w:val="24"/>
                <w:szCs w:val="24"/>
              </w:rPr>
            </w:pPr>
            <w:r>
              <w:rPr>
                <w:rFonts w:hint="eastAsia"/>
                <w:sz w:val="24"/>
                <w:szCs w:val="24"/>
              </w:rPr>
              <w:t>2025</w:t>
            </w:r>
            <w:r>
              <w:rPr>
                <w:rFonts w:hint="eastAsia"/>
                <w:sz w:val="24"/>
                <w:szCs w:val="24"/>
              </w:rPr>
              <w:t>年上海市海洋生态</w:t>
            </w:r>
          </w:p>
          <w:p w14:paraId="44D08C3E" w14:textId="77777777" w:rsidR="005C3CB5" w:rsidRDefault="00000000" w:rsidP="005368CD">
            <w:pPr>
              <w:spacing w:after="0" w:line="600" w:lineRule="exact"/>
              <w:jc w:val="center"/>
              <w:rPr>
                <w:sz w:val="24"/>
                <w:szCs w:val="24"/>
              </w:rPr>
            </w:pPr>
            <w:r>
              <w:rPr>
                <w:rFonts w:hint="eastAsia"/>
                <w:sz w:val="24"/>
                <w:szCs w:val="24"/>
              </w:rPr>
              <w:t>保护修复工程（长江口）</w:t>
            </w:r>
          </w:p>
        </w:tc>
        <w:tc>
          <w:tcPr>
            <w:tcW w:w="867" w:type="pct"/>
            <w:vAlign w:val="center"/>
          </w:tcPr>
          <w:p w14:paraId="0FA0F281" w14:textId="77777777" w:rsidR="005C3CB5" w:rsidRDefault="00000000" w:rsidP="005368CD">
            <w:pPr>
              <w:spacing w:after="0" w:line="600" w:lineRule="exact"/>
              <w:jc w:val="center"/>
              <w:rPr>
                <w:sz w:val="24"/>
                <w:szCs w:val="24"/>
              </w:rPr>
            </w:pPr>
            <w:r>
              <w:rPr>
                <w:rFonts w:hint="eastAsia"/>
                <w:sz w:val="24"/>
                <w:szCs w:val="24"/>
              </w:rPr>
              <w:t>湿地生境修复</w:t>
            </w:r>
          </w:p>
        </w:tc>
        <w:tc>
          <w:tcPr>
            <w:tcW w:w="910" w:type="pct"/>
            <w:vAlign w:val="center"/>
          </w:tcPr>
          <w:p w14:paraId="2C83F962" w14:textId="77777777" w:rsidR="005C3CB5" w:rsidRDefault="00000000" w:rsidP="005368CD">
            <w:pPr>
              <w:spacing w:after="0" w:line="600" w:lineRule="exact"/>
              <w:jc w:val="center"/>
              <w:rPr>
                <w:sz w:val="24"/>
                <w:szCs w:val="24"/>
              </w:rPr>
            </w:pPr>
            <w:r>
              <w:rPr>
                <w:rFonts w:hint="eastAsia"/>
                <w:sz w:val="24"/>
                <w:szCs w:val="24"/>
              </w:rPr>
              <w:t>海床和水体</w:t>
            </w:r>
          </w:p>
        </w:tc>
        <w:tc>
          <w:tcPr>
            <w:tcW w:w="1320" w:type="pct"/>
            <w:vMerge w:val="restart"/>
            <w:vAlign w:val="center"/>
          </w:tcPr>
          <w:p w14:paraId="5E02F91F" w14:textId="77777777" w:rsidR="005C3CB5" w:rsidRDefault="00000000" w:rsidP="005368CD">
            <w:pPr>
              <w:spacing w:after="0" w:line="600" w:lineRule="exact"/>
              <w:jc w:val="center"/>
              <w:rPr>
                <w:sz w:val="24"/>
                <w:szCs w:val="24"/>
              </w:rPr>
            </w:pPr>
            <w:r>
              <w:rPr>
                <w:rFonts w:hint="eastAsia"/>
                <w:sz w:val="24"/>
                <w:szCs w:val="24"/>
              </w:rPr>
              <w:t>上海</w:t>
            </w:r>
            <w:r>
              <w:rPr>
                <w:rFonts w:hint="eastAsia"/>
                <w:sz w:val="24"/>
                <w:szCs w:val="24"/>
              </w:rPr>
              <w:t>-</w:t>
            </w:r>
            <w:r>
              <w:rPr>
                <w:rFonts w:hint="eastAsia"/>
                <w:sz w:val="24"/>
                <w:szCs w:val="24"/>
              </w:rPr>
              <w:t>崇明过江光缆、月浦</w:t>
            </w:r>
            <w:r>
              <w:rPr>
                <w:rFonts w:hint="eastAsia"/>
                <w:sz w:val="24"/>
                <w:szCs w:val="24"/>
              </w:rPr>
              <w:t>-</w:t>
            </w:r>
            <w:r>
              <w:rPr>
                <w:rFonts w:hint="eastAsia"/>
                <w:sz w:val="24"/>
                <w:szCs w:val="24"/>
              </w:rPr>
              <w:t>长兴</w:t>
            </w:r>
            <w:r>
              <w:rPr>
                <w:rFonts w:hint="eastAsia"/>
                <w:sz w:val="24"/>
                <w:szCs w:val="24"/>
              </w:rPr>
              <w:t>-</w:t>
            </w:r>
            <w:r>
              <w:rPr>
                <w:rFonts w:hint="eastAsia"/>
                <w:sz w:val="24"/>
                <w:szCs w:val="24"/>
              </w:rPr>
              <w:t>向化过江光缆</w:t>
            </w:r>
          </w:p>
        </w:tc>
        <w:tc>
          <w:tcPr>
            <w:tcW w:w="973" w:type="pct"/>
            <w:vMerge w:val="restart"/>
            <w:vAlign w:val="center"/>
          </w:tcPr>
          <w:p w14:paraId="331BEFE8" w14:textId="77777777" w:rsidR="005C3CB5" w:rsidRDefault="00000000" w:rsidP="005368CD">
            <w:pPr>
              <w:spacing w:after="0" w:line="600" w:lineRule="exact"/>
              <w:jc w:val="center"/>
              <w:rPr>
                <w:sz w:val="24"/>
                <w:szCs w:val="24"/>
              </w:rPr>
            </w:pPr>
            <w:r>
              <w:rPr>
                <w:rFonts w:hint="eastAsia"/>
                <w:sz w:val="24"/>
                <w:szCs w:val="24"/>
              </w:rPr>
              <w:t>429.1060</w:t>
            </w:r>
          </w:p>
        </w:tc>
      </w:tr>
      <w:tr w:rsidR="005C3CB5" w14:paraId="574CF419" w14:textId="77777777" w:rsidTr="002529D5">
        <w:trPr>
          <w:jc w:val="center"/>
        </w:trPr>
        <w:tc>
          <w:tcPr>
            <w:tcW w:w="928" w:type="pct"/>
            <w:vMerge/>
            <w:vAlign w:val="center"/>
          </w:tcPr>
          <w:p w14:paraId="1BFD3D6A" w14:textId="77777777" w:rsidR="005C3CB5" w:rsidRDefault="005C3CB5" w:rsidP="005368CD">
            <w:pPr>
              <w:spacing w:after="0" w:line="600" w:lineRule="exact"/>
              <w:jc w:val="center"/>
              <w:rPr>
                <w:sz w:val="24"/>
                <w:szCs w:val="24"/>
              </w:rPr>
            </w:pPr>
          </w:p>
        </w:tc>
        <w:tc>
          <w:tcPr>
            <w:tcW w:w="867" w:type="pct"/>
            <w:vAlign w:val="center"/>
          </w:tcPr>
          <w:p w14:paraId="5D29C4C0" w14:textId="77777777" w:rsidR="005C3CB5" w:rsidRDefault="00000000" w:rsidP="005368CD">
            <w:pPr>
              <w:spacing w:after="0" w:line="600" w:lineRule="exact"/>
              <w:jc w:val="center"/>
              <w:rPr>
                <w:sz w:val="24"/>
                <w:szCs w:val="24"/>
              </w:rPr>
            </w:pPr>
            <w:r>
              <w:rPr>
                <w:rFonts w:hint="eastAsia"/>
                <w:sz w:val="24"/>
                <w:szCs w:val="24"/>
              </w:rPr>
              <w:t>受损护滩坝</w:t>
            </w:r>
          </w:p>
          <w:p w14:paraId="266DF143" w14:textId="77777777" w:rsidR="005C3CB5" w:rsidRDefault="00000000" w:rsidP="005368CD">
            <w:pPr>
              <w:spacing w:after="0" w:line="600" w:lineRule="exact"/>
              <w:jc w:val="center"/>
              <w:rPr>
                <w:sz w:val="24"/>
                <w:szCs w:val="24"/>
              </w:rPr>
            </w:pPr>
            <w:r>
              <w:rPr>
                <w:rFonts w:hint="eastAsia"/>
                <w:sz w:val="24"/>
                <w:szCs w:val="24"/>
              </w:rPr>
              <w:t>修复</w:t>
            </w:r>
          </w:p>
        </w:tc>
        <w:tc>
          <w:tcPr>
            <w:tcW w:w="910" w:type="pct"/>
            <w:vAlign w:val="center"/>
          </w:tcPr>
          <w:p w14:paraId="62CD6650" w14:textId="77777777" w:rsidR="005C3CB5" w:rsidRDefault="00000000" w:rsidP="005368CD">
            <w:pPr>
              <w:spacing w:after="0" w:line="600" w:lineRule="exact"/>
              <w:jc w:val="center"/>
              <w:rPr>
                <w:sz w:val="24"/>
                <w:szCs w:val="24"/>
              </w:rPr>
            </w:pPr>
            <w:r>
              <w:rPr>
                <w:rFonts w:hint="eastAsia"/>
                <w:sz w:val="24"/>
                <w:szCs w:val="24"/>
              </w:rPr>
              <w:t>海床和水体</w:t>
            </w:r>
          </w:p>
        </w:tc>
        <w:tc>
          <w:tcPr>
            <w:tcW w:w="1320" w:type="pct"/>
            <w:vMerge/>
            <w:vAlign w:val="center"/>
          </w:tcPr>
          <w:p w14:paraId="7CDAF622" w14:textId="77777777" w:rsidR="005C3CB5" w:rsidRDefault="005C3CB5" w:rsidP="005368CD">
            <w:pPr>
              <w:spacing w:after="0" w:line="600" w:lineRule="exact"/>
              <w:jc w:val="center"/>
              <w:rPr>
                <w:sz w:val="24"/>
                <w:szCs w:val="24"/>
              </w:rPr>
            </w:pPr>
          </w:p>
        </w:tc>
        <w:tc>
          <w:tcPr>
            <w:tcW w:w="973" w:type="pct"/>
            <w:vMerge/>
            <w:vAlign w:val="center"/>
          </w:tcPr>
          <w:p w14:paraId="772165D8" w14:textId="77777777" w:rsidR="005C3CB5" w:rsidRDefault="005C3CB5" w:rsidP="005368CD">
            <w:pPr>
              <w:spacing w:after="0" w:line="600" w:lineRule="exact"/>
              <w:jc w:val="center"/>
              <w:rPr>
                <w:sz w:val="24"/>
                <w:szCs w:val="24"/>
              </w:rPr>
            </w:pPr>
          </w:p>
        </w:tc>
      </w:tr>
    </w:tbl>
    <w:p w14:paraId="3E3D3AD3" w14:textId="4E7ADC42" w:rsidR="005C3CB5" w:rsidRDefault="00000000" w:rsidP="005368CD">
      <w:pPr>
        <w:spacing w:after="0" w:line="600" w:lineRule="exact"/>
        <w:ind w:firstLineChars="200" w:firstLine="643"/>
        <w:rPr>
          <w:rFonts w:ascii="仿宋_GB2312" w:eastAsia="仿宋_GB2312" w:hAnsi="方正仿宋_GBK" w:cs="方正仿宋_GBK" w:hint="eastAsia"/>
          <w:sz w:val="32"/>
          <w:szCs w:val="32"/>
        </w:rPr>
      </w:pPr>
      <w:r>
        <w:rPr>
          <w:rFonts w:ascii="仿宋_GB2312" w:eastAsia="仿宋_GB2312" w:hAnsi="方正仿宋_GBK" w:cs="方正仿宋_GBK" w:hint="eastAsia"/>
          <w:b/>
          <w:bCs/>
          <w:sz w:val="32"/>
          <w:szCs w:val="32"/>
        </w:rPr>
        <w:t>总体结论</w:t>
      </w:r>
      <w:r>
        <w:rPr>
          <w:rFonts w:ascii="仿宋_GB2312" w:eastAsia="仿宋_GB2312" w:hAnsi="方正仿宋_GBK" w:cs="方正仿宋_GBK" w:hint="eastAsia"/>
          <w:sz w:val="32"/>
          <w:szCs w:val="32"/>
        </w:rPr>
        <w:t>：</w:t>
      </w:r>
      <w:r>
        <w:rPr>
          <w:rFonts w:ascii="仿宋_GB2312" w:eastAsia="仿宋_GB2312" w:hAnsi="方正仿宋_GBK" w:cs="方正仿宋_GBK"/>
          <w:sz w:val="32"/>
          <w:szCs w:val="32"/>
        </w:rPr>
        <w:t>本规范规定的宗海空间范围界定技术要求，可有效指导海域立体分层设权项目开展各用海单元的用海空间层界定工作，技术路径科学可行，适配本市海域管理实际需求。截至目前，上海市已累计审批46个立体分层设权项目，立体分层设权总面积达1143.5351公顷，具备扎实的实践基础；本次选取的典型项目验证结果进一步表明，规范条款可直接落地应用，验证效果良好。</w:t>
      </w:r>
    </w:p>
    <w:p w14:paraId="4E067F07"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（三）宗海图编绘</w:t>
      </w:r>
    </w:p>
    <w:p w14:paraId="6A44093B" w14:textId="7777777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相关技术单位依托前期形成的</w:t>
      </w:r>
      <w:r>
        <w:rPr>
          <w:rFonts w:ascii="仿宋_GB2312" w:eastAsia="仿宋_GB2312" w:hAnsi="方正仿宋_GBK" w:cs="方正仿宋_GBK" w:hint="eastAsia"/>
          <w:sz w:val="32"/>
          <w:szCs w:val="32"/>
        </w:rPr>
        <w:t>宗海图编绘技术要点初稿</w:t>
      </w:r>
      <w:r>
        <w:rPr>
          <w:rFonts w:ascii="仿宋_GB2312" w:eastAsia="仿宋_GB2312" w:hAnsi="方正仿宋_GBK" w:cs="方正仿宋_GBK"/>
          <w:sz w:val="32"/>
          <w:szCs w:val="32"/>
        </w:rPr>
        <w:t>，选取陈行水库取水口上移工程作为典型验证项目，开展海域立体分层设权宗海图编绘全流程技术验证工作。</w:t>
      </w:r>
    </w:p>
    <w:p w14:paraId="4F230688" w14:textId="259CB22D"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验证工作严格对照规范草案中的宗海图编绘技术规定，完成该项目宗海位置图、宗海平面布置图、宗海界址图及宗</w:t>
      </w:r>
      <w:r>
        <w:rPr>
          <w:rFonts w:ascii="仿宋_GB2312" w:eastAsia="仿宋_GB2312" w:hAnsi="方正仿宋_GBK" w:cs="方正仿宋_GBK"/>
          <w:sz w:val="32"/>
          <w:szCs w:val="32"/>
        </w:rPr>
        <w:lastRenderedPageBreak/>
        <w:t>海立体空间范围示意图的全套编制。重点验证了横纵</w:t>
      </w:r>
      <w:r>
        <w:rPr>
          <w:rFonts w:ascii="仿宋_GB2312" w:eastAsia="仿宋_GB2312" w:hAnsi="方正仿宋_GBK" w:cs="方正仿宋_GBK" w:hint="eastAsia"/>
          <w:sz w:val="32"/>
          <w:szCs w:val="32"/>
        </w:rPr>
        <w:t>方向分别依</w:t>
      </w:r>
      <w:r>
        <w:rPr>
          <w:rFonts w:ascii="仿宋_GB2312" w:eastAsia="仿宋_GB2312" w:hAnsi="方正仿宋_GBK" w:cs="方正仿宋_GBK"/>
          <w:sz w:val="32"/>
          <w:szCs w:val="32"/>
        </w:rPr>
        <w:t>比例尺绘制宗海立体空间范围示意图的技术方法，同步校验了图幅格式、成图尺寸、注记规范、海岸线要素布设、各用海空间层符号填充、立体分层设权信息栏设置等关键技术细节，系统检验了规范条款在单独立体分层设权项目中的可操作性与成果规范性。</w:t>
      </w:r>
    </w:p>
    <w:p w14:paraId="0DBE710B" w14:textId="28B7BFD2" w:rsidR="005C3CB5" w:rsidRDefault="00000000" w:rsidP="005368CD">
      <w:pPr>
        <w:spacing w:after="0" w:line="600" w:lineRule="exact"/>
        <w:ind w:firstLineChars="200" w:firstLine="643"/>
        <w:rPr>
          <w:rFonts w:ascii="仿宋_GB2312" w:eastAsia="仿宋_GB2312" w:hAnsi="方正仿宋_GBK" w:cs="方正仿宋_GBK" w:hint="eastAsia"/>
          <w:sz w:val="32"/>
          <w:szCs w:val="32"/>
        </w:rPr>
      </w:pPr>
      <w:r>
        <w:rPr>
          <w:rFonts w:ascii="仿宋_GB2312" w:eastAsia="仿宋_GB2312" w:hAnsi="方正仿宋_GBK" w:cs="方正仿宋_GBK"/>
          <w:b/>
          <w:bCs/>
          <w:sz w:val="32"/>
          <w:szCs w:val="32"/>
        </w:rPr>
        <w:t>总体结论</w:t>
      </w:r>
      <w:r>
        <w:rPr>
          <w:rFonts w:ascii="仿宋_GB2312" w:eastAsia="仿宋_GB2312" w:hAnsi="方正仿宋_GBK" w:cs="方正仿宋_GBK"/>
          <w:sz w:val="32"/>
          <w:szCs w:val="32"/>
        </w:rPr>
        <w:t>：验证结果表明，本规范规定的宗海图编绘技术要求，可有效指导海域立体分层设权项目开展全类型宗海图件的规范化编制，技术路径清晰可行、成图质量稳定可控，能够满足本市海域立体分层设权管理的图件成果需求。</w:t>
      </w:r>
    </w:p>
    <w:p w14:paraId="5E035A1B" w14:textId="77777777" w:rsidR="005C3CB5" w:rsidRDefault="00000000" w:rsidP="005368CD">
      <w:pPr>
        <w:spacing w:after="0" w:line="600" w:lineRule="exact"/>
        <w:ind w:firstLineChars="200" w:firstLine="640"/>
        <w:outlineLvl w:val="0"/>
        <w:rPr>
          <w:rFonts w:ascii="黑体" w:eastAsia="黑体" w:hAnsi="黑体" w:hint="eastAsia"/>
          <w:sz w:val="32"/>
          <w:szCs w:val="36"/>
        </w:rPr>
      </w:pPr>
      <w:r>
        <w:rPr>
          <w:rFonts w:ascii="黑体" w:eastAsia="黑体" w:hAnsi="黑体" w:hint="eastAsia"/>
          <w:sz w:val="32"/>
          <w:szCs w:val="36"/>
        </w:rPr>
        <w:t>六、重大意见分歧的处理依据和结果</w:t>
      </w:r>
    </w:p>
    <w:p w14:paraId="41A4B6F8" w14:textId="497617EB"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本规范无重大意见或分歧。</w:t>
      </w:r>
    </w:p>
    <w:p w14:paraId="670C16EB" w14:textId="5FD4D9F0" w:rsidR="005C3CB5" w:rsidRDefault="00000000" w:rsidP="005368CD">
      <w:pPr>
        <w:spacing w:after="0" w:line="600" w:lineRule="exact"/>
        <w:ind w:firstLineChars="200" w:firstLine="640"/>
        <w:outlineLvl w:val="0"/>
        <w:rPr>
          <w:rFonts w:ascii="黑体" w:eastAsia="黑体" w:hAnsi="黑体" w:hint="eastAsia"/>
          <w:sz w:val="32"/>
          <w:szCs w:val="36"/>
        </w:rPr>
      </w:pPr>
      <w:r>
        <w:rPr>
          <w:rFonts w:ascii="黑体" w:eastAsia="黑体" w:hAnsi="黑体" w:hint="eastAsia"/>
          <w:sz w:val="32"/>
          <w:szCs w:val="36"/>
        </w:rPr>
        <w:t>七、贯彻实施该规范的要求、措施和建议</w:t>
      </w:r>
    </w:p>
    <w:p w14:paraId="55D81282" w14:textId="03B9B3F5"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为确保本规范在上海市的有效实施，推动上海市海域立体分层设权宗海空间范围界定工作的规范化、标准化和一体化，建议采取以下措施。</w:t>
      </w:r>
    </w:p>
    <w:p w14:paraId="5D4AD699"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（一）宣传培训</w:t>
      </w:r>
    </w:p>
    <w:p w14:paraId="1B178F77" w14:textId="58079A8C"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组织系列宣讲会和培训班，针对自然资源（海洋）主管部门、海域使用论证技术单位和相关人员进行规范宣贯，提高行业对规范的认知度和理解程度。</w:t>
      </w:r>
    </w:p>
    <w:p w14:paraId="71E78093"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（二）适时评估</w:t>
      </w:r>
    </w:p>
    <w:p w14:paraId="593C7805" w14:textId="500E4995"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本规范发布实施后，适时对规范的实施和应用进行评估与复审，总结规范实施的成效与不足，提出优化建议。</w:t>
      </w:r>
    </w:p>
    <w:p w14:paraId="7FD531F4"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lastRenderedPageBreak/>
        <w:t>（三）过渡期安排</w:t>
      </w:r>
    </w:p>
    <w:p w14:paraId="30EA4B30" w14:textId="5EBB4F10"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本规范在</w:t>
      </w:r>
      <w:r>
        <w:rPr>
          <w:rFonts w:ascii="仿宋_GB2312" w:eastAsia="仿宋_GB2312" w:hAnsi="方正仿宋_GBK" w:cs="方正仿宋_GBK" w:hint="eastAsia"/>
          <w:sz w:val="32"/>
          <w:szCs w:val="32"/>
        </w:rPr>
        <w:t>《上海推进通知》</w:t>
      </w:r>
      <w:r>
        <w:rPr>
          <w:rFonts w:ascii="仿宋_GB2312" w:eastAsia="仿宋_GB2312" w:hAnsi="方正仿宋_GBK" w:cs="方正仿宋_GBK"/>
          <w:sz w:val="32"/>
          <w:szCs w:val="32"/>
        </w:rPr>
        <w:t>的相关技术指南基础上编制，仅对原有技术要求作出局部调整优化，核心界定规则、图件编制要求与现行技术指引衔接一致，无颠覆性技术变更，因此不设置新旧并行过渡期，规范自规定实施之日起直接执行。</w:t>
      </w:r>
    </w:p>
    <w:p w14:paraId="2753397F" w14:textId="77777777" w:rsidR="005C3CB5" w:rsidRDefault="00000000" w:rsidP="005368CD">
      <w:pPr>
        <w:spacing w:after="0" w:line="600" w:lineRule="exact"/>
        <w:ind w:firstLineChars="200" w:firstLine="640"/>
        <w:outlineLvl w:val="0"/>
        <w:rPr>
          <w:rFonts w:ascii="黑体" w:eastAsia="黑体" w:hAnsi="黑体" w:hint="eastAsia"/>
          <w:sz w:val="32"/>
          <w:szCs w:val="36"/>
        </w:rPr>
      </w:pPr>
      <w:r>
        <w:rPr>
          <w:rFonts w:ascii="黑体" w:eastAsia="黑体" w:hAnsi="黑体" w:hint="eastAsia"/>
          <w:sz w:val="32"/>
          <w:szCs w:val="36"/>
        </w:rPr>
        <w:t>八、预期的社会、经济效益</w:t>
      </w:r>
    </w:p>
    <w:p w14:paraId="3ED1746F"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t>（一）社会效益</w:t>
      </w:r>
    </w:p>
    <w:p w14:paraId="6E4CA057"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hint="eastAsia"/>
          <w:b/>
          <w:bCs/>
          <w:color w:val="auto"/>
        </w:rPr>
        <w:t>1</w:t>
      </w:r>
      <w:r>
        <w:rPr>
          <w:rFonts w:ascii="仿宋_GB2312" w:eastAsia="仿宋_GB2312" w:hAnsi="方正仿宋_GBK" w:cs="方正仿宋_GBK"/>
          <w:b/>
          <w:bCs/>
          <w:color w:val="auto"/>
        </w:rPr>
        <w:t>.提升海域精细化治理能力</w:t>
      </w:r>
    </w:p>
    <w:p w14:paraId="046CA21E" w14:textId="3F3525F0"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本规范统一了宗海立体空间范围界定的技术路径与成果要求，破解传统</w:t>
      </w:r>
      <w:r>
        <w:rPr>
          <w:rFonts w:ascii="仿宋_GB2312" w:eastAsia="仿宋_GB2312" w:hAnsi="方正仿宋_GBK" w:cs="方正仿宋_GBK" w:hint="eastAsia"/>
          <w:sz w:val="32"/>
          <w:szCs w:val="32"/>
        </w:rPr>
        <w:t>海域使用</w:t>
      </w:r>
      <w:r>
        <w:rPr>
          <w:rFonts w:ascii="仿宋_GB2312" w:eastAsia="仿宋_GB2312" w:hAnsi="方正仿宋_GBK" w:cs="方正仿宋_GBK"/>
          <w:sz w:val="32"/>
          <w:szCs w:val="32"/>
        </w:rPr>
        <w:t>二维平面管理的局限性，支撑海域立体分层设权制度落地实施，有效规范海域</w:t>
      </w:r>
      <w:r>
        <w:rPr>
          <w:rFonts w:ascii="仿宋_GB2312" w:eastAsia="仿宋_GB2312" w:hAnsi="方正仿宋_GBK" w:cs="方正仿宋_GBK" w:hint="eastAsia"/>
          <w:sz w:val="32"/>
          <w:szCs w:val="32"/>
        </w:rPr>
        <w:t>使用</w:t>
      </w:r>
      <w:r>
        <w:rPr>
          <w:rFonts w:ascii="仿宋_GB2312" w:eastAsia="仿宋_GB2312" w:hAnsi="方正仿宋_GBK" w:cs="方正仿宋_GBK"/>
          <w:sz w:val="32"/>
          <w:szCs w:val="32"/>
        </w:rPr>
        <w:t>确权管理流程，减少交叉用海矛盾与纠纷，全面提升本市海域使用管理的科学化、规范化水平。</w:t>
      </w:r>
    </w:p>
    <w:p w14:paraId="43355FF1"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hint="eastAsia"/>
          <w:b/>
          <w:bCs/>
          <w:color w:val="auto"/>
        </w:rPr>
        <w:t>2</w:t>
      </w:r>
      <w:r>
        <w:rPr>
          <w:rFonts w:ascii="仿宋_GB2312" w:eastAsia="仿宋_GB2312" w:hAnsi="方正仿宋_GBK" w:cs="方正仿宋_GBK"/>
          <w:b/>
          <w:bCs/>
          <w:color w:val="auto"/>
        </w:rPr>
        <w:t>.完善地方海洋标准体系</w:t>
      </w:r>
    </w:p>
    <w:p w14:paraId="5693F991" w14:textId="7F172A4C"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w:t>
      </w:r>
      <w:r>
        <w:rPr>
          <w:rFonts w:ascii="仿宋_GB2312" w:eastAsia="仿宋_GB2312" w:hAnsi="方正仿宋_GBK" w:cs="方正仿宋_GBK"/>
          <w:sz w:val="32"/>
          <w:szCs w:val="32"/>
        </w:rPr>
        <w:t>填补了上海市海域立体分层设权技术规范领域的空白，实现与国家上位法律法规、行业标准的有序衔接，形成适配上海海域特点的立体用海技术支撑体系，为全国沿海地区同类规范制定提供可借鉴的地方实践经验。</w:t>
      </w:r>
    </w:p>
    <w:p w14:paraId="4CCB2950"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hint="eastAsia"/>
          <w:b/>
          <w:bCs/>
          <w:color w:val="auto"/>
        </w:rPr>
        <w:t>3</w:t>
      </w:r>
      <w:r>
        <w:rPr>
          <w:rFonts w:ascii="仿宋_GB2312" w:eastAsia="仿宋_GB2312" w:hAnsi="方正仿宋_GBK" w:cs="方正仿宋_GBK"/>
          <w:b/>
          <w:bCs/>
          <w:color w:val="auto"/>
        </w:rPr>
        <w:t>.保障用海主体合法权益</w:t>
      </w:r>
    </w:p>
    <w:p w14:paraId="05DA1103" w14:textId="77777777" w:rsidR="005C3CB5" w:rsidRDefault="00000000" w:rsidP="00934929">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通过明确、统一的</w:t>
      </w:r>
      <w:r>
        <w:rPr>
          <w:rFonts w:ascii="仿宋_GB2312" w:eastAsia="仿宋_GB2312" w:hAnsi="方正仿宋_GBK" w:cs="方正仿宋_GBK" w:hint="eastAsia"/>
          <w:sz w:val="32"/>
          <w:szCs w:val="32"/>
        </w:rPr>
        <w:t>宗海立体</w:t>
      </w:r>
      <w:r>
        <w:rPr>
          <w:rFonts w:ascii="仿宋_GB2312" w:eastAsia="仿宋_GB2312" w:hAnsi="方正仿宋_GBK" w:cs="方正仿宋_GBK"/>
          <w:sz w:val="32"/>
          <w:szCs w:val="32"/>
        </w:rPr>
        <w:t>空间</w:t>
      </w:r>
      <w:r>
        <w:rPr>
          <w:rFonts w:ascii="仿宋_GB2312" w:eastAsia="仿宋_GB2312" w:hAnsi="方正仿宋_GBK" w:cs="方正仿宋_GBK" w:hint="eastAsia"/>
          <w:sz w:val="32"/>
          <w:szCs w:val="32"/>
        </w:rPr>
        <w:t>范围</w:t>
      </w:r>
      <w:r>
        <w:rPr>
          <w:rFonts w:ascii="仿宋_GB2312" w:eastAsia="仿宋_GB2312" w:hAnsi="方正仿宋_GBK" w:cs="方正仿宋_GBK"/>
          <w:sz w:val="32"/>
          <w:szCs w:val="32"/>
        </w:rPr>
        <w:t>界定规则，清晰划分不同用海主体的</w:t>
      </w:r>
      <w:r>
        <w:rPr>
          <w:rFonts w:ascii="仿宋_GB2312" w:eastAsia="仿宋_GB2312" w:hAnsi="方正仿宋_GBK" w:cs="方正仿宋_GBK" w:hint="eastAsia"/>
          <w:sz w:val="32"/>
          <w:szCs w:val="32"/>
        </w:rPr>
        <w:t>宗海</w:t>
      </w:r>
      <w:r>
        <w:rPr>
          <w:rFonts w:ascii="仿宋_GB2312" w:eastAsia="仿宋_GB2312" w:hAnsi="方正仿宋_GBK" w:cs="方正仿宋_GBK"/>
          <w:sz w:val="32"/>
          <w:szCs w:val="32"/>
        </w:rPr>
        <w:t>立体空间</w:t>
      </w:r>
      <w:r>
        <w:rPr>
          <w:rFonts w:ascii="仿宋_GB2312" w:eastAsia="仿宋_GB2312" w:hAnsi="方正仿宋_GBK" w:cs="方正仿宋_GBK" w:hint="eastAsia"/>
          <w:sz w:val="32"/>
          <w:szCs w:val="32"/>
        </w:rPr>
        <w:t>范围</w:t>
      </w:r>
      <w:r>
        <w:rPr>
          <w:rFonts w:ascii="仿宋_GB2312" w:eastAsia="仿宋_GB2312" w:hAnsi="方正仿宋_GBK" w:cs="方正仿宋_GBK"/>
          <w:sz w:val="32"/>
          <w:szCs w:val="32"/>
        </w:rPr>
        <w:t>权属边界，提升海域使用权属管理的透明度与公信力，公平保障各类用海主体的合法权益，维护海域使用秩序稳定。</w:t>
      </w:r>
    </w:p>
    <w:p w14:paraId="19CB51B2" w14:textId="77777777" w:rsidR="005C3CB5" w:rsidRDefault="00000000" w:rsidP="005368CD">
      <w:pPr>
        <w:pStyle w:val="aa"/>
        <w:widowControl/>
        <w:spacing w:line="600" w:lineRule="exact"/>
        <w:ind w:firstLineChars="200" w:firstLine="643"/>
        <w:outlineLvl w:val="1"/>
        <w:rPr>
          <w:rFonts w:ascii="楷体_GB2312" w:eastAsia="楷体_GB2312" w:hAnsi="方正楷体_GBK" w:cs="方正楷体_GBK" w:hint="eastAsia"/>
          <w:b/>
          <w:bCs/>
          <w:sz w:val="32"/>
          <w:szCs w:val="32"/>
        </w:rPr>
      </w:pPr>
      <w:r>
        <w:rPr>
          <w:rFonts w:ascii="楷体_GB2312" w:eastAsia="楷体_GB2312" w:hAnsi="方正楷体_GBK" w:cs="方正楷体_GBK" w:hint="eastAsia"/>
          <w:b/>
          <w:bCs/>
          <w:sz w:val="32"/>
          <w:szCs w:val="32"/>
        </w:rPr>
        <w:lastRenderedPageBreak/>
        <w:t>（二）经济效益</w:t>
      </w:r>
    </w:p>
    <w:p w14:paraId="7E36D651"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hint="eastAsia"/>
          <w:b/>
          <w:bCs/>
          <w:color w:val="auto"/>
        </w:rPr>
        <w:t>1</w:t>
      </w:r>
      <w:r>
        <w:rPr>
          <w:rFonts w:ascii="仿宋_GB2312" w:eastAsia="仿宋_GB2312" w:hAnsi="方正仿宋_GBK" w:cs="方正仿宋_GBK"/>
          <w:b/>
          <w:bCs/>
          <w:color w:val="auto"/>
        </w:rPr>
        <w:t>.提高海域资源要素产出效率</w:t>
      </w:r>
    </w:p>
    <w:p w14:paraId="2809D695" w14:textId="7777777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通过立体分层确权释放海域空间资源潜力，在有限海域空间内统筹布局港口航运、新能源、海底管线、生态保护</w:t>
      </w:r>
      <w:r>
        <w:rPr>
          <w:rFonts w:ascii="仿宋_GB2312" w:eastAsia="仿宋_GB2312" w:hAnsi="方正仿宋_GBK" w:cs="方正仿宋_GBK" w:hint="eastAsia"/>
          <w:sz w:val="32"/>
          <w:szCs w:val="32"/>
        </w:rPr>
        <w:t>修复</w:t>
      </w:r>
      <w:r>
        <w:rPr>
          <w:rFonts w:ascii="仿宋_GB2312" w:eastAsia="仿宋_GB2312" w:hAnsi="方正仿宋_GBK" w:cs="方正仿宋_GBK"/>
          <w:sz w:val="32"/>
          <w:szCs w:val="32"/>
        </w:rPr>
        <w:t>等多元用海业态，显著提升单位海域</w:t>
      </w:r>
      <w:r>
        <w:rPr>
          <w:rFonts w:ascii="仿宋_GB2312" w:eastAsia="仿宋_GB2312" w:hAnsi="方正仿宋_GBK" w:cs="方正仿宋_GBK" w:hint="eastAsia"/>
          <w:sz w:val="32"/>
          <w:szCs w:val="32"/>
        </w:rPr>
        <w:t>使用</w:t>
      </w:r>
      <w:r>
        <w:rPr>
          <w:rFonts w:ascii="仿宋_GB2312" w:eastAsia="仿宋_GB2312" w:hAnsi="方正仿宋_GBK" w:cs="方正仿宋_GBK"/>
          <w:sz w:val="32"/>
          <w:szCs w:val="32"/>
        </w:rPr>
        <w:t>面积的资源利用效率与综合产出效益，支撑上海海洋经济高质量发展。</w:t>
      </w:r>
    </w:p>
    <w:p w14:paraId="6C3FDDEC"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hint="eastAsia"/>
          <w:b/>
          <w:bCs/>
          <w:color w:val="auto"/>
        </w:rPr>
        <w:t>2</w:t>
      </w:r>
      <w:r>
        <w:rPr>
          <w:rFonts w:ascii="仿宋_GB2312" w:eastAsia="仿宋_GB2312" w:hAnsi="方正仿宋_GBK" w:cs="方正仿宋_GBK"/>
          <w:b/>
          <w:bCs/>
          <w:color w:val="auto"/>
        </w:rPr>
        <w:t>.降低市场主体制度性交易成本</w:t>
      </w:r>
    </w:p>
    <w:p w14:paraId="1C79DF75" w14:textId="7777777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统一的界定标准与成图规范，减少了用海项目在论证、勘测、确权环节的重复工作与沟通成本，缩短项目用海审批周期，加快用海项目落地进度，有效降低企业的时间成本与经济成本。</w:t>
      </w:r>
    </w:p>
    <w:p w14:paraId="2DEFD8C4"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hint="eastAsia"/>
          <w:b/>
          <w:bCs/>
          <w:color w:val="auto"/>
        </w:rPr>
        <w:t>3</w:t>
      </w:r>
      <w:r>
        <w:rPr>
          <w:rFonts w:ascii="仿宋_GB2312" w:eastAsia="仿宋_GB2312" w:hAnsi="方正仿宋_GBK" w:cs="方正仿宋_GBK"/>
          <w:b/>
          <w:bCs/>
          <w:color w:val="auto"/>
        </w:rPr>
        <w:t>.赋能海洋新兴产业发展</w:t>
      </w:r>
    </w:p>
    <w:p w14:paraId="0A7E505E" w14:textId="6DB13588"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sidRPr="00CF2EF2">
        <w:rPr>
          <w:rFonts w:ascii="仿宋_GB2312" w:eastAsia="仿宋_GB2312" w:hAnsi="方正仿宋_GBK" w:cs="方正仿宋_GBK"/>
          <w:sz w:val="32"/>
          <w:szCs w:val="32"/>
        </w:rPr>
        <w:t>为海上风电、海上光伏、海底数据传输等</w:t>
      </w:r>
      <w:r w:rsidR="002D1252">
        <w:rPr>
          <w:rFonts w:ascii="仿宋_GB2312" w:eastAsia="仿宋_GB2312" w:hAnsi="方正仿宋_GBK" w:cs="方正仿宋_GBK" w:hint="eastAsia"/>
          <w:sz w:val="32"/>
          <w:szCs w:val="32"/>
        </w:rPr>
        <w:t>海洋新兴产业场景</w:t>
      </w:r>
      <w:r w:rsidRPr="00CF2EF2">
        <w:rPr>
          <w:rFonts w:ascii="仿宋_GB2312" w:eastAsia="仿宋_GB2312" w:hAnsi="方正仿宋_GBK" w:cs="方正仿宋_GBK"/>
          <w:sz w:val="32"/>
          <w:szCs w:val="32"/>
        </w:rPr>
        <w:t>提供清晰的技术规则支撑</w:t>
      </w:r>
      <w:r w:rsidRPr="00CF2EF2">
        <w:rPr>
          <w:rFonts w:ascii="仿宋_GB2312" w:eastAsia="仿宋_GB2312" w:hAnsi="方正仿宋_GBK" w:cs="方正仿宋_GBK" w:hint="eastAsia"/>
          <w:sz w:val="32"/>
          <w:szCs w:val="32"/>
        </w:rPr>
        <w:t>与引领</w:t>
      </w:r>
      <w:r w:rsidRPr="00CF2EF2">
        <w:rPr>
          <w:rFonts w:ascii="仿宋_GB2312" w:eastAsia="仿宋_GB2312" w:hAnsi="方正仿宋_GBK" w:cs="方正仿宋_GBK"/>
          <w:sz w:val="32"/>
          <w:szCs w:val="32"/>
        </w:rPr>
        <w:t>，优化海洋领域营商环境，吸引社会资本参与海域</w:t>
      </w:r>
      <w:r w:rsidRPr="00CF2EF2">
        <w:rPr>
          <w:rFonts w:ascii="仿宋_GB2312" w:eastAsia="仿宋_GB2312" w:hAnsi="方正仿宋_GBK" w:cs="方正仿宋_GBK" w:hint="eastAsia"/>
          <w:sz w:val="32"/>
          <w:szCs w:val="32"/>
        </w:rPr>
        <w:t>使用</w:t>
      </w:r>
      <w:r w:rsidRPr="00CF2EF2">
        <w:rPr>
          <w:rFonts w:ascii="仿宋_GB2312" w:eastAsia="仿宋_GB2312" w:hAnsi="方正仿宋_GBK" w:cs="方正仿宋_GBK"/>
          <w:sz w:val="32"/>
          <w:szCs w:val="32"/>
        </w:rPr>
        <w:t>立体开发，培育海洋经济新的</w:t>
      </w:r>
      <w:r>
        <w:rPr>
          <w:rFonts w:ascii="仿宋_GB2312" w:eastAsia="仿宋_GB2312" w:hAnsi="方正仿宋_GBK" w:cs="方正仿宋_GBK"/>
          <w:sz w:val="32"/>
          <w:szCs w:val="32"/>
        </w:rPr>
        <w:t>增长动能。</w:t>
      </w:r>
    </w:p>
    <w:p w14:paraId="06200D27" w14:textId="77777777" w:rsidR="005C3CB5" w:rsidRDefault="00000000" w:rsidP="005368CD">
      <w:pPr>
        <w:pStyle w:val="3"/>
        <w:spacing w:before="0" w:after="0" w:line="600" w:lineRule="exact"/>
        <w:ind w:firstLineChars="200" w:firstLine="643"/>
        <w:rPr>
          <w:rFonts w:ascii="仿宋_GB2312" w:eastAsia="仿宋_GB2312" w:hAnsi="方正仿宋_GBK" w:cs="方正仿宋_GBK" w:hint="eastAsia"/>
          <w:b/>
          <w:bCs/>
          <w:color w:val="auto"/>
        </w:rPr>
      </w:pPr>
      <w:r>
        <w:rPr>
          <w:rFonts w:ascii="仿宋_GB2312" w:eastAsia="仿宋_GB2312" w:hAnsi="方正仿宋_GBK" w:cs="方正仿宋_GBK" w:hint="eastAsia"/>
          <w:b/>
          <w:bCs/>
          <w:color w:val="auto"/>
        </w:rPr>
        <w:t>4</w:t>
      </w:r>
      <w:r>
        <w:rPr>
          <w:rFonts w:ascii="仿宋_GB2312" w:eastAsia="仿宋_GB2312" w:hAnsi="方正仿宋_GBK" w:cs="方正仿宋_GBK"/>
          <w:b/>
          <w:bCs/>
          <w:color w:val="auto"/>
        </w:rPr>
        <w:t>.保障重大涉海工程顺利推进</w:t>
      </w:r>
      <w:r>
        <w:rPr>
          <w:rFonts w:ascii="仿宋_GB2312" w:eastAsia="仿宋_GB2312" w:hAnsi="方正仿宋_GBK" w:cs="方正仿宋_GBK" w:hint="eastAsia"/>
          <w:b/>
          <w:bCs/>
          <w:color w:val="auto"/>
        </w:rPr>
        <w:t>。</w:t>
      </w:r>
    </w:p>
    <w:p w14:paraId="2ADDD6DA" w14:textId="7777777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sz w:val="32"/>
          <w:szCs w:val="32"/>
        </w:rPr>
        <w:t>为本市</w:t>
      </w:r>
      <w:r>
        <w:rPr>
          <w:rFonts w:ascii="仿宋_GB2312" w:eastAsia="仿宋_GB2312" w:hAnsi="方正仿宋_GBK" w:cs="方正仿宋_GBK" w:hint="eastAsia"/>
          <w:sz w:val="32"/>
          <w:szCs w:val="32"/>
        </w:rPr>
        <w:t>涉海</w:t>
      </w:r>
      <w:r>
        <w:rPr>
          <w:rFonts w:ascii="仿宋_GB2312" w:eastAsia="仿宋_GB2312" w:hAnsi="方正仿宋_GBK" w:cs="方正仿宋_GBK"/>
          <w:sz w:val="32"/>
          <w:szCs w:val="32"/>
        </w:rPr>
        <w:t>项目的交叉用海协调提供统一技术标尺，降低项目协调与建设成本，保障重大工程按期落地，持续发挥基础设施对区域经济的支撑带动作用。</w:t>
      </w:r>
    </w:p>
    <w:p w14:paraId="1B884596" w14:textId="77777777" w:rsidR="005C3CB5" w:rsidRDefault="00000000" w:rsidP="005368CD">
      <w:pPr>
        <w:spacing w:after="0" w:line="600" w:lineRule="exact"/>
        <w:ind w:firstLineChars="200" w:firstLine="640"/>
        <w:outlineLvl w:val="0"/>
        <w:rPr>
          <w:rFonts w:ascii="黑体" w:eastAsia="黑体" w:hAnsi="黑体" w:hint="eastAsia"/>
          <w:sz w:val="32"/>
          <w:szCs w:val="36"/>
        </w:rPr>
      </w:pPr>
      <w:r>
        <w:rPr>
          <w:rFonts w:ascii="黑体" w:eastAsia="黑体" w:hAnsi="黑体" w:hint="eastAsia"/>
          <w:sz w:val="32"/>
          <w:szCs w:val="36"/>
        </w:rPr>
        <w:t>九、是否存在影响公平竞争内容的说明</w:t>
      </w:r>
    </w:p>
    <w:p w14:paraId="55E23D8B" w14:textId="15DC3582"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本规范为技术规范类文件，主要规定了上海市行政管辖海域内的海域立体分层设权宗海空间范围界定的总体要求、</w:t>
      </w:r>
      <w:r>
        <w:rPr>
          <w:rFonts w:ascii="仿宋_GB2312" w:eastAsia="仿宋_GB2312" w:hAnsi="方正仿宋_GBK" w:cs="方正仿宋_GBK" w:hint="eastAsia"/>
          <w:sz w:val="32"/>
          <w:szCs w:val="32"/>
        </w:rPr>
        <w:lastRenderedPageBreak/>
        <w:t>宗海空间范围界定以及宗海图编绘等技术要求。在编制过程中，规范函询了有关单位的意见，并向全社会征询意见。规范条款严格遵守公平竞争原则，不存在影响公平竞争的内容。</w:t>
      </w:r>
    </w:p>
    <w:p w14:paraId="635FE439" w14:textId="77777777" w:rsidR="005C3CB5" w:rsidRDefault="00000000" w:rsidP="005368CD">
      <w:pPr>
        <w:spacing w:after="0" w:line="600" w:lineRule="exact"/>
        <w:ind w:firstLineChars="200" w:firstLine="640"/>
        <w:outlineLvl w:val="0"/>
        <w:rPr>
          <w:rFonts w:ascii="黑体" w:eastAsia="黑体" w:hAnsi="黑体" w:hint="eastAsia"/>
          <w:sz w:val="32"/>
          <w:szCs w:val="36"/>
        </w:rPr>
      </w:pPr>
      <w:r>
        <w:rPr>
          <w:rFonts w:ascii="黑体" w:eastAsia="黑体" w:hAnsi="黑体" w:hint="eastAsia"/>
          <w:sz w:val="32"/>
          <w:szCs w:val="36"/>
        </w:rPr>
        <w:t>十、其他应当说明的事项</w:t>
      </w:r>
    </w:p>
    <w:p w14:paraId="70C339AB" w14:textId="77777777" w:rsidR="005C3CB5" w:rsidRDefault="00000000" w:rsidP="005368CD">
      <w:pPr>
        <w:spacing w:after="0" w:line="600" w:lineRule="exact"/>
        <w:ind w:firstLineChars="200" w:firstLine="640"/>
        <w:rPr>
          <w:rFonts w:ascii="仿宋_GB2312" w:eastAsia="仿宋_GB2312" w:hAnsi="方正仿宋_GBK" w:cs="方正仿宋_GBK" w:hint="eastAsia"/>
          <w:sz w:val="32"/>
          <w:szCs w:val="32"/>
        </w:rPr>
      </w:pPr>
      <w:r>
        <w:rPr>
          <w:rFonts w:ascii="仿宋_GB2312" w:eastAsia="仿宋_GB2312" w:hAnsi="方正仿宋_GBK" w:cs="方正仿宋_GBK" w:hint="eastAsia"/>
          <w:sz w:val="32"/>
          <w:szCs w:val="32"/>
        </w:rPr>
        <w:t>无。</w:t>
      </w:r>
    </w:p>
    <w:sectPr w:rsidR="005C3CB5" w:rsidSect="002529D5">
      <w:footerReference w:type="default" r:id="rId14"/>
      <w:pgSz w:w="11906" w:h="16838"/>
      <w:pgMar w:top="1440" w:right="1800" w:bottom="1440" w:left="1800" w:header="851"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04A65" w14:textId="77777777" w:rsidR="00BF4487" w:rsidRDefault="00BF4487">
      <w:pPr>
        <w:spacing w:line="240" w:lineRule="auto"/>
      </w:pPr>
      <w:r>
        <w:separator/>
      </w:r>
    </w:p>
  </w:endnote>
  <w:endnote w:type="continuationSeparator" w:id="0">
    <w:p w14:paraId="63CAF10F" w14:textId="77777777" w:rsidR="00BF4487" w:rsidRDefault="00BF44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C722969E-DFF0-46F8-BD6F-2CDE9EFE7849}"/>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embedRegular r:id="rId2" w:subsetted="1" w:fontKey="{21D83F2B-BF3D-45AD-B925-8BFB3540F5E7}"/>
  </w:font>
  <w:font w:name="仿宋_GB2312">
    <w:altName w:val="仿宋"/>
    <w:panose1 w:val="02010609030101010101"/>
    <w:charset w:val="86"/>
    <w:family w:val="modern"/>
    <w:pitch w:val="fixed"/>
    <w:sig w:usb0="00000001" w:usb1="080E0000" w:usb2="00000010" w:usb3="00000000" w:csb0="00040000" w:csb1="00000000"/>
    <w:embedRegular r:id="rId3" w:subsetted="1" w:fontKey="{6035A8C0-B6A3-4151-A2CD-9B0167AA1A38}"/>
    <w:embedBold r:id="rId4" w:subsetted="1" w:fontKey="{459C0BF7-579C-44C3-9FB8-12030CA9189E}"/>
  </w:font>
  <w:font w:name="楷体_GB2312">
    <w:altName w:val="楷体"/>
    <w:panose1 w:val="02010609030101010101"/>
    <w:charset w:val="86"/>
    <w:family w:val="modern"/>
    <w:pitch w:val="fixed"/>
    <w:sig w:usb0="00000001" w:usb1="080E0000" w:usb2="00000010" w:usb3="00000000" w:csb0="00040000" w:csb1="00000000"/>
    <w:embedBold r:id="rId5" w:subsetted="1" w:fontKey="{42C20AF4-D3CE-4705-A1A8-CD8AD4B796E3}"/>
  </w:font>
  <w:font w:name="方正仿宋_GBK">
    <w:panose1 w:val="03000509000000000000"/>
    <w:charset w:val="86"/>
    <w:family w:val="script"/>
    <w:pitch w:val="fixed"/>
    <w:sig w:usb0="00000001" w:usb1="080E0000" w:usb2="00000010" w:usb3="00000000" w:csb0="00040000" w:csb1="00000000"/>
    <w:embedRegular r:id="rId6" w:subsetted="1" w:fontKey="{CF12BB69-C7E4-4F55-9F64-5DB48A31900F}"/>
  </w:font>
  <w:font w:name="方正楷体_GBK">
    <w:charset w:val="86"/>
    <w:family w:val="script"/>
    <w:pitch w:val="default"/>
    <w:sig w:usb0="800002BF" w:usb1="38CF7CFA" w:usb2="00000016"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8FBA" w14:textId="77777777" w:rsidR="005D6C1D" w:rsidRDefault="005D6C1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2097" w14:textId="37838EB6" w:rsidR="005D6C1D" w:rsidRDefault="005D6C1D">
    <w:pPr>
      <w:pStyle w:val="a4"/>
      <w:jc w:val="center"/>
    </w:pPr>
  </w:p>
  <w:p w14:paraId="593C1484" w14:textId="00FC721B" w:rsidR="005C3CB5" w:rsidRDefault="005C3CB5" w:rsidP="002529D5">
    <w:pPr>
      <w:pStyle w:val="a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CBC3F" w14:textId="77777777" w:rsidR="005D6C1D" w:rsidRDefault="005D6C1D">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12933"/>
      <w:docPartObj>
        <w:docPartGallery w:val="Page Numbers (Bottom of Page)"/>
        <w:docPartUnique/>
      </w:docPartObj>
    </w:sdtPr>
    <w:sdtContent>
      <w:p w14:paraId="0A2F6EA1" w14:textId="665AE870" w:rsidR="005D6C1D" w:rsidRDefault="005D6C1D" w:rsidP="002529D5">
        <w:pPr>
          <w:pStyle w:val="a4"/>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F3411" w14:textId="77777777" w:rsidR="00BF4487" w:rsidRDefault="00BF4487">
      <w:pPr>
        <w:spacing w:after="0"/>
      </w:pPr>
      <w:r>
        <w:separator/>
      </w:r>
    </w:p>
  </w:footnote>
  <w:footnote w:type="continuationSeparator" w:id="0">
    <w:p w14:paraId="3C7923A1" w14:textId="77777777" w:rsidR="00BF4487" w:rsidRDefault="00BF448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62D4" w14:textId="77777777" w:rsidR="005D6C1D" w:rsidRDefault="005D6C1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E573" w14:textId="77777777" w:rsidR="005D6C1D" w:rsidRDefault="005D6C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166C" w14:textId="77777777" w:rsidR="005D6C1D" w:rsidRDefault="005D6C1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EFD"/>
    <w:rsid w:val="00012CAB"/>
    <w:rsid w:val="00012CEB"/>
    <w:rsid w:val="00015D5C"/>
    <w:rsid w:val="00025254"/>
    <w:rsid w:val="00034F39"/>
    <w:rsid w:val="000358B7"/>
    <w:rsid w:val="000376A9"/>
    <w:rsid w:val="00047378"/>
    <w:rsid w:val="0005179D"/>
    <w:rsid w:val="00055D3E"/>
    <w:rsid w:val="00056F1B"/>
    <w:rsid w:val="00065FED"/>
    <w:rsid w:val="00067071"/>
    <w:rsid w:val="000713F4"/>
    <w:rsid w:val="0007368C"/>
    <w:rsid w:val="00073AD5"/>
    <w:rsid w:val="00075F86"/>
    <w:rsid w:val="000768A9"/>
    <w:rsid w:val="00085E39"/>
    <w:rsid w:val="00087E7E"/>
    <w:rsid w:val="0009287C"/>
    <w:rsid w:val="00094BA9"/>
    <w:rsid w:val="00095F6D"/>
    <w:rsid w:val="000A5164"/>
    <w:rsid w:val="000A6BB1"/>
    <w:rsid w:val="000C1CB2"/>
    <w:rsid w:val="000D3A75"/>
    <w:rsid w:val="000E3BC9"/>
    <w:rsid w:val="0010171E"/>
    <w:rsid w:val="00104451"/>
    <w:rsid w:val="0010488E"/>
    <w:rsid w:val="001057B8"/>
    <w:rsid w:val="0010598E"/>
    <w:rsid w:val="00110740"/>
    <w:rsid w:val="0011155C"/>
    <w:rsid w:val="0011391E"/>
    <w:rsid w:val="00115D15"/>
    <w:rsid w:val="00116986"/>
    <w:rsid w:val="00127862"/>
    <w:rsid w:val="001351E9"/>
    <w:rsid w:val="0014424F"/>
    <w:rsid w:val="00152AB2"/>
    <w:rsid w:val="00154F70"/>
    <w:rsid w:val="00160619"/>
    <w:rsid w:val="00160BE7"/>
    <w:rsid w:val="00162330"/>
    <w:rsid w:val="00176E01"/>
    <w:rsid w:val="00180621"/>
    <w:rsid w:val="00182C2A"/>
    <w:rsid w:val="00196BDE"/>
    <w:rsid w:val="001A3AEB"/>
    <w:rsid w:val="001A5FA3"/>
    <w:rsid w:val="001B7293"/>
    <w:rsid w:val="001E1FCB"/>
    <w:rsid w:val="001E355E"/>
    <w:rsid w:val="001E4FBF"/>
    <w:rsid w:val="001F0B80"/>
    <w:rsid w:val="001F1C21"/>
    <w:rsid w:val="00200993"/>
    <w:rsid w:val="00203F18"/>
    <w:rsid w:val="00207C45"/>
    <w:rsid w:val="002116D9"/>
    <w:rsid w:val="0021486C"/>
    <w:rsid w:val="00220ED2"/>
    <w:rsid w:val="00226E24"/>
    <w:rsid w:val="00242B7D"/>
    <w:rsid w:val="00245A95"/>
    <w:rsid w:val="002529D5"/>
    <w:rsid w:val="00265C96"/>
    <w:rsid w:val="002760C6"/>
    <w:rsid w:val="00277345"/>
    <w:rsid w:val="002779ED"/>
    <w:rsid w:val="00281116"/>
    <w:rsid w:val="00282EAF"/>
    <w:rsid w:val="00285177"/>
    <w:rsid w:val="00291340"/>
    <w:rsid w:val="002B23A7"/>
    <w:rsid w:val="002B4E44"/>
    <w:rsid w:val="002C0FB1"/>
    <w:rsid w:val="002D1252"/>
    <w:rsid w:val="002D3B81"/>
    <w:rsid w:val="002D4ECD"/>
    <w:rsid w:val="002E186C"/>
    <w:rsid w:val="002E1B98"/>
    <w:rsid w:val="002F5E20"/>
    <w:rsid w:val="002F63B9"/>
    <w:rsid w:val="002F75ED"/>
    <w:rsid w:val="002F7C25"/>
    <w:rsid w:val="00300636"/>
    <w:rsid w:val="0031057E"/>
    <w:rsid w:val="00315BC4"/>
    <w:rsid w:val="00315BF0"/>
    <w:rsid w:val="00331DE4"/>
    <w:rsid w:val="00345355"/>
    <w:rsid w:val="003513AF"/>
    <w:rsid w:val="00364989"/>
    <w:rsid w:val="003653AC"/>
    <w:rsid w:val="00367750"/>
    <w:rsid w:val="00387BC5"/>
    <w:rsid w:val="00391DF4"/>
    <w:rsid w:val="00395E2C"/>
    <w:rsid w:val="003B5FB3"/>
    <w:rsid w:val="003D37B5"/>
    <w:rsid w:val="003E65FC"/>
    <w:rsid w:val="003E6FF3"/>
    <w:rsid w:val="003F4059"/>
    <w:rsid w:val="003F56D9"/>
    <w:rsid w:val="00402A8C"/>
    <w:rsid w:val="00406ACA"/>
    <w:rsid w:val="0040774C"/>
    <w:rsid w:val="00410BA9"/>
    <w:rsid w:val="00413A8B"/>
    <w:rsid w:val="0041754A"/>
    <w:rsid w:val="00445724"/>
    <w:rsid w:val="00446456"/>
    <w:rsid w:val="00447841"/>
    <w:rsid w:val="00457329"/>
    <w:rsid w:val="00457AF5"/>
    <w:rsid w:val="004641F6"/>
    <w:rsid w:val="00466185"/>
    <w:rsid w:val="00467D3D"/>
    <w:rsid w:val="004750D2"/>
    <w:rsid w:val="00480518"/>
    <w:rsid w:val="00493EC6"/>
    <w:rsid w:val="00494C1F"/>
    <w:rsid w:val="00496F75"/>
    <w:rsid w:val="004A1358"/>
    <w:rsid w:val="004B162B"/>
    <w:rsid w:val="004B33D6"/>
    <w:rsid w:val="004B66CD"/>
    <w:rsid w:val="004C21EF"/>
    <w:rsid w:val="004C4E98"/>
    <w:rsid w:val="004C517E"/>
    <w:rsid w:val="004E12C1"/>
    <w:rsid w:val="004E5FF8"/>
    <w:rsid w:val="004F0316"/>
    <w:rsid w:val="00501F40"/>
    <w:rsid w:val="005022AD"/>
    <w:rsid w:val="00502951"/>
    <w:rsid w:val="00512956"/>
    <w:rsid w:val="005223CE"/>
    <w:rsid w:val="005230FC"/>
    <w:rsid w:val="00525B6F"/>
    <w:rsid w:val="00527498"/>
    <w:rsid w:val="005368CD"/>
    <w:rsid w:val="00542C9E"/>
    <w:rsid w:val="00543B30"/>
    <w:rsid w:val="00546C4D"/>
    <w:rsid w:val="0055335F"/>
    <w:rsid w:val="005604FF"/>
    <w:rsid w:val="005653E8"/>
    <w:rsid w:val="0057372B"/>
    <w:rsid w:val="005744E2"/>
    <w:rsid w:val="005815C2"/>
    <w:rsid w:val="00594A4C"/>
    <w:rsid w:val="005972C7"/>
    <w:rsid w:val="005A096D"/>
    <w:rsid w:val="005A6BF3"/>
    <w:rsid w:val="005A7918"/>
    <w:rsid w:val="005C220F"/>
    <w:rsid w:val="005C3CB5"/>
    <w:rsid w:val="005C4034"/>
    <w:rsid w:val="005C56F8"/>
    <w:rsid w:val="005C7E14"/>
    <w:rsid w:val="005D13FC"/>
    <w:rsid w:val="005D6C1D"/>
    <w:rsid w:val="005E1CC7"/>
    <w:rsid w:val="005E4B19"/>
    <w:rsid w:val="005F4DD1"/>
    <w:rsid w:val="005F791A"/>
    <w:rsid w:val="005F7C96"/>
    <w:rsid w:val="00607427"/>
    <w:rsid w:val="006136BD"/>
    <w:rsid w:val="00613D8E"/>
    <w:rsid w:val="00613EA6"/>
    <w:rsid w:val="0061420A"/>
    <w:rsid w:val="00620C47"/>
    <w:rsid w:val="006234EF"/>
    <w:rsid w:val="00627146"/>
    <w:rsid w:val="006330CA"/>
    <w:rsid w:val="00634207"/>
    <w:rsid w:val="0066244E"/>
    <w:rsid w:val="00665880"/>
    <w:rsid w:val="006675E9"/>
    <w:rsid w:val="00675E2F"/>
    <w:rsid w:val="00683F40"/>
    <w:rsid w:val="006858FF"/>
    <w:rsid w:val="006927B0"/>
    <w:rsid w:val="00695359"/>
    <w:rsid w:val="006A21B4"/>
    <w:rsid w:val="006A3630"/>
    <w:rsid w:val="006B6936"/>
    <w:rsid w:val="006C1382"/>
    <w:rsid w:val="006C2885"/>
    <w:rsid w:val="006C4606"/>
    <w:rsid w:val="006C7BDD"/>
    <w:rsid w:val="006D13C5"/>
    <w:rsid w:val="006D3CE3"/>
    <w:rsid w:val="006E38E2"/>
    <w:rsid w:val="007112CF"/>
    <w:rsid w:val="00713E24"/>
    <w:rsid w:val="00720EAD"/>
    <w:rsid w:val="007276D1"/>
    <w:rsid w:val="00733185"/>
    <w:rsid w:val="00736769"/>
    <w:rsid w:val="00745F95"/>
    <w:rsid w:val="0076553B"/>
    <w:rsid w:val="00766720"/>
    <w:rsid w:val="0077140B"/>
    <w:rsid w:val="007734AB"/>
    <w:rsid w:val="0078032B"/>
    <w:rsid w:val="007958F5"/>
    <w:rsid w:val="007976EA"/>
    <w:rsid w:val="007A76EF"/>
    <w:rsid w:val="007B0080"/>
    <w:rsid w:val="007C4DC8"/>
    <w:rsid w:val="007E61BB"/>
    <w:rsid w:val="00800A31"/>
    <w:rsid w:val="00802D2D"/>
    <w:rsid w:val="00805C0E"/>
    <w:rsid w:val="00817E8E"/>
    <w:rsid w:val="008247B0"/>
    <w:rsid w:val="00826E95"/>
    <w:rsid w:val="0083566F"/>
    <w:rsid w:val="00850F67"/>
    <w:rsid w:val="008649E4"/>
    <w:rsid w:val="00867B93"/>
    <w:rsid w:val="00870AAE"/>
    <w:rsid w:val="008717B8"/>
    <w:rsid w:val="0087383E"/>
    <w:rsid w:val="00884A94"/>
    <w:rsid w:val="00885FA4"/>
    <w:rsid w:val="00896883"/>
    <w:rsid w:val="00896A78"/>
    <w:rsid w:val="008A09CF"/>
    <w:rsid w:val="008B120C"/>
    <w:rsid w:val="008B7131"/>
    <w:rsid w:val="008C288F"/>
    <w:rsid w:val="008D1C5E"/>
    <w:rsid w:val="008D4308"/>
    <w:rsid w:val="008D5DDF"/>
    <w:rsid w:val="008D7B91"/>
    <w:rsid w:val="008E20C8"/>
    <w:rsid w:val="008E30F6"/>
    <w:rsid w:val="008E3888"/>
    <w:rsid w:val="008E40A2"/>
    <w:rsid w:val="008E6803"/>
    <w:rsid w:val="008F4F7F"/>
    <w:rsid w:val="0090182A"/>
    <w:rsid w:val="009045B0"/>
    <w:rsid w:val="00904EE0"/>
    <w:rsid w:val="009050C2"/>
    <w:rsid w:val="00907AB6"/>
    <w:rsid w:val="00934895"/>
    <w:rsid w:val="00934929"/>
    <w:rsid w:val="00936665"/>
    <w:rsid w:val="009417AE"/>
    <w:rsid w:val="00945D83"/>
    <w:rsid w:val="0095108C"/>
    <w:rsid w:val="0095227F"/>
    <w:rsid w:val="00952909"/>
    <w:rsid w:val="00956E0A"/>
    <w:rsid w:val="00964F3F"/>
    <w:rsid w:val="00974863"/>
    <w:rsid w:val="00975B4F"/>
    <w:rsid w:val="00976CAD"/>
    <w:rsid w:val="009B2F0B"/>
    <w:rsid w:val="009C0E41"/>
    <w:rsid w:val="009D1818"/>
    <w:rsid w:val="009D39A8"/>
    <w:rsid w:val="009E3266"/>
    <w:rsid w:val="009E6351"/>
    <w:rsid w:val="009E7A21"/>
    <w:rsid w:val="00A010C3"/>
    <w:rsid w:val="00A10BDA"/>
    <w:rsid w:val="00A2491E"/>
    <w:rsid w:val="00A34030"/>
    <w:rsid w:val="00A349D1"/>
    <w:rsid w:val="00A41900"/>
    <w:rsid w:val="00A51521"/>
    <w:rsid w:val="00A553AA"/>
    <w:rsid w:val="00A55E6B"/>
    <w:rsid w:val="00A5672F"/>
    <w:rsid w:val="00A613B9"/>
    <w:rsid w:val="00A63A8D"/>
    <w:rsid w:val="00A77BC5"/>
    <w:rsid w:val="00A90C48"/>
    <w:rsid w:val="00A93411"/>
    <w:rsid w:val="00A97A57"/>
    <w:rsid w:val="00AA63AA"/>
    <w:rsid w:val="00AA72A4"/>
    <w:rsid w:val="00AB2CCC"/>
    <w:rsid w:val="00AB522D"/>
    <w:rsid w:val="00AD7367"/>
    <w:rsid w:val="00AE4E4B"/>
    <w:rsid w:val="00AE6A98"/>
    <w:rsid w:val="00AE74E7"/>
    <w:rsid w:val="00AF1728"/>
    <w:rsid w:val="00AF290A"/>
    <w:rsid w:val="00AF326D"/>
    <w:rsid w:val="00AF462A"/>
    <w:rsid w:val="00B06AC1"/>
    <w:rsid w:val="00B20D39"/>
    <w:rsid w:val="00B31143"/>
    <w:rsid w:val="00B333FB"/>
    <w:rsid w:val="00B36050"/>
    <w:rsid w:val="00B3718A"/>
    <w:rsid w:val="00B434FC"/>
    <w:rsid w:val="00B54A79"/>
    <w:rsid w:val="00B560DA"/>
    <w:rsid w:val="00B6431D"/>
    <w:rsid w:val="00B7245C"/>
    <w:rsid w:val="00B75DD0"/>
    <w:rsid w:val="00B75E24"/>
    <w:rsid w:val="00B80048"/>
    <w:rsid w:val="00B8421B"/>
    <w:rsid w:val="00B87728"/>
    <w:rsid w:val="00B911A3"/>
    <w:rsid w:val="00B96E57"/>
    <w:rsid w:val="00BA11E3"/>
    <w:rsid w:val="00BA459E"/>
    <w:rsid w:val="00BA77C3"/>
    <w:rsid w:val="00BB3F36"/>
    <w:rsid w:val="00BB43F6"/>
    <w:rsid w:val="00BB7C70"/>
    <w:rsid w:val="00BC032F"/>
    <w:rsid w:val="00BD2F33"/>
    <w:rsid w:val="00BF288D"/>
    <w:rsid w:val="00BF4487"/>
    <w:rsid w:val="00BF5A9F"/>
    <w:rsid w:val="00BF6B3F"/>
    <w:rsid w:val="00C04351"/>
    <w:rsid w:val="00C07DD4"/>
    <w:rsid w:val="00C22D62"/>
    <w:rsid w:val="00C2426C"/>
    <w:rsid w:val="00C4456B"/>
    <w:rsid w:val="00C4586C"/>
    <w:rsid w:val="00C503C2"/>
    <w:rsid w:val="00C50DBA"/>
    <w:rsid w:val="00C56D93"/>
    <w:rsid w:val="00C614D7"/>
    <w:rsid w:val="00C62269"/>
    <w:rsid w:val="00C678FF"/>
    <w:rsid w:val="00C71A96"/>
    <w:rsid w:val="00C759E5"/>
    <w:rsid w:val="00C80766"/>
    <w:rsid w:val="00C82195"/>
    <w:rsid w:val="00C9319B"/>
    <w:rsid w:val="00C97AF6"/>
    <w:rsid w:val="00CB2944"/>
    <w:rsid w:val="00CC0215"/>
    <w:rsid w:val="00CC1793"/>
    <w:rsid w:val="00CC1F9F"/>
    <w:rsid w:val="00CC4CCC"/>
    <w:rsid w:val="00CD08E5"/>
    <w:rsid w:val="00CD25E5"/>
    <w:rsid w:val="00CD68F8"/>
    <w:rsid w:val="00CD7C9C"/>
    <w:rsid w:val="00CF062E"/>
    <w:rsid w:val="00CF2EF2"/>
    <w:rsid w:val="00CF3A00"/>
    <w:rsid w:val="00D06B01"/>
    <w:rsid w:val="00D24275"/>
    <w:rsid w:val="00D435AB"/>
    <w:rsid w:val="00D619F3"/>
    <w:rsid w:val="00D74DE9"/>
    <w:rsid w:val="00D90D9F"/>
    <w:rsid w:val="00D9517C"/>
    <w:rsid w:val="00D95ABE"/>
    <w:rsid w:val="00DA069B"/>
    <w:rsid w:val="00DA3BE4"/>
    <w:rsid w:val="00DA5FD6"/>
    <w:rsid w:val="00DB08E7"/>
    <w:rsid w:val="00DC18A2"/>
    <w:rsid w:val="00DC454E"/>
    <w:rsid w:val="00DD2497"/>
    <w:rsid w:val="00DD28F5"/>
    <w:rsid w:val="00DD4577"/>
    <w:rsid w:val="00DD6777"/>
    <w:rsid w:val="00DE1E7F"/>
    <w:rsid w:val="00DE6C2C"/>
    <w:rsid w:val="00DF61A9"/>
    <w:rsid w:val="00DF6447"/>
    <w:rsid w:val="00DF67C6"/>
    <w:rsid w:val="00DF713F"/>
    <w:rsid w:val="00E266C5"/>
    <w:rsid w:val="00E33BEA"/>
    <w:rsid w:val="00E3647B"/>
    <w:rsid w:val="00E365EE"/>
    <w:rsid w:val="00E37385"/>
    <w:rsid w:val="00E41676"/>
    <w:rsid w:val="00E41851"/>
    <w:rsid w:val="00E56656"/>
    <w:rsid w:val="00E669E4"/>
    <w:rsid w:val="00E75E94"/>
    <w:rsid w:val="00E7656B"/>
    <w:rsid w:val="00E76930"/>
    <w:rsid w:val="00E9090B"/>
    <w:rsid w:val="00E92A46"/>
    <w:rsid w:val="00E97EFD"/>
    <w:rsid w:val="00EA61BE"/>
    <w:rsid w:val="00EC17BC"/>
    <w:rsid w:val="00EC73D4"/>
    <w:rsid w:val="00ED2A75"/>
    <w:rsid w:val="00ED559E"/>
    <w:rsid w:val="00EF4D8E"/>
    <w:rsid w:val="00EF62AA"/>
    <w:rsid w:val="00F00B81"/>
    <w:rsid w:val="00F15594"/>
    <w:rsid w:val="00F2292C"/>
    <w:rsid w:val="00F313FF"/>
    <w:rsid w:val="00F36325"/>
    <w:rsid w:val="00F50859"/>
    <w:rsid w:val="00F5720C"/>
    <w:rsid w:val="00F6163F"/>
    <w:rsid w:val="00F672E4"/>
    <w:rsid w:val="00F71A27"/>
    <w:rsid w:val="00F722CE"/>
    <w:rsid w:val="00F7283E"/>
    <w:rsid w:val="00F750A5"/>
    <w:rsid w:val="00F826D8"/>
    <w:rsid w:val="00F84913"/>
    <w:rsid w:val="00FA3781"/>
    <w:rsid w:val="00FA39A9"/>
    <w:rsid w:val="00FB474F"/>
    <w:rsid w:val="00FC5963"/>
    <w:rsid w:val="00FD6E7D"/>
    <w:rsid w:val="00FE1705"/>
    <w:rsid w:val="00FF273A"/>
    <w:rsid w:val="094A4F26"/>
    <w:rsid w:val="274042FE"/>
    <w:rsid w:val="5BB93C0A"/>
    <w:rsid w:val="5D7FA6F9"/>
    <w:rsid w:val="6BEFAA75"/>
    <w:rsid w:val="77BB88D9"/>
    <w:rsid w:val="7BEFA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E2390"/>
  <w15:docId w15:val="{C6ADCCCA-C90C-4937-B592-FD158DE9C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jc w:val="both"/>
    </w:pPr>
    <w:rPr>
      <w:rFonts w:cs="黑体"/>
      <w:kern w:val="2"/>
      <w:sz w:val="21"/>
      <w:szCs w:val="22"/>
    </w:rPr>
  </w:style>
  <w:style w:type="paragraph" w:styleId="1">
    <w:name w:val="heading 1"/>
    <w:basedOn w:val="a"/>
    <w:next w:val="a"/>
    <w:link w:val="10"/>
    <w:uiPriority w:val="9"/>
    <w:qFormat/>
    <w:pPr>
      <w:keepNext/>
      <w:keepLines/>
      <w:spacing w:before="480" w:after="80" w:line="240" w:lineRule="auto"/>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pPr>
      <w:keepNext/>
      <w:keepLines/>
      <w:spacing w:before="160" w:after="80" w:line="240" w:lineRule="auto"/>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pPr>
      <w:keepNext/>
      <w:keepLines/>
      <w:spacing w:before="160" w:after="80" w:line="240" w:lineRule="auto"/>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line="240" w:lineRule="auto"/>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line="240" w:lineRule="auto"/>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after="0" w:line="240" w:lineRule="auto"/>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line="240" w:lineRule="auto"/>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pPr>
      <w:keepNext/>
      <w:keepLines/>
      <w:spacing w:after="0" w:line="240" w:lineRule="auto"/>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pPr>
      <w:keepNext/>
      <w:keepLines/>
      <w:spacing w:after="0" w:line="240" w:lineRule="auto"/>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a5"/>
    <w:uiPriority w:val="99"/>
    <w:unhideWhenUsed/>
    <w:qFormat/>
    <w:pPr>
      <w:tabs>
        <w:tab w:val="center" w:pos="4153"/>
        <w:tab w:val="right" w:pos="8306"/>
      </w:tabs>
      <w:snapToGrid w:val="0"/>
      <w:spacing w:line="240" w:lineRule="auto"/>
      <w:jc w:val="left"/>
    </w:pPr>
    <w:rPr>
      <w:sz w:val="18"/>
      <w:szCs w:val="18"/>
    </w:rPr>
  </w:style>
  <w:style w:type="paragraph" w:styleId="a6">
    <w:name w:val="header"/>
    <w:basedOn w:val="a"/>
    <w:link w:val="a7"/>
    <w:uiPriority w:val="99"/>
    <w:unhideWhenUsed/>
    <w:qFormat/>
    <w:pPr>
      <w:tabs>
        <w:tab w:val="center" w:pos="4153"/>
        <w:tab w:val="right" w:pos="8306"/>
      </w:tabs>
      <w:snapToGrid w:val="0"/>
      <w:spacing w:line="240" w:lineRule="auto"/>
      <w:jc w:val="center"/>
    </w:pPr>
    <w:rPr>
      <w:sz w:val="18"/>
      <w:szCs w:val="18"/>
    </w:rPr>
  </w:style>
  <w:style w:type="paragraph" w:styleId="a8">
    <w:name w:val="Subtitle"/>
    <w:basedOn w:val="a"/>
    <w:next w:val="a"/>
    <w:link w:val="a9"/>
    <w:uiPriority w:val="11"/>
    <w:qFormat/>
    <w:pPr>
      <w:spacing w:line="240" w:lineRule="auto"/>
      <w:jc w:val="center"/>
    </w:pPr>
    <w:rPr>
      <w:rFonts w:asciiTheme="majorHAnsi" w:eastAsiaTheme="majorEastAsia" w:hAnsiTheme="majorHAnsi" w:cstheme="majorBidi"/>
      <w:color w:val="595959" w:themeColor="text1" w:themeTint="A6"/>
      <w:spacing w:val="15"/>
      <w:sz w:val="28"/>
      <w:szCs w:val="28"/>
    </w:rPr>
  </w:style>
  <w:style w:type="paragraph" w:styleId="aa">
    <w:name w:val="Normal (Web)"/>
    <w:basedOn w:val="a"/>
    <w:link w:val="ab"/>
    <w:qFormat/>
    <w:pPr>
      <w:spacing w:after="0" w:line="240" w:lineRule="auto"/>
    </w:pPr>
    <w:rPr>
      <w:rFonts w:ascii="Calibri" w:hAnsi="Calibri" w:cs="Times New Roman"/>
      <w:sz w:val="24"/>
      <w:szCs w:val="24"/>
    </w:rPr>
  </w:style>
  <w:style w:type="paragraph" w:styleId="ac">
    <w:name w:val="Title"/>
    <w:basedOn w:val="a"/>
    <w:next w:val="a"/>
    <w:link w:val="ad"/>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9">
    <w:name w:val="副标题 字符"/>
    <w:basedOn w:val="a0"/>
    <w:link w:val="a8"/>
    <w:uiPriority w:val="11"/>
    <w:qFormat/>
    <w:rPr>
      <w:rFonts w:asciiTheme="majorHAnsi" w:eastAsiaTheme="majorEastAsia" w:hAnsiTheme="majorHAnsi" w:cstheme="majorBidi"/>
      <w:color w:val="595959" w:themeColor="text1" w:themeTint="A6"/>
      <w:spacing w:val="15"/>
      <w:sz w:val="28"/>
      <w:szCs w:val="28"/>
    </w:rPr>
  </w:style>
  <w:style w:type="paragraph" w:styleId="af0">
    <w:name w:val="Quote"/>
    <w:basedOn w:val="a"/>
    <w:next w:val="a"/>
    <w:link w:val="af1"/>
    <w:uiPriority w:val="29"/>
    <w:qFormat/>
    <w:pPr>
      <w:spacing w:before="160" w:line="240" w:lineRule="auto"/>
      <w:jc w:val="center"/>
    </w:pPr>
    <w:rPr>
      <w:rFonts w:asciiTheme="minorHAnsi" w:eastAsiaTheme="minorEastAsia" w:hAnsiTheme="minorHAnsi" w:cstheme="minorBidi"/>
      <w:i/>
      <w:iCs/>
      <w:color w:val="404040" w:themeColor="text1" w:themeTint="BF"/>
    </w:rPr>
  </w:style>
  <w:style w:type="character" w:customStyle="1" w:styleId="af1">
    <w:name w:val="引用 字符"/>
    <w:basedOn w:val="a0"/>
    <w:link w:val="af0"/>
    <w:uiPriority w:val="29"/>
    <w:qFormat/>
    <w:rPr>
      <w:i/>
      <w:iCs/>
      <w:color w:val="404040" w:themeColor="text1" w:themeTint="BF"/>
    </w:rPr>
  </w:style>
  <w:style w:type="paragraph" w:styleId="af2">
    <w:name w:val="List Paragraph"/>
    <w:basedOn w:val="a"/>
    <w:uiPriority w:val="34"/>
    <w:qFormat/>
    <w:pPr>
      <w:spacing w:after="0" w:line="240" w:lineRule="auto"/>
      <w:ind w:left="720"/>
      <w:contextualSpacing/>
    </w:pPr>
    <w:rPr>
      <w:rFonts w:asciiTheme="minorHAnsi" w:eastAsiaTheme="minorEastAsia" w:hAnsiTheme="minorHAnsi" w:cstheme="minorBidi"/>
    </w:rPr>
  </w:style>
  <w:style w:type="character" w:customStyle="1" w:styleId="11">
    <w:name w:val="明显强调1"/>
    <w:basedOn w:val="a0"/>
    <w:uiPriority w:val="21"/>
    <w:qFormat/>
    <w:rPr>
      <w:i/>
      <w:iCs/>
      <w:color w:val="0F4761" w:themeColor="accent1" w:themeShade="BF"/>
    </w:rPr>
  </w:style>
  <w:style w:type="paragraph" w:styleId="af3">
    <w:name w:val="Intense Quote"/>
    <w:basedOn w:val="a"/>
    <w:next w:val="a"/>
    <w:link w:val="af4"/>
    <w:uiPriority w:val="30"/>
    <w:qFormat/>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EastAsia" w:hAnsiTheme="minorHAnsi" w:cstheme="minorBidi"/>
      <w:i/>
      <w:iCs/>
      <w:color w:val="0F4761" w:themeColor="accent1" w:themeShade="BF"/>
    </w:rPr>
  </w:style>
  <w:style w:type="character" w:customStyle="1" w:styleId="af4">
    <w:name w:val="明显引用 字符"/>
    <w:basedOn w:val="a0"/>
    <w:link w:val="af3"/>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7">
    <w:name w:val="页眉 字符"/>
    <w:basedOn w:val="a0"/>
    <w:link w:val="a6"/>
    <w:uiPriority w:val="99"/>
    <w:qFormat/>
    <w:rPr>
      <w:rFonts w:ascii="Times New Roman" w:eastAsia="宋体" w:hAnsi="Times New Roman" w:cs="黑体"/>
      <w:sz w:val="18"/>
      <w:szCs w:val="18"/>
    </w:rPr>
  </w:style>
  <w:style w:type="character" w:customStyle="1" w:styleId="a5">
    <w:name w:val="页脚 字符"/>
    <w:basedOn w:val="a0"/>
    <w:link w:val="a4"/>
    <w:uiPriority w:val="99"/>
    <w:qFormat/>
    <w:rPr>
      <w:rFonts w:ascii="Times New Roman" w:eastAsia="宋体" w:hAnsi="Times New Roman" w:cs="黑体"/>
      <w:sz w:val="18"/>
      <w:szCs w:val="18"/>
    </w:rPr>
  </w:style>
  <w:style w:type="paragraph" w:customStyle="1" w:styleId="13">
    <w:name w:val="修订1"/>
    <w:hidden/>
    <w:uiPriority w:val="99"/>
    <w:unhideWhenUsed/>
    <w:qFormat/>
    <w:rPr>
      <w:rFonts w:cs="黑体"/>
      <w:kern w:val="2"/>
      <w:sz w:val="21"/>
      <w:szCs w:val="22"/>
    </w:rPr>
  </w:style>
  <w:style w:type="paragraph" w:customStyle="1" w:styleId="14">
    <w:name w:val="样式1"/>
    <w:basedOn w:val="aa"/>
    <w:next w:val="1"/>
    <w:link w:val="15"/>
    <w:qFormat/>
    <w:pPr>
      <w:widowControl/>
      <w:spacing w:line="600" w:lineRule="exact"/>
      <w:ind w:firstLineChars="200" w:firstLine="640"/>
    </w:pPr>
    <w:rPr>
      <w:rFonts w:ascii="黑体" w:eastAsia="黑体" w:hAnsi="宋体" w:cs="黑体"/>
      <w:sz w:val="32"/>
      <w:szCs w:val="32"/>
    </w:rPr>
  </w:style>
  <w:style w:type="character" w:customStyle="1" w:styleId="ab">
    <w:name w:val="普通(网站) 字符"/>
    <w:basedOn w:val="a0"/>
    <w:link w:val="aa"/>
    <w:qFormat/>
    <w:rPr>
      <w:rFonts w:ascii="Calibri" w:eastAsia="宋体" w:hAnsi="Calibri" w:cs="Times New Roman"/>
      <w:kern w:val="2"/>
      <w:sz w:val="24"/>
      <w:szCs w:val="24"/>
    </w:rPr>
  </w:style>
  <w:style w:type="character" w:customStyle="1" w:styleId="15">
    <w:name w:val="样式1 字符"/>
    <w:basedOn w:val="ab"/>
    <w:link w:val="14"/>
    <w:qFormat/>
    <w:rPr>
      <w:rFonts w:ascii="黑体" w:eastAsia="黑体" w:hAnsi="宋体" w:cs="黑体"/>
      <w:kern w:val="2"/>
      <w:sz w:val="32"/>
      <w:szCs w:val="32"/>
    </w:rPr>
  </w:style>
  <w:style w:type="paragraph" w:customStyle="1" w:styleId="21">
    <w:name w:val="修订2"/>
    <w:hidden/>
    <w:uiPriority w:val="99"/>
    <w:semiHidden/>
    <w:qFormat/>
    <w:rPr>
      <w:rFonts w:cs="黑体"/>
      <w:kern w:val="2"/>
      <w:sz w:val="21"/>
      <w:szCs w:val="22"/>
    </w:rPr>
  </w:style>
  <w:style w:type="paragraph" w:styleId="af5">
    <w:name w:val="Revision"/>
    <w:hidden/>
    <w:uiPriority w:val="99"/>
    <w:unhideWhenUsed/>
    <w:rsid w:val="00867B93"/>
    <w:rPr>
      <w:rFonts w:cs="黑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74E1F905-CEB6-4606-B1E4-2DB08F88B4F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20</Pages>
  <Words>1378</Words>
  <Characters>7861</Characters>
  <Application>Microsoft Office Word</Application>
  <DocSecurity>0</DocSecurity>
  <Lines>65</Lines>
  <Paragraphs>18</Paragraphs>
  <ScaleCrop>false</ScaleCrop>
  <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锦明 王</dc:creator>
  <cp:lastModifiedBy>zg b</cp:lastModifiedBy>
  <cp:revision>55</cp:revision>
  <cp:lastPrinted>2026-07-10T08:45:00Z</cp:lastPrinted>
  <dcterms:created xsi:type="dcterms:W3CDTF">2026-07-14T08:43:00Z</dcterms:created>
  <dcterms:modified xsi:type="dcterms:W3CDTF">2026-07-30T01:02:00Z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4A005C837D7A45EF9229B75978CAE678_13</vt:lpwstr>
  </property>
  <property fmtid="{D5CDD505-2E9C-101B-9397-08002B2CF9AE}" pid="4" name="KSOTemplateDocerSaveRecord">
    <vt:lpwstr>eyJoZGlkIjoiZDJkMjg1YWMwMWE4MTFlMTI3N2E3NWI3NGQ4MTE3OGUiLCJ1c2VySWQiOiIxNDA5MTExNTY4In0=</vt:lpwstr>
  </property>
</Properties>
</file>