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spacing w:before="0" w:beforeAutospacing="0" w:after="0" w:afterAutospacing="0" w:line="600" w:lineRule="exact"/>
        <w:jc w:val="center"/>
        <w:rPr>
          <w:rFonts w:hint="eastAsia" w:ascii="方正小标宋简体" w:hAnsi="方正小标宋简体" w:eastAsia="方正小标宋简体" w:cs="方正小标宋简体"/>
          <w:kern w:val="2"/>
          <w:sz w:val="36"/>
          <w:szCs w:val="36"/>
        </w:rPr>
      </w:pPr>
      <w:bookmarkStart w:id="13" w:name="_GoBack"/>
      <w:bookmarkEnd w:id="13"/>
      <w:bookmarkStart w:id="0" w:name="_Toc444845616"/>
      <w:bookmarkEnd w:id="0"/>
      <w:r>
        <w:rPr>
          <w:rFonts w:hint="eastAsia" w:ascii="方正小标宋简体" w:hAnsi="方正小标宋简体" w:eastAsia="方正小标宋简体" w:cs="方正小标宋简体"/>
          <w:kern w:val="2"/>
          <w:sz w:val="36"/>
          <w:szCs w:val="36"/>
        </w:rPr>
        <w:t>上海市海域使用论证报告评审工作</w:t>
      </w:r>
      <w:bookmarkStart w:id="1" w:name="_Toc444845617"/>
      <w:bookmarkEnd w:id="1"/>
      <w:r>
        <w:rPr>
          <w:rFonts w:hint="eastAsia" w:ascii="方正小标宋简体" w:hAnsi="方正小标宋简体" w:eastAsia="方正小标宋简体" w:cs="方正小标宋简体"/>
          <w:kern w:val="2"/>
          <w:sz w:val="36"/>
          <w:szCs w:val="36"/>
        </w:rPr>
        <w:t>实施办法</w:t>
      </w:r>
    </w:p>
    <w:p>
      <w:pPr>
        <w:pStyle w:val="12"/>
        <w:widowControl/>
        <w:shd w:val="clear" w:color="auto" w:fill="FCFCFC"/>
        <w:spacing w:before="0" w:beforeAutospacing="0" w:after="0" w:afterAutospacing="0" w:line="600" w:lineRule="exact"/>
        <w:ind w:firstLine="640"/>
        <w:rPr>
          <w:rFonts w:hint="eastAsia" w:ascii="宋体" w:eastAsia="宋体" w:cs="宋体"/>
        </w:rPr>
      </w:pPr>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第一条（目的和依据）</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为了规范海域使用论证报告评审工作，优化项目用海方案，集约节约用海，提高海域使用审批的科学性和行政效率，根据《中华人民共和国海域使用管理法》《上海市海域使用管理办法》《上海市水务局行政审批事项委托评审管理办法》及国家有关规定，制定本办法。</w:t>
      </w:r>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第二条（评审形式）</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海域使用论证报告分为海域使用论证报告书和海域使用论证报告表。</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海域使用论证报告评审分为以下两种形式：</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（一）会议评审；</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（二）函审。</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海域使用论证报告书采用会议评审的方式；海域使用论证报告表可以采用函审的方式，也可以采用会议评审的方式。</w:t>
      </w:r>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第三条（主管部门）</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上海市海洋局（以下简称市海洋局）负责海域使用论证报告的评审工作。</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市海洋局可以委托上海市海洋局行政服务中心（以下简称行政服务中心）承担具体评审工作。</w:t>
      </w:r>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第四条（委托评审）</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行政服务中心依据《上海市水务局上海市海洋局行政审批事项委托评审管理办法》的规定委托专业服务机构作为评审机构，承担海域使用论证报告的评审工作。</w:t>
      </w:r>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第五条（回避原则）</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委托评审任务实行回避原则。承担或者参与某一行政审批事项前期研究工作，或者与项目单位、前期研究单位存在关联关系的专业服务机构，不得承担同一行政审批事项的评审工作。</w:t>
      </w:r>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第六条（评审专家库）</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市海洋局按照《海域使用论证评审专家库管理办法》（国海管字</w:t>
      </w:r>
      <w:bookmarkStart w:id="2" w:name="_Hlk160723411"/>
      <w:r>
        <w:rPr>
          <w:rFonts w:hint="eastAsia" w:ascii="仿宋_GB2312" w:eastAsia="仿宋_GB2312" w:cs="微软雅黑"/>
          <w:color w:val="333333"/>
          <w:sz w:val="32"/>
          <w:szCs w:val="32"/>
        </w:rPr>
        <w:t>〔2004〕90号</w:t>
      </w:r>
      <w:bookmarkEnd w:id="2"/>
      <w:r>
        <w:rPr>
          <w:rFonts w:hint="eastAsia" w:ascii="仿宋_GB2312" w:eastAsia="仿宋_GB2312" w:cs="微软雅黑"/>
          <w:color w:val="333333"/>
          <w:sz w:val="32"/>
          <w:szCs w:val="32"/>
        </w:rPr>
        <w:t>）及本市有关规定，组建本市海域使用论证评审专家库并负责管理。</w:t>
      </w:r>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第七条（评审时间）</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市海洋局应当自收到海域使用论证报告之日起10个工作日内对海域使用论证报告进行评审。</w:t>
      </w:r>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第八条（专家组组成）</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评审机构应当根据用海项目论证等级和重点，参照《海域使用论证报告评审专家选聘方向》（附表一）从国家和本市两级海域使用论证评审专家库中选聘评审专家组成员。</w:t>
      </w:r>
    </w:p>
    <w:p>
      <w:pPr>
        <w:pStyle w:val="12"/>
        <w:widowControl/>
        <w:spacing w:before="0" w:beforeAutospacing="0" w:after="0" w:afterAutospacing="0" w:line="600" w:lineRule="exact"/>
        <w:ind w:firstLine="640" w:firstLineChars="200"/>
        <w:jc w:val="both"/>
        <w:rPr>
          <w:rFonts w:hint="eastAsia" w:ascii="仿宋_GB2312" w:eastAsia="仿宋_GB2312" w:cs="微软雅黑"/>
          <w:sz w:val="32"/>
          <w:szCs w:val="32"/>
        </w:rPr>
      </w:pPr>
      <w:r>
        <w:rPr>
          <w:rFonts w:hint="eastAsia" w:ascii="仿宋_GB2312" w:eastAsia="仿宋_GB2312" w:cs="仿宋_GB2312"/>
          <w:sz w:val="32"/>
          <w:szCs w:val="32"/>
        </w:rPr>
        <w:t>专家组人数应为单数，且5名以上（含5名）。</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sz w:val="32"/>
          <w:szCs w:val="32"/>
        </w:rPr>
        <w:t>专家组组长必须由海域使用论证国家级评</w:t>
      </w:r>
      <w:r>
        <w:rPr>
          <w:rFonts w:hint="eastAsia" w:ascii="仿宋_GB2312" w:eastAsia="仿宋_GB2312" w:cs="微软雅黑"/>
          <w:color w:val="333333"/>
          <w:sz w:val="32"/>
          <w:szCs w:val="32"/>
        </w:rPr>
        <w:t>审专家库中的专家担任。</w:t>
      </w:r>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第九条（会议评审程序）</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海域使用论证报告书的会议评审程序主要包括：评审准备、踏勘现场、召开专家评审会议、形成专家组意见。</w:t>
      </w:r>
      <w:bookmarkStart w:id="3" w:name="_Toc223768826"/>
      <w:bookmarkEnd w:id="3"/>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第十条（评审准备）</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评审机构自收到海域使用论证报告之日起2个工作日内确定专家组成员，并在召开评审会议3个工作日之前将海域使用论证报告送达评审专家审阅。</w:t>
      </w:r>
    </w:p>
    <w:p>
      <w:pPr>
        <w:spacing w:line="600" w:lineRule="exact"/>
        <w:ind w:firstLine="640" w:firstLineChars="200"/>
        <w:rPr>
          <w:rFonts w:hint="eastAsia" w:ascii="黑体" w:eastAsia="黑体" w:cs="Times New Roman"/>
          <w:sz w:val="32"/>
          <w:szCs w:val="32"/>
        </w:rPr>
      </w:pPr>
      <w:bookmarkStart w:id="4" w:name="_Toc223768828"/>
      <w:bookmarkEnd w:id="4"/>
      <w:r>
        <w:rPr>
          <w:rFonts w:hint="eastAsia" w:ascii="黑体" w:eastAsia="黑体" w:cs="Times New Roman"/>
          <w:sz w:val="32"/>
          <w:szCs w:val="32"/>
        </w:rPr>
        <w:t>第十一条（踏勘现场）</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sz w:val="32"/>
          <w:szCs w:val="32"/>
        </w:rPr>
        <w:t>评审机构应当在召开专家评审会议之前，组织评审专家到现场踏勘</w:t>
      </w:r>
      <w:r>
        <w:rPr>
          <w:rFonts w:hint="eastAsia" w:ascii="仿宋_GB2312" w:eastAsia="仿宋_GB2312" w:cs="微软雅黑"/>
          <w:color w:val="333333"/>
          <w:sz w:val="32"/>
          <w:szCs w:val="32"/>
        </w:rPr>
        <w:t>用海项目所在海域开发利用现状、海洋生态与环境现状、周边海域的敏感区及分布等主要情况。</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因客观条件限制不能组织现场踏勘的，可通过观看现场视频资料等其他方式进行。</w:t>
      </w:r>
    </w:p>
    <w:p>
      <w:pPr>
        <w:spacing w:line="600" w:lineRule="exact"/>
        <w:ind w:firstLine="640" w:firstLineChars="200"/>
        <w:rPr>
          <w:rFonts w:hint="eastAsia" w:ascii="黑体" w:eastAsia="黑体" w:cs="Times New Roman"/>
          <w:sz w:val="32"/>
          <w:szCs w:val="32"/>
        </w:rPr>
      </w:pPr>
      <w:bookmarkStart w:id="5" w:name="_Toc223768829"/>
      <w:bookmarkEnd w:id="5"/>
      <w:r>
        <w:rPr>
          <w:rFonts w:hint="eastAsia" w:ascii="黑体" w:eastAsia="黑体" w:cs="Times New Roman"/>
          <w:sz w:val="32"/>
          <w:szCs w:val="32"/>
        </w:rPr>
        <w:t>第十二条（召开专家评审会）</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专家评审会议由经专家组成员推选的专家组组长主持，按照以下程序进行：</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（一）听取用海申请人关于项目的设计和建设方案以及项目论证单位关于海域使用论证报告的编制情况介绍。</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（二）专家对存疑问题进行提问，申请人和项目论证单位应当客观回答专家提出的有关问题。</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bookmarkStart w:id="6" w:name="_Toc223768830"/>
      <w:bookmarkEnd w:id="6"/>
      <w:r>
        <w:rPr>
          <w:rFonts w:hint="eastAsia" w:ascii="仿宋_GB2312" w:eastAsia="仿宋_GB2312" w:cs="微软雅黑"/>
          <w:color w:val="333333"/>
          <w:sz w:val="32"/>
          <w:szCs w:val="32"/>
        </w:rPr>
        <w:t>（三）专家发表对海域使用论证报告的明确意见和建议。</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专家评审会议期间，专家可查阅由申请人提供的海域使用项目可行性研究报告、设计方案、相关专题研究报告，以及相关行业主管部门评审（审核）意见等技术文件或者资料。</w:t>
      </w:r>
    </w:p>
    <w:p>
      <w:pPr>
        <w:spacing w:line="600" w:lineRule="exact"/>
        <w:ind w:firstLine="640" w:firstLineChars="200"/>
        <w:rPr>
          <w:rFonts w:hint="eastAsia" w:ascii="黑体" w:eastAsia="黑体" w:cs="Times New Roman"/>
          <w:sz w:val="32"/>
          <w:szCs w:val="32"/>
        </w:rPr>
      </w:pPr>
      <w:bookmarkStart w:id="7" w:name="_Toc224463972"/>
      <w:bookmarkEnd w:id="7"/>
      <w:bookmarkStart w:id="8" w:name="_Toc224531198"/>
      <w:bookmarkEnd w:id="8"/>
      <w:bookmarkStart w:id="9" w:name="_Toc223833599"/>
      <w:bookmarkEnd w:id="9"/>
      <w:bookmarkStart w:id="10" w:name="_Toc223768954"/>
      <w:bookmarkEnd w:id="10"/>
      <w:bookmarkStart w:id="11" w:name="_Toc223833856"/>
      <w:bookmarkEnd w:id="11"/>
      <w:bookmarkStart w:id="12" w:name="_Toc223768831"/>
      <w:bookmarkEnd w:id="12"/>
      <w:r>
        <w:rPr>
          <w:rFonts w:hint="eastAsia" w:ascii="黑体" w:eastAsia="黑体" w:cs="Times New Roman"/>
          <w:sz w:val="32"/>
          <w:szCs w:val="32"/>
        </w:rPr>
        <w:t>第十三条（形成专家组意见）</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专家组评审意见由专家组组长在归纳和总结专家评审意见的基础上提出，经多数评审专家同意后，由专家组组长签字确认。评审意见应明确海域使用论证结论可行或者不可行。</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专家组认为海域使用论证结论可行，但报告需修改完善的，用海申请人应当将修改后的海域使用论证报告交评审机构。评审机构应当将修改后的海域使用论证报告再次听取专家组组长意见。</w:t>
      </w:r>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第十四条（函审程序）</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海域使用论证报告表的函审程序主要包括：函审准备、专家审阅、形成专家组意见。</w:t>
      </w:r>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第十五条（函审准备）</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评审机构应当自收到海域使用论证报告之日起2个工作日内选聘并联系专家组成员，指定评审专家组组长，并明确专家意见反馈时间。</w:t>
      </w:r>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第十六条（专家审阅）</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专家在规定时间内审阅海域使用论证报告，填写《海域使用论证报告专家评审意见表》（附表二），并反馈至评审机构。</w:t>
      </w:r>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第十七条（形成专家组意见）</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评审机构应当在收齐专家意见后提交给专家组组长，专家组组长按照本办法第十一条规定出具专家组评审意见。</w:t>
      </w:r>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第十八条（评审报告）</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评审机构应当按照下列要求编制评审报告：</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（一）科学全面的概括项目情况、专家意见和相关部门意见；</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（二）格式规范，基本信息完整；</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（三）结论客观公正。</w:t>
      </w:r>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第十九条（评审意见效力）</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评审报告、专家组评审意见及修改后的海域使用论证报告，应作为市海洋局审核项目用海的重要依据。</w:t>
      </w:r>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第二十条（报告有效期）</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海域使用论证报告自评审通过之日起三年内有效，在有效期内，申请海域使用权续期或者分期申请用海的，可以不再进行海域使用论证。</w:t>
      </w:r>
    </w:p>
    <w:p>
      <w:pPr>
        <w:spacing w:line="600" w:lineRule="exact"/>
        <w:ind w:firstLine="640" w:firstLineChars="200"/>
        <w:rPr>
          <w:rFonts w:hint="eastAsia" w:ascii="黑体" w:eastAsia="黑体" w:cs="Times New Roman"/>
          <w:sz w:val="32"/>
          <w:szCs w:val="32"/>
        </w:rPr>
      </w:pPr>
      <w:r>
        <w:rPr>
          <w:rFonts w:hint="eastAsia" w:ascii="黑体" w:eastAsia="黑体" w:cs="Times New Roman"/>
          <w:sz w:val="32"/>
          <w:szCs w:val="32"/>
        </w:rPr>
        <w:t>第二十一条（施行日期）</w:t>
      </w:r>
    </w:p>
    <w:p>
      <w:pPr>
        <w:pStyle w:val="12"/>
        <w:widowControl/>
        <w:spacing w:before="0" w:beforeAutospacing="0" w:after="0" w:afterAutospacing="0" w:line="600" w:lineRule="exact"/>
        <w:ind w:firstLine="640" w:firstLineChars="200"/>
        <w:jc w:val="both"/>
        <w:rPr>
          <w:rFonts w:hint="eastAsia" w:ascii="仿宋_GB2312" w:eastAsia="仿宋_GB2312" w:cs="微软雅黑"/>
          <w:color w:val="333333"/>
          <w:sz w:val="32"/>
          <w:szCs w:val="32"/>
        </w:rPr>
      </w:pPr>
      <w:r>
        <w:rPr>
          <w:rFonts w:hint="eastAsia" w:ascii="仿宋_GB2312" w:eastAsia="仿宋_GB2312" w:cs="微软雅黑"/>
          <w:color w:val="333333"/>
          <w:sz w:val="32"/>
          <w:szCs w:val="32"/>
        </w:rPr>
        <w:t>本办法自2024年5月5日起施行，有效期为5年。</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br w:type="page"/>
      </w:r>
    </w:p>
    <w:p>
      <w:pPr>
        <w:pStyle w:val="17"/>
        <w:widowControl w:val="0"/>
        <w:numPr>
          <w:ilvl w:val="0"/>
          <w:numId w:val="0"/>
        </w:numPr>
        <w:spacing w:before="156" w:beforeLines="50" w:after="156" w:afterLines="50" w:line="400" w:lineRule="exact"/>
        <w:ind w:left="181"/>
        <w:jc w:val="center"/>
        <w:rPr>
          <w:rFonts w:hint="eastAsia" w:ascii="方正小标宋简体" w:hAnsi="方正小标宋简体" w:eastAsia="方正小标宋简体" w:cs="方正小标宋简体"/>
          <w:sz w:val="36"/>
          <w:szCs w:val="36"/>
        </w:rPr>
      </w:pPr>
      <w:r>
        <w:rPr>
          <w:sz w:val="36"/>
        </w:rPr>
        <mc:AlternateContent>
          <mc:Choice Requires="wps">
            <w:drawing>
              <wp:anchor distT="0" distB="0" distL="114300" distR="114300" simplePos="0" relativeHeight="251659264" behindDoc="0" locked="0" layoutInCell="1" allowOverlap="1">
                <wp:simplePos x="0" y="0"/>
                <wp:positionH relativeFrom="column">
                  <wp:posOffset>-331470</wp:posOffset>
                </wp:positionH>
                <wp:positionV relativeFrom="paragraph">
                  <wp:posOffset>-344805</wp:posOffset>
                </wp:positionV>
                <wp:extent cx="960120" cy="404495"/>
                <wp:effectExtent l="0" t="0" r="0" b="0"/>
                <wp:wrapNone/>
                <wp:docPr id="2" name="文本框 2"/>
                <wp:cNvGraphicFramePr/>
                <a:graphic xmlns:a="http://schemas.openxmlformats.org/drawingml/2006/main">
                  <a:graphicData uri="http://schemas.microsoft.com/office/word/2010/wordprocessingShape">
                    <wps:wsp>
                      <wps:cNvSpPr txBox="1"/>
                      <wps:spPr>
                        <a:xfrm>
                          <a:off x="795655" y="651510"/>
                          <a:ext cx="960120" cy="404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rPr>
                            </w:pPr>
                            <w:r>
                              <w:rPr>
                                <w:rFonts w:hint="eastAsia" w:ascii="黑体" w:hAnsi="黑体" w:eastAsia="黑体" w:cs="黑体"/>
                                <w:sz w:val="32"/>
                                <w:szCs w:val="32"/>
                              </w:rPr>
                              <w:t>附表一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pt;margin-top:-27.15pt;height:31.85pt;width:75.6pt;z-index:251659264;mso-width-relative:page;mso-height-relative:page;" filled="f" stroked="f" coordsize="21600,21600" o:gfxdata="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Pyd&#10;munaAAAACAEAAA8AAAAAAAAAAQAgAAAAOAAAAGRycy9kb3ducmV2LnhtbFBLAQIUABQAAAAIAIdO&#10;4kC57Be7RAIAAG8EAAAOAAAAAAAAAAEAIAAAAD8BAABkcnMvZTJvRG9jLnhtbFBLBQYAAAAABgAG&#10;AFkBAAD1BQAAAAA=&#10;">
                <v:fill on="f" focussize="0,0"/>
                <v:stroke on="f" weight="0.5pt"/>
                <v:imagedata o:title=""/>
                <o:lock v:ext="edit" aspectratio="f"/>
                <v:textbox>
                  <w:txbxContent>
                    <w:p>
                      <w:pPr>
                        <w:rPr>
                          <w:rFonts w:hint="eastAsia" w:ascii="黑体" w:hAnsi="黑体" w:eastAsia="黑体" w:cs="黑体"/>
                          <w:sz w:val="32"/>
                          <w:szCs w:val="32"/>
                        </w:rPr>
                      </w:pPr>
                      <w:r>
                        <w:rPr>
                          <w:rFonts w:hint="eastAsia" w:ascii="黑体" w:hAnsi="黑体" w:eastAsia="黑体" w:cs="黑体"/>
                          <w:sz w:val="32"/>
                          <w:szCs w:val="32"/>
                        </w:rPr>
                        <w:t>附表一</w:t>
                      </w:r>
                    </w:p>
                  </w:txbxContent>
                </v:textbox>
              </v:shape>
            </w:pict>
          </mc:Fallback>
        </mc:AlternateContent>
      </w:r>
      <w:r>
        <w:rPr>
          <w:rFonts w:hint="eastAsia" w:ascii="方正小标宋简体" w:hAnsi="方正小标宋简体" w:eastAsia="方正小标宋简体" w:cs="方正小标宋简体"/>
          <w:sz w:val="36"/>
          <w:szCs w:val="36"/>
        </w:rPr>
        <w:t>海域使用论证报告评审专家选聘方向</w:t>
      </w:r>
    </w:p>
    <w:tbl>
      <w:tblPr>
        <w:tblStyle w:val="13"/>
        <w:tblW w:w="0" w:type="auto"/>
        <w:tblInd w:w="-80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5"/>
        <w:gridCol w:w="4646"/>
        <w:gridCol w:w="680"/>
        <w:gridCol w:w="680"/>
        <w:gridCol w:w="680"/>
        <w:gridCol w:w="680"/>
        <w:gridCol w:w="680"/>
        <w:gridCol w:w="680"/>
        <w:gridCol w:w="6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trPr>
        <w:tc>
          <w:tcPr>
            <w:tcW w:w="5381" w:type="dxa"/>
            <w:gridSpan w:val="2"/>
            <w:vMerge w:val="restart"/>
            <w:tcBorders>
              <w:top w:val="single" w:color="auto" w:sz="8" w:space="0"/>
              <w:left w:val="single" w:color="auto" w:sz="8"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用 海 类 型</w:t>
            </w:r>
          </w:p>
        </w:tc>
        <w:tc>
          <w:tcPr>
            <w:tcW w:w="680" w:type="dxa"/>
            <w:gridSpan w:val="7"/>
            <w:tcBorders>
              <w:top w:val="single" w:color="auto" w:sz="8" w:space="0"/>
              <w:left w:val="single" w:color="auto" w:sz="4" w:space="0"/>
              <w:bottom w:val="single" w:color="auto" w:sz="8" w:space="0"/>
              <w:right w:val="single" w:color="auto" w:sz="8"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专家所从事的专业方向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trPr>
        <w:tc>
          <w:tcPr>
            <w:tcW w:w="10027" w:type="dxa"/>
            <w:gridSpan w:val="2"/>
            <w:vMerge w:val="continue"/>
            <w:tcBorders>
              <w:top w:val="single" w:color="auto" w:sz="8"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680" w:type="dxa"/>
            <w:tcBorders>
              <w:top w:val="single" w:color="auto" w:sz="8" w:space="0"/>
              <w:left w:val="single" w:color="auto" w:sz="4" w:space="0"/>
              <w:bottom w:val="single" w:color="auto" w:sz="4" w:space="0"/>
              <w:right w:val="single" w:color="auto" w:sz="4" w:space="0"/>
            </w:tcBorders>
            <w:vAlign w:val="center"/>
          </w:tcPr>
          <w:p>
            <w:pPr>
              <w:snapToGrid w:val="0"/>
              <w:rPr>
                <w:rFonts w:hint="eastAsia" w:ascii="仿宋_GB2312" w:hAnsi="仿宋_GB2312" w:eastAsia="仿宋_GB2312" w:cs="仿宋_GB2312"/>
                <w:sz w:val="18"/>
                <w:szCs w:val="24"/>
              </w:rPr>
            </w:pPr>
            <w:r>
              <w:rPr>
                <w:rFonts w:hint="eastAsia" w:ascii="仿宋_GB2312" w:hAnsi="仿宋_GB2312" w:eastAsia="仿宋_GB2312" w:cs="仿宋_GB2312"/>
                <w:sz w:val="18"/>
              </w:rPr>
              <w:t>海洋水文、地质地貌</w:t>
            </w:r>
          </w:p>
        </w:tc>
        <w:tc>
          <w:tcPr>
            <w:tcW w:w="680" w:type="dxa"/>
            <w:tcBorders>
              <w:top w:val="single" w:color="auto" w:sz="8" w:space="0"/>
              <w:left w:val="single" w:color="auto" w:sz="4" w:space="0"/>
              <w:bottom w:val="single" w:color="auto" w:sz="4" w:space="0"/>
              <w:right w:val="single" w:color="auto" w:sz="4" w:space="0"/>
            </w:tcBorders>
            <w:vAlign w:val="center"/>
          </w:tcPr>
          <w:p>
            <w:pPr>
              <w:snapToGrid w:val="0"/>
              <w:rPr>
                <w:rFonts w:hint="eastAsia" w:ascii="仿宋_GB2312" w:hAnsi="仿宋_GB2312" w:eastAsia="仿宋_GB2312" w:cs="仿宋_GB2312"/>
                <w:sz w:val="18"/>
              </w:rPr>
            </w:pPr>
            <w:r>
              <w:rPr>
                <w:rFonts w:hint="eastAsia" w:ascii="仿宋_GB2312" w:hAnsi="仿宋_GB2312" w:eastAsia="仿宋_GB2312" w:cs="仿宋_GB2312"/>
                <w:sz w:val="18"/>
              </w:rPr>
              <w:t>船舶与海洋工程</w:t>
            </w:r>
          </w:p>
        </w:tc>
        <w:tc>
          <w:tcPr>
            <w:tcW w:w="680" w:type="dxa"/>
            <w:tcBorders>
              <w:top w:val="single" w:color="auto" w:sz="8"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18"/>
              </w:rPr>
            </w:pPr>
            <w:r>
              <w:rPr>
                <w:rFonts w:hint="eastAsia" w:ascii="仿宋_GB2312" w:hAnsi="仿宋_GB2312" w:eastAsia="仿宋_GB2312" w:cs="仿宋_GB2312"/>
                <w:sz w:val="18"/>
              </w:rPr>
              <w:t>水利工程</w:t>
            </w:r>
          </w:p>
        </w:tc>
        <w:tc>
          <w:tcPr>
            <w:tcW w:w="680" w:type="dxa"/>
            <w:tcBorders>
              <w:top w:val="single" w:color="auto" w:sz="8" w:space="0"/>
              <w:left w:val="single" w:color="auto" w:sz="4" w:space="0"/>
              <w:bottom w:val="single" w:color="auto" w:sz="4" w:space="0"/>
              <w:right w:val="single" w:color="auto" w:sz="4" w:space="0"/>
            </w:tcBorders>
            <w:vAlign w:val="center"/>
          </w:tcPr>
          <w:p>
            <w:pPr>
              <w:snapToGrid w:val="0"/>
              <w:rPr>
                <w:rFonts w:hint="eastAsia" w:ascii="仿宋_GB2312" w:hAnsi="仿宋_GB2312" w:eastAsia="仿宋_GB2312" w:cs="仿宋_GB2312"/>
                <w:sz w:val="18"/>
              </w:rPr>
            </w:pPr>
            <w:r>
              <w:rPr>
                <w:rFonts w:hint="eastAsia" w:ascii="仿宋_GB2312" w:hAnsi="仿宋_GB2312" w:eastAsia="仿宋_GB2312" w:cs="仿宋_GB2312"/>
                <w:sz w:val="18"/>
              </w:rPr>
              <w:t>港口航道与海岸工程</w:t>
            </w:r>
          </w:p>
        </w:tc>
        <w:tc>
          <w:tcPr>
            <w:tcW w:w="680" w:type="dxa"/>
            <w:tcBorders>
              <w:top w:val="single" w:color="auto" w:sz="8"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18"/>
              </w:rPr>
            </w:pPr>
            <w:r>
              <w:rPr>
                <w:rFonts w:hint="eastAsia" w:ascii="仿宋_GB2312" w:hAnsi="仿宋_GB2312" w:eastAsia="仿宋_GB2312" w:cs="仿宋_GB2312"/>
                <w:sz w:val="18"/>
              </w:rPr>
              <w:t>测量工程</w:t>
            </w:r>
          </w:p>
        </w:tc>
        <w:tc>
          <w:tcPr>
            <w:tcW w:w="680" w:type="dxa"/>
            <w:tcBorders>
              <w:top w:val="single" w:color="auto" w:sz="8" w:space="0"/>
              <w:left w:val="single" w:color="auto" w:sz="4" w:space="0"/>
              <w:bottom w:val="single" w:color="auto" w:sz="4" w:space="0"/>
              <w:right w:val="single" w:color="auto" w:sz="4" w:space="0"/>
            </w:tcBorders>
            <w:vAlign w:val="center"/>
          </w:tcPr>
          <w:p>
            <w:pPr>
              <w:snapToGrid w:val="0"/>
              <w:rPr>
                <w:rFonts w:hint="eastAsia" w:ascii="仿宋_GB2312" w:hAnsi="仿宋_GB2312" w:eastAsia="仿宋_GB2312" w:cs="仿宋_GB2312"/>
                <w:sz w:val="18"/>
              </w:rPr>
            </w:pPr>
            <w:r>
              <w:rPr>
                <w:rFonts w:hint="eastAsia" w:ascii="仿宋_GB2312" w:hAnsi="仿宋_GB2312" w:eastAsia="仿宋_GB2312" w:cs="仿宋_GB2312"/>
                <w:sz w:val="18"/>
              </w:rPr>
              <w:t>海洋资源环境区划与管理</w:t>
            </w:r>
          </w:p>
        </w:tc>
        <w:tc>
          <w:tcPr>
            <w:tcW w:w="680" w:type="dxa"/>
            <w:tcBorders>
              <w:top w:val="single" w:color="auto" w:sz="8" w:space="0"/>
              <w:left w:val="single" w:color="auto" w:sz="4" w:space="0"/>
              <w:bottom w:val="single" w:color="auto" w:sz="4" w:space="0"/>
              <w:right w:val="single" w:color="auto" w:sz="8" w:space="0"/>
            </w:tcBorders>
            <w:vAlign w:val="center"/>
          </w:tcPr>
          <w:p>
            <w:pPr>
              <w:snapToGrid w:val="0"/>
              <w:rPr>
                <w:rFonts w:hint="eastAsia" w:ascii="仿宋_GB2312" w:hAnsi="仿宋_GB2312" w:eastAsia="仿宋_GB2312" w:cs="仿宋_GB2312"/>
                <w:sz w:val="18"/>
              </w:rPr>
            </w:pPr>
            <w:r>
              <w:rPr>
                <w:rFonts w:hint="eastAsia" w:ascii="仿宋_GB2312" w:hAnsi="仿宋_GB2312" w:eastAsia="仿宋_GB2312" w:cs="仿宋_GB2312"/>
                <w:sz w:val="18"/>
              </w:rPr>
              <w:t>海洋渔业科学、经济学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5" w:type="dxa"/>
            <w:vMerge w:val="restart"/>
            <w:tcBorders>
              <w:top w:val="single" w:color="auto" w:sz="4" w:space="0"/>
              <w:left w:val="single" w:color="auto" w:sz="8" w:space="0"/>
              <w:bottom w:val="single" w:color="auto" w:sz="4" w:space="0"/>
              <w:right w:val="single" w:color="auto" w:sz="4" w:space="0"/>
            </w:tcBorders>
            <w:vAlign w:val="center"/>
          </w:tcPr>
          <w:p>
            <w:pPr>
              <w:pStyle w:val="15"/>
              <w:spacing w:line="29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渔业</w:t>
            </w:r>
          </w:p>
          <w:p>
            <w:pPr>
              <w:spacing w:line="29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rPr>
              <w:t>用海</w:t>
            </w:r>
          </w:p>
        </w:tc>
        <w:tc>
          <w:tcPr>
            <w:tcW w:w="4646" w:type="dxa"/>
            <w:tcBorders>
              <w:top w:val="single" w:color="auto" w:sz="4" w:space="0"/>
              <w:left w:val="single" w:color="auto" w:sz="4" w:space="0"/>
              <w:bottom w:val="single" w:color="auto" w:sz="4" w:space="0"/>
              <w:right w:val="single" w:color="auto" w:sz="4" w:space="0"/>
            </w:tcBorders>
          </w:tcPr>
          <w:p>
            <w:pPr>
              <w:pStyle w:val="15"/>
              <w:spacing w:line="290" w:lineRule="exact"/>
              <w:ind w:firstLine="0" w:firstLineChars="0"/>
              <w:rPr>
                <w:rFonts w:hint="eastAsia" w:ascii="仿宋_GB2312" w:hAnsi="仿宋_GB2312" w:eastAsia="仿宋_GB2312" w:cs="仿宋_GB2312"/>
                <w:szCs w:val="18"/>
              </w:rPr>
            </w:pPr>
            <w:r>
              <w:rPr>
                <w:rFonts w:hint="eastAsia" w:ascii="仿宋_GB2312" w:hAnsi="仿宋_GB2312" w:eastAsia="仿宋_GB2312" w:cs="仿宋_GB2312"/>
                <w:sz w:val="18"/>
                <w:szCs w:val="18"/>
              </w:rPr>
              <w:t>渔业基础设施用海，如渔业码头、引桥、堤坝、渔港港池、渔港航道、附属的仓储地、重要苗种繁殖场所及陆上海水养殖场的取排水口等</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90" w:lineRule="exact"/>
              <w:ind w:firstLine="0" w:firstLineChars="0"/>
              <w:rPr>
                <w:rFonts w:hint="eastAsia" w:ascii="仿宋_GB2312" w:hAnsi="仿宋_GB2312" w:eastAsia="仿宋_GB2312" w:cs="仿宋_GB2312"/>
                <w:szCs w:val="18"/>
              </w:rPr>
            </w:pPr>
            <w:r>
              <w:rPr>
                <w:rFonts w:hint="eastAsia" w:ascii="仿宋_GB2312" w:hAnsi="仿宋_GB2312" w:eastAsia="仿宋_GB2312" w:cs="仿宋_GB2312"/>
                <w:sz w:val="18"/>
                <w:szCs w:val="18"/>
              </w:rPr>
              <w:t>围海养殖用海，如海珍品围海、人工设附着物养殖等</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90" w:lineRule="exact"/>
              <w:ind w:firstLine="0" w:firstLineChars="0"/>
              <w:rPr>
                <w:rFonts w:hint="eastAsia" w:ascii="仿宋_GB2312" w:hAnsi="仿宋_GB2312" w:eastAsia="仿宋_GB2312" w:cs="仿宋_GB2312"/>
                <w:szCs w:val="18"/>
              </w:rPr>
            </w:pPr>
            <w:r>
              <w:rPr>
                <w:rFonts w:hint="eastAsia" w:ascii="仿宋_GB2312" w:hAnsi="仿宋_GB2312" w:eastAsia="仿宋_GB2312" w:cs="仿宋_GB2312"/>
                <w:sz w:val="18"/>
                <w:szCs w:val="18"/>
              </w:rPr>
              <w:t>开放式养殖用海，如大型深水网箱、底播增养殖、苔茷养殖、提水养殖、各类人工鱼礁等</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5" w:type="dxa"/>
            <w:vMerge w:val="restart"/>
            <w:tcBorders>
              <w:top w:val="single" w:color="auto" w:sz="4" w:space="0"/>
              <w:left w:val="single" w:color="auto" w:sz="8" w:space="0"/>
              <w:bottom w:val="single" w:color="auto" w:sz="4" w:space="0"/>
              <w:right w:val="single" w:color="auto" w:sz="4" w:space="0"/>
            </w:tcBorders>
            <w:vAlign w:val="center"/>
          </w:tcPr>
          <w:p>
            <w:pPr>
              <w:spacing w:line="29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rPr>
              <w:t>工业用海</w:t>
            </w: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9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盐业用海，包括盐田、盐田取排水口、蓄水池、盐业码头、引桥及港池等用海</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jc w:val="center"/>
              <w:rPr>
                <w:rFonts w:hint="eastAsia" w:ascii="仿宋_GB2312" w:hAnsi="仿宋_GB2312" w:eastAsia="仿宋_GB2312" w:cs="仿宋_GB2312"/>
                <w:sz w:val="18"/>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90" w:lineRule="exact"/>
              <w:ind w:firstLine="0" w:firstLineChars="0"/>
              <w:rPr>
                <w:rFonts w:hint="eastAsia" w:ascii="仿宋_GB2312" w:hAnsi="仿宋_GB2312" w:eastAsia="仿宋_GB2312" w:cs="仿宋_GB2312"/>
                <w:szCs w:val="18"/>
              </w:rPr>
            </w:pPr>
            <w:r>
              <w:rPr>
                <w:rFonts w:hint="eastAsia" w:ascii="仿宋_GB2312" w:hAnsi="仿宋_GB2312" w:eastAsia="仿宋_GB2312" w:cs="仿宋_GB2312"/>
                <w:sz w:val="18"/>
                <w:szCs w:val="18"/>
              </w:rPr>
              <w:t>固体矿产开采用海，如海砂勘探开发、海洋底矿产资源开发、天然气水合物勘探开发等</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9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油气开采用海，如海洋石油（气）平台、油气开采用栈桥、浮式储油装置、海底管线、油气开采用人工岛及其连陆或连岛道路等</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pStyle w:val="15"/>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9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船舶工业用海，包括船厂的厂区、码头、引桥、平台、船坞、滑道、堤坝、港池及其它设施等的用海</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jc w:val="center"/>
              <w:rPr>
                <w:rFonts w:hint="eastAsia" w:ascii="仿宋_GB2312" w:hAnsi="仿宋_GB2312" w:eastAsia="仿宋_GB2312" w:cs="仿宋_GB2312"/>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7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电力工业用海（一），如火电厂、核电厂的厂区、码头、引桥、平台、港池、堤坝、机座墩和塔架、水下发电设施、取排水口、蓄水池、沉淀池及温排水区等</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szCs w:val="24"/>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7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电力工业用海（二），如潮汐发电、波浪发电、温差发电、地热发电、海洋生物质能等海洋能源开发利用用海</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6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电力工业用海（三），如海洋风力发电、太阳能发电的厂区、码头、引桥、平台、港池、机座墩和塔架等</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szCs w:val="24"/>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6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海水综合利用用海（一），如生活海水利用，海水直接利用，海水淡化，海水热泵，高位池（提水）养殖等</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6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海水综合利用用海（二），如利用海水降温、增温，海水脱硫，工业海水利用等</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jc w:val="center"/>
              <w:rPr>
                <w:rFonts w:hint="eastAsia" w:ascii="仿宋_GB2312" w:hAnsi="仿宋_GB2312" w:eastAsia="仿宋_GB2312" w:cs="仿宋_GB2312"/>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6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其它工业用海，如水产品加工厂、化工厂、钢铁厂、海上各类工厂用海，促淤冲淤、浅海水库、海床底温泉、海底地下水开发用海等</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szCs w:val="24"/>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5" w:type="dxa"/>
            <w:vMerge w:val="restart"/>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交通运输用海</w:t>
            </w: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6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港口用海（一），如集装箱、煤炭、矿石、散杂货码头及引桥、平台、港池、堤坝、堆场等</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6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港口用海（二），如液体化工、原油、成品油、天然气（含LNG、LPG）、其它危险品码头及引桥、平台、港池、堤坝、堆场等</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5" w:type="dxa"/>
            <w:vMerge w:val="restart"/>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交通运输用海</w:t>
            </w: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6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航道、锚地用海，如主航道、支航道，锚地、避风锚地等(含灯桩、立标及浮式航标灯等海上航行标志所使用的海域)</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路桥用海，如跨海桥梁（含顺岸路桥），栈桥等</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海上机场及其附属工程用海</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5" w:type="dxa"/>
            <w:vMerge w:val="restart"/>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旅游娱乐用海</w:t>
            </w: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旅游基础设施用海，如旅游码头、游艇基地、水上运动基地、海洋（水下）世界、海洋主题公园、滨海生态公园、漂浮式旅游设施等的引桥、港池、堤坝、设施、景观建筑、旅游平台、高脚屋、旅游用人工岛及宾馆饭店等</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szCs w:val="24"/>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浴场、游乐场用海，如海洋浴场、滑泥（泥浴）场、游艇、帆板、冲浪、潜水、水下观光、垂钓、海洋地质景观、海洋动植物景观等</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5" w:type="dxa"/>
            <w:vMerge w:val="restart"/>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海底工程用海</w:t>
            </w: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电缆管道（一）用海，如海底电（光）缆、海底输水管道、无毒无害物质输送管道等</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电缆管道（二）用海，如海底石油天然气等输送管道、有毒有害及危险品物质输送管道、海洋排污管道等</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海底隧道用海，如海底交通隧道及其附属设施、海底管线隧道及其附属设施等</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hint="eastAsia" w:ascii="仿宋_GB2312" w:hAnsi="仿宋_GB2312" w:eastAsia="仿宋_GB2312" w:cs="仿宋_GB2312"/>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海底场馆用海，如粉煤灰和废弃物储藏、海底资源物资储藏、海底水族馆、海底仓库及储罐等</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5" w:type="dxa"/>
            <w:vMerge w:val="restart"/>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rPr>
              <w:t>排污倾倒用海</w:t>
            </w: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污水达标排放（一）用海，如低放射性废液排海、造纸废水排海、大型温排水等</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ind w:left="360" w:hanging="360"/>
              <w:jc w:val="center"/>
              <w:rPr>
                <w:rFonts w:hint="eastAsia" w:ascii="仿宋_GB2312" w:hAnsi="仿宋_GB2312" w:eastAsia="仿宋_GB2312" w:cs="仿宋_GB2312"/>
                <w:kern w:val="0"/>
                <w:sz w:val="18"/>
                <w:szCs w:val="20"/>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ind w:left="360" w:hanging="360"/>
              <w:jc w:val="center"/>
              <w:rPr>
                <w:rFonts w:hint="eastAsia" w:ascii="仿宋_GB2312" w:hAnsi="仿宋_GB2312" w:eastAsia="仿宋_GB2312" w:cs="仿宋_GB2312"/>
                <w:kern w:val="0"/>
                <w:sz w:val="18"/>
                <w:szCs w:val="20"/>
              </w:rPr>
            </w:pPr>
            <w:r>
              <w:rPr>
                <w:rFonts w:hint="eastAsia" w:ascii="仿宋_GB2312" w:hAnsi="仿宋_GB2312" w:eastAsia="仿宋_GB2312" w:cs="仿宋_GB2312"/>
                <w:kern w:val="0"/>
                <w:sz w:val="18"/>
                <w:szCs w:val="20"/>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ind w:left="360" w:hanging="360"/>
              <w:jc w:val="center"/>
              <w:rPr>
                <w:rFonts w:hint="eastAsia" w:ascii="仿宋_GB2312" w:hAnsi="仿宋_GB2312" w:eastAsia="仿宋_GB2312" w:cs="仿宋_GB2312"/>
                <w:kern w:val="0"/>
                <w:sz w:val="18"/>
                <w:szCs w:val="20"/>
              </w:rPr>
            </w:pPr>
            <w:r>
              <w:rPr>
                <w:rFonts w:hint="eastAsia" w:ascii="仿宋_GB2312" w:hAnsi="仿宋_GB2312" w:eastAsia="仿宋_GB2312" w:cs="仿宋_GB2312"/>
                <w:kern w:val="0"/>
                <w:sz w:val="18"/>
                <w:szCs w:val="20"/>
              </w:rPr>
              <w:t>▲</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ind w:left="360" w:hanging="360"/>
              <w:jc w:val="center"/>
              <w:rPr>
                <w:rFonts w:hint="eastAsia" w:ascii="仿宋_GB2312" w:hAnsi="仿宋_GB2312" w:eastAsia="仿宋_GB2312" w:cs="仿宋_GB2312"/>
                <w:kern w:val="0"/>
                <w:sz w:val="18"/>
                <w:szCs w:val="20"/>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ind w:left="360" w:hanging="360"/>
              <w:jc w:val="center"/>
              <w:rPr>
                <w:rFonts w:hint="eastAsia" w:ascii="仿宋_GB2312" w:hAnsi="仿宋_GB2312" w:eastAsia="仿宋_GB2312" w:cs="仿宋_GB2312"/>
                <w:kern w:val="0"/>
                <w:sz w:val="18"/>
                <w:szCs w:val="20"/>
              </w:rPr>
            </w:pPr>
            <w:r>
              <w:rPr>
                <w:rFonts w:hint="eastAsia" w:ascii="仿宋_GB2312" w:hAnsi="仿宋_GB2312" w:eastAsia="仿宋_GB2312" w:cs="仿宋_GB2312"/>
                <w:kern w:val="0"/>
                <w:sz w:val="18"/>
                <w:szCs w:val="20"/>
              </w:rPr>
              <w:t>▲</w:t>
            </w:r>
          </w:p>
        </w:tc>
        <w:tc>
          <w:tcPr>
            <w:tcW w:w="680" w:type="dxa"/>
            <w:tcBorders>
              <w:top w:val="single" w:color="auto" w:sz="4" w:space="0"/>
              <w:left w:val="single" w:color="auto" w:sz="4" w:space="0"/>
              <w:bottom w:val="single" w:color="auto" w:sz="4" w:space="0"/>
              <w:right w:val="single" w:color="auto" w:sz="8" w:space="0"/>
            </w:tcBorders>
            <w:vAlign w:val="center"/>
          </w:tcPr>
          <w:p>
            <w:pPr>
              <w:spacing w:line="280" w:lineRule="exact"/>
              <w:ind w:left="360" w:hanging="360"/>
              <w:jc w:val="center"/>
              <w:rPr>
                <w:rFonts w:hint="eastAsia" w:ascii="仿宋_GB2312" w:hAnsi="仿宋_GB2312" w:eastAsia="仿宋_GB2312" w:cs="仿宋_GB2312"/>
                <w:kern w:val="0"/>
                <w:sz w:val="18"/>
                <w:szCs w:val="20"/>
              </w:rPr>
            </w:pPr>
            <w:r>
              <w:rPr>
                <w:rFonts w:hint="eastAsia" w:ascii="仿宋_GB2312" w:hAnsi="仿宋_GB2312" w:eastAsia="仿宋_GB2312" w:cs="仿宋_GB2312"/>
                <w:kern w:val="0"/>
                <w:sz w:val="18"/>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污水达标排放（二）用海，如工业和市政达标污废水排海，其他污（废）水海洋处置等</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疏浚物倾倒区用海，如海洋倾倒、疏浚物多次吹填、无毒无害固体废物海底填埋等</w:t>
            </w:r>
          </w:p>
        </w:tc>
        <w:tc>
          <w:tcPr>
            <w:tcW w:w="6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35" w:type="dxa"/>
            <w:vMerge w:val="restart"/>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rPr>
            </w:pPr>
            <w:r>
              <w:rPr>
                <w:rFonts w:hint="eastAsia" w:ascii="仿宋_GB2312" w:hAnsi="仿宋_GB2312" w:eastAsia="仿宋_GB2312" w:cs="仿宋_GB2312"/>
                <w:sz w:val="18"/>
              </w:rPr>
              <w:t>造地工程用海</w:t>
            </w: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城镇建设填海造地用海，如城镇建设填海，城区扩建填海，城镇景观填海，人工岛填海等</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农业填海造地用海，如滩涂围垦填海造地，海湾围垦填海造地，河口围垦填海造地，滩涂、河口、海湾围垦养殖等</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废弃物处置填海造地用海，如无毒、无害固体废弃物填海等</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35" w:type="dxa"/>
            <w:vMerge w:val="restart"/>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 w:val="18"/>
                <w:szCs w:val="24"/>
              </w:rPr>
            </w:pPr>
            <w:r>
              <w:rPr>
                <w:rFonts w:hint="eastAsia" w:ascii="仿宋_GB2312" w:hAnsi="仿宋_GB2312" w:eastAsia="仿宋_GB2312" w:cs="仿宋_GB2312"/>
                <w:sz w:val="18"/>
              </w:rPr>
              <w:t>特殊用海</w:t>
            </w: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科学研究、实验及教学用海</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381" w:type="dxa"/>
            <w:vMerge w:val="continue"/>
            <w:tcBorders>
              <w:top w:val="single" w:color="auto" w:sz="4" w:space="0"/>
              <w:left w:val="single" w:color="auto" w:sz="8" w:space="0"/>
              <w:bottom w:val="single" w:color="auto" w:sz="4" w:space="0"/>
              <w:right w:val="single" w:color="auto" w:sz="4" w:space="0"/>
            </w:tcBorders>
            <w:vAlign w:val="center"/>
          </w:tcPr>
          <w:p>
            <w:pPr>
              <w:rPr>
                <w:rFonts w:hint="eastAsia" w:ascii="仿宋_GB2312" w:hAnsi="仿宋_GB2312" w:eastAsia="仿宋_GB2312" w:cs="仿宋_GB2312"/>
              </w:rPr>
            </w:pPr>
          </w:p>
        </w:tc>
        <w:tc>
          <w:tcPr>
            <w:tcW w:w="4646"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海岸防护工程用海，如沿岸防浪堤、护岸、丁坝等</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before="156" w:after="156" w:line="280" w:lineRule="exact"/>
              <w:ind w:firstLine="0" w:firstLineChars="0"/>
              <w:jc w:val="center"/>
              <w:rPr>
                <w:rFonts w:hint="eastAsia" w:ascii="仿宋_GB2312" w:hAnsi="仿宋_GB2312" w:eastAsia="仿宋_GB2312" w:cs="仿宋_GB2312"/>
                <w:sz w:val="18"/>
                <w:szCs w:val="18"/>
              </w:rPr>
            </w:pPr>
          </w:p>
        </w:tc>
        <w:tc>
          <w:tcPr>
            <w:tcW w:w="680" w:type="dxa"/>
            <w:tcBorders>
              <w:top w:val="single" w:color="auto" w:sz="4" w:space="0"/>
              <w:left w:val="single" w:color="auto" w:sz="4" w:space="0"/>
              <w:bottom w:val="single" w:color="auto" w:sz="4" w:space="0"/>
              <w:right w:val="single" w:color="auto" w:sz="4" w:space="0"/>
            </w:tcBorders>
            <w:vAlign w:val="center"/>
          </w:tcPr>
          <w:p>
            <w:pPr>
              <w:pStyle w:val="15"/>
              <w:spacing w:before="156" w:after="156"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680" w:type="dxa"/>
            <w:tcBorders>
              <w:top w:val="single" w:color="auto" w:sz="4" w:space="0"/>
              <w:left w:val="single" w:color="auto" w:sz="4" w:space="0"/>
              <w:bottom w:val="single" w:color="auto" w:sz="4" w:space="0"/>
              <w:right w:val="single" w:color="auto" w:sz="8" w:space="0"/>
            </w:tcBorders>
            <w:vAlign w:val="center"/>
          </w:tcPr>
          <w:p>
            <w:pPr>
              <w:pStyle w:val="15"/>
              <w:spacing w:before="156" w:after="156" w:line="280" w:lineRule="exact"/>
              <w:ind w:firstLine="0" w:firstLineChars="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80" w:type="dxa"/>
            <w:gridSpan w:val="9"/>
            <w:tcBorders>
              <w:top w:val="single" w:color="auto" w:sz="4" w:space="0"/>
              <w:left w:val="single" w:color="auto" w:sz="8" w:space="0"/>
              <w:bottom w:val="single" w:color="auto" w:sz="8" w:space="0"/>
              <w:right w:val="single" w:color="auto" w:sz="8" w:space="0"/>
            </w:tcBorders>
          </w:tcPr>
          <w:p>
            <w:pPr>
              <w:pStyle w:val="15"/>
              <w:spacing w:before="156" w:after="156" w:line="280" w:lineRule="exact"/>
              <w:ind w:firstLine="0" w:firstLineChars="0"/>
              <w:rPr>
                <w:rFonts w:hint="eastAsia" w:ascii="楷体_GB2312" w:hAnsi="楷体_GB2312" w:eastAsia="楷体_GB2312" w:cs="楷体_GB2312"/>
                <w:sz w:val="18"/>
                <w:szCs w:val="18"/>
              </w:rPr>
            </w:pPr>
            <w:r>
              <w:rPr>
                <w:rFonts w:hint="eastAsia" w:ascii="楷体_GB2312" w:hAnsi="楷体_GB2312" w:eastAsia="楷体_GB2312" w:cs="楷体_GB2312"/>
                <w:sz w:val="18"/>
                <w:szCs w:val="18"/>
              </w:rPr>
              <w:t>注：选聘专家应充分考虑用海项目类型及海域使用论证报告的论证重点，专家组组长必须从国家级评审专家库中聘请。</w:t>
            </w:r>
          </w:p>
        </w:tc>
      </w:tr>
    </w:tbl>
    <w:p>
      <w:pPr>
        <w:pStyle w:val="17"/>
        <w:widowControl w:val="0"/>
        <w:numPr>
          <w:ilvl w:val="0"/>
          <w:numId w:val="0"/>
        </w:numPr>
        <w:spacing w:before="156" w:beforeLines="50" w:after="156" w:afterLines="50" w:line="340" w:lineRule="exact"/>
        <w:ind w:left="180"/>
        <w:jc w:val="both"/>
        <w:rPr>
          <w:rFonts w:hint="eastAsia" w:ascii="宋体" w:hAnsi="宋体" w:eastAsia="等线" w:cs="Arial"/>
          <w:b/>
          <w:kern w:val="2"/>
          <w:sz w:val="28"/>
          <w:szCs w:val="28"/>
        </w:rPr>
      </w:pPr>
      <w:r>
        <w:rPr>
          <w:rFonts w:hint="eastAsia" w:ascii="仿宋_GB2312" w:hAnsi="仿宋_GB2312" w:eastAsia="仿宋_GB2312" w:cs="仿宋_GB2312"/>
          <w:b/>
          <w:sz w:val="28"/>
          <w:szCs w:val="28"/>
        </w:rPr>
        <w:br w:type="page"/>
      </w:r>
    </w:p>
    <w:p>
      <w:pPr>
        <w:pStyle w:val="17"/>
        <w:widowControl w:val="0"/>
        <w:numPr>
          <w:ilvl w:val="0"/>
          <w:numId w:val="0"/>
        </w:numPr>
        <w:spacing w:before="0" w:beforeLines="0" w:after="0" w:afterLines="0" w:line="440" w:lineRule="exact"/>
        <w:ind w:left="181"/>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mc:AlternateContent>
          <mc:Choice Requires="wps">
            <w:drawing>
              <wp:anchor distT="0" distB="0" distL="114300" distR="114300" simplePos="0" relativeHeight="251660288" behindDoc="0" locked="0" layoutInCell="1" allowOverlap="1">
                <wp:simplePos x="0" y="0"/>
                <wp:positionH relativeFrom="column">
                  <wp:posOffset>-331470</wp:posOffset>
                </wp:positionH>
                <wp:positionV relativeFrom="paragraph">
                  <wp:posOffset>-344805</wp:posOffset>
                </wp:positionV>
                <wp:extent cx="960120" cy="4044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960120" cy="404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eastAsia="zh-CN"/>
                              </w:rPr>
                            </w:pPr>
                            <w:r>
                              <w:rPr>
                                <w:rFonts w:hint="eastAsia" w:ascii="黑体" w:hAnsi="黑体" w:eastAsia="黑体" w:cs="黑体"/>
                                <w:sz w:val="32"/>
                                <w:szCs w:val="32"/>
                              </w:rPr>
                              <w:t>附表</w:t>
                            </w:r>
                            <w:r>
                              <w:rPr>
                                <w:rFonts w:hint="eastAsia" w:ascii="黑体" w:hAnsi="黑体" w:eastAsia="黑体" w:cs="黑体"/>
                                <w:sz w:val="32"/>
                                <w:szCs w:val="32"/>
                                <w:lang w:eastAsia="zh-CN"/>
                              </w:rPr>
                              <w:t>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pt;margin-top:-27.15pt;height:31.85pt;width:75.6pt;z-index:251660288;mso-width-relative:page;mso-height-relative:page;" filled="f" stroked="f" coordsize="21600,21600" o:gfxdata="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D8nZrp2gAAAAgBAAAP&#10;AAAAAAAAAAEAIAAAADgAAABkcnMvZG93bnJldi54bWxQSwECFAAUAAAACACHTuJAYVazrjkCAABl&#10;BAAADgAAAAAAAAABACAAAAA/AQAAZHJzL2Uyb0RvYy54bWxQSwUGAAAAAAYABgBZAQAA6gUAAAAA&#10;">
                <v:fill on="f" focussize="0,0"/>
                <v:stroke on="f" weight="0.5pt"/>
                <v:imagedata o:title=""/>
                <o:lock v:ext="edit" aspectratio="f"/>
                <v:textbox>
                  <w:txbxContent>
                    <w:p>
                      <w:pPr>
                        <w:rPr>
                          <w:rFonts w:hint="eastAsia" w:ascii="黑体" w:hAnsi="黑体" w:eastAsia="黑体" w:cs="黑体"/>
                          <w:sz w:val="32"/>
                          <w:szCs w:val="32"/>
                          <w:lang w:eastAsia="zh-CN"/>
                        </w:rPr>
                      </w:pPr>
                      <w:r>
                        <w:rPr>
                          <w:rFonts w:hint="eastAsia" w:ascii="黑体" w:hAnsi="黑体" w:eastAsia="黑体" w:cs="黑体"/>
                          <w:sz w:val="32"/>
                          <w:szCs w:val="32"/>
                        </w:rPr>
                        <w:t>附表</w:t>
                      </w:r>
                      <w:r>
                        <w:rPr>
                          <w:rFonts w:hint="eastAsia" w:ascii="黑体" w:hAnsi="黑体" w:eastAsia="黑体" w:cs="黑体"/>
                          <w:sz w:val="32"/>
                          <w:szCs w:val="32"/>
                          <w:lang w:eastAsia="zh-CN"/>
                        </w:rPr>
                        <w:t>二</w:t>
                      </w:r>
                    </w:p>
                  </w:txbxContent>
                </v:textbox>
              </v:shape>
            </w:pict>
          </mc:Fallback>
        </mc:AlternateContent>
      </w:r>
      <w:r>
        <w:rPr>
          <w:rFonts w:hint="eastAsia" w:ascii="方正小标宋简体" w:hAnsi="方正小标宋简体" w:eastAsia="方正小标宋简体" w:cs="方正小标宋简体"/>
          <w:sz w:val="36"/>
          <w:szCs w:val="36"/>
        </w:rPr>
        <w:t>海域使用论证报告专家评审意见表</w:t>
      </w:r>
    </w:p>
    <w:p>
      <w:pPr>
        <w:pStyle w:val="15"/>
        <w:spacing w:line="400" w:lineRule="exact"/>
        <w:rPr>
          <w:rFonts w:hint="eastAsia"/>
          <w:sz w:val="28"/>
          <w:szCs w:val="28"/>
        </w:rPr>
      </w:pPr>
    </w:p>
    <w:p>
      <w:pPr>
        <w:pStyle w:val="15"/>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评审专家应按照论证的内容和要求，填写专家个人评审意见，阐明对海域使用论证报告的总体评价结论和具体的修改意见与建议。</w:t>
      </w:r>
    </w:p>
    <w:p>
      <w:pPr>
        <w:pStyle w:val="17"/>
        <w:numPr>
          <w:ilvl w:val="0"/>
          <w:numId w:val="0"/>
        </w:numPr>
        <w:spacing w:line="400" w:lineRule="exact"/>
        <w:jc w:val="both"/>
        <w:rPr>
          <w:rFonts w:hint="eastAsia" w:ascii="宋体" w:eastAsia="宋体"/>
          <w:kern w:val="2"/>
          <w:sz w:val="28"/>
          <w:szCs w:val="28"/>
        </w:rPr>
      </w:pPr>
    </w:p>
    <w:p>
      <w:pPr>
        <w:pStyle w:val="17"/>
        <w:numPr>
          <w:ilvl w:val="0"/>
          <w:numId w:val="0"/>
        </w:numPr>
        <w:spacing w:after="312" w:afterLines="100" w:line="400" w:lineRule="exact"/>
        <w:ind w:left="180"/>
        <w:rPr>
          <w:rFonts w:hint="eastAsia" w:ascii="方正小标宋简体" w:hAnsi="方正小标宋简体" w:eastAsia="方正小标宋简体" w:cs="方正小标宋简体"/>
          <w:kern w:val="2"/>
          <w:sz w:val="28"/>
          <w:szCs w:val="28"/>
        </w:rPr>
      </w:pPr>
      <w:r>
        <w:rPr>
          <w:rFonts w:hint="eastAsia" w:ascii="方正小标宋简体" w:hAnsi="方正小标宋简体" w:eastAsia="方正小标宋简体" w:cs="方正小标宋简体"/>
          <w:kern w:val="2"/>
          <w:sz w:val="28"/>
          <w:szCs w:val="28"/>
        </w:rPr>
        <w:t>海域使用论证报告专家评审意见表（第一页）</w:t>
      </w:r>
    </w:p>
    <w:tbl>
      <w:tblPr>
        <w:tblStyle w:val="13"/>
        <w:tblW w:w="843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8"/>
        <w:gridCol w:w="1980"/>
        <w:gridCol w:w="900"/>
        <w:gridCol w:w="653"/>
        <w:gridCol w:w="88"/>
        <w:gridCol w:w="1081"/>
        <w:gridCol w:w="207"/>
        <w:gridCol w:w="1224"/>
        <w:gridCol w:w="147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8" w:type="dxa"/>
            <w:tcBorders>
              <w:top w:val="double" w:color="000000" w:sz="6" w:space="0"/>
              <w:left w:val="double" w:color="000000" w:sz="6" w:space="0"/>
              <w:bottom w:val="single" w:color="000000" w:sz="6" w:space="0"/>
              <w:right w:val="single" w:color="000000" w:sz="6" w:space="0"/>
            </w:tcBorders>
          </w:tcPr>
          <w:p>
            <w:pPr>
              <w:spacing w:line="400" w:lineRule="exact"/>
              <w:jc w:val="distribute"/>
              <w:rPr>
                <w:rFonts w:hint="eastAsia" w:ascii="仿宋_GB2312" w:hAnsi="仿宋_GB2312" w:eastAsia="仿宋_GB2312" w:cs="仿宋_GB2312"/>
                <w:caps/>
                <w:smallCaps w:val="0"/>
                <w:sz w:val="18"/>
                <w:szCs w:val="18"/>
              </w:rPr>
            </w:pPr>
            <w:r>
              <w:rPr>
                <w:rFonts w:hint="eastAsia" w:ascii="仿宋_GB2312" w:hAnsi="仿宋_GB2312" w:eastAsia="仿宋_GB2312" w:cs="仿宋_GB2312"/>
                <w:caps/>
                <w:smallCaps w:val="0"/>
                <w:sz w:val="18"/>
                <w:szCs w:val="18"/>
              </w:rPr>
              <w:t>项目</w:t>
            </w:r>
          </w:p>
          <w:p>
            <w:pPr>
              <w:spacing w:line="400" w:lineRule="exact"/>
              <w:jc w:val="distribute"/>
              <w:rPr>
                <w:rFonts w:hint="eastAsia" w:ascii="仿宋_GB2312" w:hAnsi="仿宋_GB2312" w:eastAsia="仿宋_GB2312" w:cs="仿宋_GB2312"/>
                <w:caps/>
                <w:smallCaps w:val="0"/>
                <w:sz w:val="18"/>
                <w:szCs w:val="18"/>
              </w:rPr>
            </w:pPr>
            <w:r>
              <w:rPr>
                <w:rFonts w:hint="eastAsia" w:ascii="仿宋_GB2312" w:hAnsi="仿宋_GB2312" w:eastAsia="仿宋_GB2312" w:cs="仿宋_GB2312"/>
                <w:caps/>
                <w:smallCaps w:val="0"/>
                <w:sz w:val="18"/>
                <w:szCs w:val="18"/>
              </w:rPr>
              <w:t>名称</w:t>
            </w:r>
          </w:p>
        </w:tc>
        <w:tc>
          <w:tcPr>
            <w:tcW w:w="7609" w:type="dxa"/>
            <w:gridSpan w:val="8"/>
            <w:tcBorders>
              <w:top w:val="double" w:color="000000" w:sz="6" w:space="0"/>
              <w:left w:val="single" w:color="000000" w:sz="6" w:space="0"/>
              <w:bottom w:val="single" w:color="000000" w:sz="6" w:space="0"/>
              <w:right w:val="double" w:color="000000" w:sz="6" w:space="0"/>
            </w:tcBorders>
          </w:tcPr>
          <w:p>
            <w:pPr>
              <w:spacing w:line="400" w:lineRule="exact"/>
              <w:rPr>
                <w:rFonts w:hint="eastAsia" w:ascii="仿宋_GB2312" w:hAnsi="仿宋_GB2312" w:eastAsia="仿宋_GB2312" w:cs="仿宋_GB2312"/>
                <w:caps/>
                <w:smallCaps w:val="0"/>
                <w:sz w:val="18"/>
                <w:szCs w:val="1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jc w:val="center"/>
        </w:trPr>
        <w:tc>
          <w:tcPr>
            <w:tcW w:w="828" w:type="dxa"/>
            <w:tcBorders>
              <w:top w:val="single" w:color="000000" w:sz="6" w:space="0"/>
              <w:left w:val="double" w:color="000000" w:sz="6" w:space="0"/>
              <w:bottom w:val="single" w:color="000000" w:sz="6" w:space="0"/>
              <w:right w:val="single" w:color="000000" w:sz="6" w:space="0"/>
            </w:tcBorders>
          </w:tcPr>
          <w:p>
            <w:pPr>
              <w:spacing w:line="400" w:lineRule="exact"/>
              <w:jc w:val="distribute"/>
              <w:rPr>
                <w:rFonts w:hint="eastAsia" w:ascii="仿宋_GB2312" w:hAnsi="仿宋_GB2312" w:eastAsia="仿宋_GB2312" w:cs="仿宋_GB2312"/>
                <w:caps/>
                <w:smallCaps w:val="0"/>
                <w:sz w:val="18"/>
                <w:szCs w:val="18"/>
              </w:rPr>
            </w:pPr>
            <w:r>
              <w:rPr>
                <w:rFonts w:hint="eastAsia" w:ascii="仿宋_GB2312" w:hAnsi="仿宋_GB2312" w:eastAsia="仿宋_GB2312" w:cs="仿宋_GB2312"/>
                <w:caps/>
                <w:smallCaps w:val="0"/>
                <w:sz w:val="18"/>
                <w:szCs w:val="18"/>
              </w:rPr>
              <w:t>用海</w:t>
            </w:r>
          </w:p>
          <w:p>
            <w:pPr>
              <w:spacing w:line="400" w:lineRule="exact"/>
              <w:jc w:val="distribute"/>
              <w:rPr>
                <w:rFonts w:hint="eastAsia" w:ascii="仿宋_GB2312" w:hAnsi="仿宋_GB2312" w:eastAsia="仿宋_GB2312" w:cs="仿宋_GB2312"/>
                <w:caps/>
                <w:smallCaps w:val="0"/>
                <w:sz w:val="18"/>
                <w:szCs w:val="18"/>
              </w:rPr>
            </w:pPr>
            <w:r>
              <w:rPr>
                <w:rFonts w:hint="eastAsia" w:ascii="仿宋_GB2312" w:hAnsi="仿宋_GB2312" w:eastAsia="仿宋_GB2312" w:cs="仿宋_GB2312"/>
                <w:caps/>
                <w:smallCaps w:val="0"/>
                <w:sz w:val="18"/>
                <w:szCs w:val="18"/>
              </w:rPr>
              <w:t>申请者</w:t>
            </w:r>
          </w:p>
        </w:tc>
        <w:tc>
          <w:tcPr>
            <w:tcW w:w="3621" w:type="dxa"/>
            <w:gridSpan w:val="4"/>
            <w:tcBorders>
              <w:top w:val="single" w:color="000000" w:sz="6" w:space="0"/>
              <w:left w:val="single" w:color="000000" w:sz="6" w:space="0"/>
              <w:bottom w:val="single" w:color="000000" w:sz="6" w:space="0"/>
              <w:right w:val="single" w:color="auto" w:sz="4" w:space="0"/>
            </w:tcBorders>
          </w:tcPr>
          <w:p>
            <w:pPr>
              <w:spacing w:line="400" w:lineRule="exact"/>
              <w:rPr>
                <w:rFonts w:hint="eastAsia" w:ascii="仿宋_GB2312" w:hAnsi="仿宋_GB2312" w:eastAsia="仿宋_GB2312" w:cs="仿宋_GB2312"/>
                <w:caps/>
                <w:smallCaps w:val="0"/>
                <w:sz w:val="18"/>
                <w:szCs w:val="18"/>
              </w:rPr>
            </w:pPr>
          </w:p>
        </w:tc>
        <w:tc>
          <w:tcPr>
            <w:tcW w:w="1081" w:type="dxa"/>
            <w:tcBorders>
              <w:top w:val="single" w:color="000000" w:sz="6" w:space="0"/>
              <w:left w:val="single" w:color="auto" w:sz="4" w:space="0"/>
              <w:bottom w:val="single" w:color="000000" w:sz="6" w:space="0"/>
              <w:right w:val="single" w:color="auto" w:sz="4" w:space="0"/>
            </w:tcBorders>
            <w:vAlign w:val="center"/>
          </w:tcPr>
          <w:p>
            <w:pPr>
              <w:spacing w:line="400" w:lineRule="exact"/>
              <w:jc w:val="center"/>
              <w:rPr>
                <w:rFonts w:hint="eastAsia" w:ascii="仿宋_GB2312" w:hAnsi="仿宋_GB2312" w:eastAsia="仿宋_GB2312" w:cs="仿宋_GB2312"/>
                <w:caps/>
                <w:smallCaps w:val="0"/>
                <w:sz w:val="18"/>
                <w:szCs w:val="18"/>
              </w:rPr>
            </w:pPr>
            <w:r>
              <w:rPr>
                <w:rFonts w:hint="eastAsia" w:ascii="仿宋_GB2312" w:hAnsi="仿宋_GB2312" w:eastAsia="仿宋_GB2312" w:cs="仿宋_GB2312"/>
                <w:caps/>
                <w:smallCaps w:val="0"/>
                <w:sz w:val="18"/>
                <w:szCs w:val="18"/>
              </w:rPr>
              <w:t>论证单位</w:t>
            </w:r>
          </w:p>
        </w:tc>
        <w:tc>
          <w:tcPr>
            <w:tcW w:w="2907" w:type="dxa"/>
            <w:gridSpan w:val="3"/>
            <w:tcBorders>
              <w:top w:val="single" w:color="000000" w:sz="6" w:space="0"/>
              <w:left w:val="single" w:color="auto" w:sz="4" w:space="0"/>
              <w:bottom w:val="single" w:color="000000" w:sz="6" w:space="0"/>
              <w:right w:val="double" w:color="000000" w:sz="6" w:space="0"/>
            </w:tcBorders>
          </w:tcPr>
          <w:p>
            <w:pPr>
              <w:spacing w:line="400" w:lineRule="exact"/>
              <w:rPr>
                <w:rFonts w:hint="eastAsia" w:ascii="仿宋_GB2312" w:hAnsi="仿宋_GB2312" w:eastAsia="仿宋_GB2312" w:cs="仿宋_GB2312"/>
                <w:caps/>
                <w:smallCaps w:val="0"/>
                <w:sz w:val="18"/>
                <w:szCs w:val="1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8" w:type="dxa"/>
            <w:tcBorders>
              <w:top w:val="single" w:color="000000" w:sz="6" w:space="0"/>
              <w:left w:val="double" w:color="000000" w:sz="6" w:space="0"/>
              <w:bottom w:val="single" w:color="000000" w:sz="6" w:space="0"/>
              <w:right w:val="single" w:color="000000" w:sz="6" w:space="0"/>
            </w:tcBorders>
            <w:vAlign w:val="center"/>
          </w:tcPr>
          <w:p>
            <w:pPr>
              <w:spacing w:line="400" w:lineRule="exact"/>
              <w:jc w:val="distribute"/>
              <w:rPr>
                <w:rFonts w:hint="eastAsia" w:ascii="仿宋_GB2312" w:hAnsi="仿宋_GB2312" w:eastAsia="仿宋_GB2312" w:cs="仿宋_GB2312"/>
                <w:caps/>
                <w:smallCaps w:val="0"/>
                <w:sz w:val="18"/>
                <w:szCs w:val="18"/>
              </w:rPr>
            </w:pPr>
            <w:r>
              <w:rPr>
                <w:rFonts w:hint="eastAsia" w:ascii="仿宋_GB2312" w:hAnsi="仿宋_GB2312" w:eastAsia="仿宋_GB2312" w:cs="仿宋_GB2312"/>
                <w:caps/>
                <w:smallCaps w:val="0"/>
                <w:sz w:val="18"/>
                <w:szCs w:val="18"/>
              </w:rPr>
              <w:t>专家</w:t>
            </w:r>
          </w:p>
          <w:p>
            <w:pPr>
              <w:spacing w:line="400" w:lineRule="exact"/>
              <w:jc w:val="distribute"/>
              <w:rPr>
                <w:rFonts w:hint="eastAsia" w:ascii="仿宋_GB2312" w:hAnsi="仿宋_GB2312" w:eastAsia="仿宋_GB2312" w:cs="仿宋_GB2312"/>
                <w:caps/>
                <w:smallCaps w:val="0"/>
                <w:sz w:val="18"/>
                <w:szCs w:val="18"/>
              </w:rPr>
            </w:pPr>
            <w:r>
              <w:rPr>
                <w:rFonts w:hint="eastAsia" w:ascii="仿宋_GB2312" w:hAnsi="仿宋_GB2312" w:eastAsia="仿宋_GB2312" w:cs="仿宋_GB2312"/>
                <w:caps/>
                <w:smallCaps w:val="0"/>
                <w:sz w:val="18"/>
                <w:szCs w:val="18"/>
              </w:rPr>
              <w:t>姓名</w:t>
            </w: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exact"/>
              <w:rPr>
                <w:rFonts w:hint="eastAsia" w:ascii="仿宋_GB2312" w:hAnsi="仿宋_GB2312" w:eastAsia="仿宋_GB2312" w:cs="仿宋_GB2312"/>
                <w:caps/>
                <w:smallCaps w:val="0"/>
                <w:sz w:val="18"/>
                <w:szCs w:val="18"/>
              </w:rPr>
            </w:pPr>
          </w:p>
        </w:tc>
        <w:tc>
          <w:tcPr>
            <w:tcW w:w="900" w:type="dxa"/>
            <w:tcBorders>
              <w:top w:val="single" w:color="000000" w:sz="6" w:space="0"/>
              <w:left w:val="single" w:color="000000" w:sz="6" w:space="0"/>
              <w:bottom w:val="single" w:color="000000" w:sz="6" w:space="0"/>
              <w:right w:val="single" w:color="000000" w:sz="6" w:space="0"/>
            </w:tcBorders>
            <w:vAlign w:val="center"/>
          </w:tcPr>
          <w:p>
            <w:pPr>
              <w:spacing w:line="400" w:lineRule="exact"/>
              <w:ind w:left="-86" w:leftChars="-41"/>
              <w:jc w:val="center"/>
              <w:rPr>
                <w:rFonts w:hint="eastAsia" w:ascii="仿宋_GB2312" w:hAnsi="仿宋_GB2312" w:eastAsia="仿宋_GB2312" w:cs="仿宋_GB2312"/>
                <w:caps/>
                <w:smallCaps w:val="0"/>
                <w:sz w:val="18"/>
                <w:szCs w:val="18"/>
              </w:rPr>
            </w:pPr>
            <w:r>
              <w:rPr>
                <w:rFonts w:hint="eastAsia" w:ascii="仿宋_GB2312" w:hAnsi="仿宋_GB2312" w:eastAsia="仿宋_GB2312" w:cs="仿宋_GB2312"/>
                <w:caps/>
                <w:smallCaps w:val="0"/>
                <w:sz w:val="18"/>
                <w:szCs w:val="18"/>
              </w:rPr>
              <w:t>专家职称</w:t>
            </w:r>
          </w:p>
        </w:tc>
        <w:tc>
          <w:tcPr>
            <w:tcW w:w="2029" w:type="dxa"/>
            <w:gridSpan w:val="4"/>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hint="eastAsia" w:ascii="仿宋_GB2312" w:hAnsi="仿宋_GB2312" w:eastAsia="仿宋_GB2312" w:cs="仿宋_GB2312"/>
                <w:caps/>
                <w:smallCaps w:val="0"/>
                <w:sz w:val="18"/>
                <w:szCs w:val="18"/>
              </w:rPr>
            </w:pPr>
          </w:p>
        </w:tc>
        <w:tc>
          <w:tcPr>
            <w:tcW w:w="1224"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hint="eastAsia" w:ascii="仿宋_GB2312" w:hAnsi="仿宋_GB2312" w:eastAsia="仿宋_GB2312" w:cs="仿宋_GB2312"/>
                <w:caps/>
                <w:smallCaps w:val="0"/>
                <w:sz w:val="18"/>
                <w:szCs w:val="18"/>
              </w:rPr>
            </w:pPr>
            <w:r>
              <w:rPr>
                <w:rFonts w:hint="eastAsia" w:ascii="仿宋_GB2312" w:hAnsi="仿宋_GB2312" w:eastAsia="仿宋_GB2312" w:cs="仿宋_GB2312"/>
                <w:sz w:val="18"/>
                <w:szCs w:val="18"/>
              </w:rPr>
              <w:t>邮编</w:t>
            </w:r>
          </w:p>
        </w:tc>
        <w:tc>
          <w:tcPr>
            <w:tcW w:w="1476" w:type="dxa"/>
            <w:tcBorders>
              <w:top w:val="single" w:color="000000" w:sz="6" w:space="0"/>
              <w:left w:val="single" w:color="000000" w:sz="6" w:space="0"/>
              <w:bottom w:val="single" w:color="000000" w:sz="6" w:space="0"/>
              <w:right w:val="double" w:color="000000" w:sz="6" w:space="0"/>
            </w:tcBorders>
            <w:vAlign w:val="center"/>
          </w:tcPr>
          <w:p>
            <w:pPr>
              <w:spacing w:line="400" w:lineRule="exact"/>
              <w:jc w:val="center"/>
              <w:rPr>
                <w:rFonts w:hint="eastAsia" w:ascii="仿宋_GB2312" w:hAnsi="仿宋_GB2312" w:eastAsia="仿宋_GB2312" w:cs="仿宋_GB2312"/>
                <w:caps/>
                <w:smallCaps w:val="0"/>
                <w:sz w:val="18"/>
                <w:szCs w:val="1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jc w:val="center"/>
        </w:trPr>
        <w:tc>
          <w:tcPr>
            <w:tcW w:w="828" w:type="dxa"/>
            <w:tcBorders>
              <w:top w:val="single" w:color="000000" w:sz="6" w:space="0"/>
              <w:left w:val="double" w:color="000000" w:sz="6" w:space="0"/>
              <w:bottom w:val="single" w:color="000000" w:sz="6" w:space="0"/>
              <w:right w:val="single" w:color="000000" w:sz="6" w:space="0"/>
            </w:tcBorders>
            <w:vAlign w:val="center"/>
          </w:tcPr>
          <w:p>
            <w:pPr>
              <w:spacing w:line="400" w:lineRule="exact"/>
              <w:jc w:val="distribute"/>
              <w:rPr>
                <w:rFonts w:hint="eastAsia" w:ascii="仿宋_GB2312" w:hAnsi="仿宋_GB2312" w:eastAsia="仿宋_GB2312" w:cs="仿宋_GB2312"/>
                <w:caps/>
                <w:smallCaps w:val="0"/>
                <w:sz w:val="18"/>
                <w:szCs w:val="18"/>
              </w:rPr>
            </w:pPr>
            <w:r>
              <w:rPr>
                <w:rFonts w:hint="eastAsia" w:ascii="仿宋_GB2312" w:hAnsi="仿宋_GB2312" w:eastAsia="仿宋_GB2312" w:cs="仿宋_GB2312"/>
                <w:caps/>
                <w:smallCaps w:val="0"/>
                <w:sz w:val="18"/>
                <w:szCs w:val="18"/>
              </w:rPr>
              <w:t>专家所在单位</w:t>
            </w:r>
          </w:p>
        </w:tc>
        <w:tc>
          <w:tcPr>
            <w:tcW w:w="2880" w:type="dxa"/>
            <w:gridSpan w:val="2"/>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hint="eastAsia" w:ascii="仿宋_GB2312" w:hAnsi="仿宋_GB2312" w:eastAsia="仿宋_GB2312" w:cs="仿宋_GB2312"/>
                <w:sz w:val="18"/>
                <w:szCs w:val="18"/>
              </w:rPr>
            </w:pPr>
          </w:p>
        </w:tc>
        <w:tc>
          <w:tcPr>
            <w:tcW w:w="653"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电话</w:t>
            </w:r>
          </w:p>
        </w:tc>
        <w:tc>
          <w:tcPr>
            <w:tcW w:w="137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hint="eastAsia" w:ascii="仿宋_GB2312" w:hAnsi="仿宋_GB2312" w:eastAsia="仿宋_GB2312" w:cs="仿宋_GB2312"/>
                <w:sz w:val="18"/>
                <w:szCs w:val="18"/>
              </w:rPr>
            </w:pPr>
          </w:p>
        </w:tc>
        <w:tc>
          <w:tcPr>
            <w:tcW w:w="1224"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E-mail</w:t>
            </w:r>
          </w:p>
        </w:tc>
        <w:tc>
          <w:tcPr>
            <w:tcW w:w="1476" w:type="dxa"/>
            <w:tcBorders>
              <w:top w:val="single" w:color="000000" w:sz="6" w:space="0"/>
              <w:left w:val="single" w:color="000000" w:sz="6" w:space="0"/>
              <w:bottom w:val="single" w:color="000000" w:sz="6" w:space="0"/>
              <w:right w:val="double" w:color="000000" w:sz="6" w:space="0"/>
            </w:tcBorders>
            <w:vAlign w:val="center"/>
          </w:tcPr>
          <w:p>
            <w:pPr>
              <w:spacing w:line="400" w:lineRule="exact"/>
              <w:jc w:val="center"/>
              <w:rPr>
                <w:rFonts w:hint="eastAsia" w:ascii="仿宋_GB2312" w:hAnsi="仿宋_GB2312" w:eastAsia="仿宋_GB2312" w:cs="仿宋_GB2312"/>
                <w:sz w:val="18"/>
                <w:szCs w:val="1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790" w:hRule="atLeast"/>
          <w:jc w:val="center"/>
        </w:trPr>
        <w:tc>
          <w:tcPr>
            <w:tcW w:w="828" w:type="dxa"/>
            <w:tcBorders>
              <w:top w:val="single" w:color="auto" w:sz="4" w:space="0"/>
              <w:left w:val="double" w:color="000000" w:sz="6" w:space="0"/>
              <w:bottom w:val="double" w:color="000000" w:sz="6" w:space="0"/>
              <w:right w:val="single" w:color="000000" w:sz="6" w:space="0"/>
            </w:tcBorders>
            <w:vAlign w:val="center"/>
          </w:tcPr>
          <w:p>
            <w:pPr>
              <w:spacing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w:t>
            </w:r>
          </w:p>
          <w:p>
            <w:pPr>
              <w:spacing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家</w:t>
            </w:r>
          </w:p>
          <w:p>
            <w:pPr>
              <w:spacing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评</w:t>
            </w:r>
          </w:p>
          <w:p>
            <w:pPr>
              <w:spacing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审</w:t>
            </w:r>
          </w:p>
          <w:p>
            <w:pPr>
              <w:spacing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意</w:t>
            </w:r>
          </w:p>
          <w:p>
            <w:pPr>
              <w:spacing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见</w:t>
            </w:r>
          </w:p>
        </w:tc>
        <w:tc>
          <w:tcPr>
            <w:tcW w:w="7609" w:type="dxa"/>
            <w:gridSpan w:val="8"/>
            <w:tcBorders>
              <w:top w:val="single" w:color="auto" w:sz="4" w:space="0"/>
              <w:left w:val="single" w:color="000000" w:sz="6" w:space="0"/>
              <w:bottom w:val="double" w:color="000000" w:sz="6" w:space="0"/>
              <w:right w:val="double" w:color="000000" w:sz="6" w:space="0"/>
            </w:tcBorders>
          </w:tcPr>
          <w:p>
            <w:pPr>
              <w:numPr>
                <w:ilvl w:val="0"/>
                <w:numId w:val="2"/>
              </w:numPr>
              <w:spacing w:line="4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论证结论的依据是否充分，论证结论是否客观、可信；您是否同意海域使用论证报告的论证内容和论证结论；给出项目用海是否可行的具体理由和明确意见；</w:t>
            </w: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ind w:firstLine="4762" w:firstLineChars="2646"/>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评审专家（签名）：</w:t>
            </w:r>
          </w:p>
          <w:p>
            <w:pPr>
              <w:spacing w:line="400" w:lineRule="exact"/>
              <w:ind w:firstLine="352" w:firstLineChars="196"/>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年   月   日</w:t>
            </w:r>
          </w:p>
          <w:p>
            <w:pPr>
              <w:spacing w:line="400" w:lineRule="exact"/>
              <w:rPr>
                <w:rFonts w:hint="eastAsia" w:ascii="仿宋_GB2312" w:hAnsi="仿宋_GB2312" w:eastAsia="仿宋_GB2312" w:cs="仿宋_GB2312"/>
                <w:sz w:val="18"/>
                <w:szCs w:val="18"/>
              </w:rPr>
            </w:pPr>
          </w:p>
        </w:tc>
      </w:tr>
    </w:tbl>
    <w:p>
      <w:pPr>
        <w:pStyle w:val="15"/>
        <w:rPr>
          <w:rFonts w:hint="eastAsia" w:cs="Times New Roman"/>
          <w:kern w:val="0"/>
          <w:szCs w:val="20"/>
        </w:rPr>
      </w:pPr>
    </w:p>
    <w:p>
      <w:pPr>
        <w:pStyle w:val="17"/>
        <w:numPr>
          <w:ilvl w:val="0"/>
          <w:numId w:val="0"/>
        </w:numPr>
        <w:spacing w:after="312" w:afterLines="100" w:line="400" w:lineRule="exact"/>
        <w:ind w:left="180"/>
        <w:rPr>
          <w:rFonts w:hint="eastAsia" w:ascii="方正小标宋简体" w:hAnsi="方正小标宋简体" w:eastAsia="方正小标宋简体" w:cs="方正小标宋简体"/>
          <w:kern w:val="2"/>
          <w:sz w:val="28"/>
          <w:szCs w:val="28"/>
        </w:rPr>
      </w:pPr>
      <w:r>
        <w:rPr>
          <w:rFonts w:hint="eastAsia" w:ascii="方正小标宋简体" w:hAnsi="方正小标宋简体" w:eastAsia="方正小标宋简体" w:cs="方正小标宋简体"/>
          <w:kern w:val="2"/>
          <w:sz w:val="28"/>
          <w:szCs w:val="28"/>
        </w:rPr>
        <w:t>海域使用论证报告专家评审意见表（第二页）</w:t>
      </w:r>
    </w:p>
    <w:tbl>
      <w:tblPr>
        <w:tblStyle w:val="13"/>
        <w:tblW w:w="8655"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8"/>
        <w:gridCol w:w="782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078" w:hRule="atLeast"/>
          <w:jc w:val="center"/>
        </w:trPr>
        <w:tc>
          <w:tcPr>
            <w:tcW w:w="828" w:type="dxa"/>
            <w:tcBorders>
              <w:top w:val="double" w:color="000000" w:sz="6" w:space="0"/>
              <w:left w:val="double" w:color="000000" w:sz="6" w:space="0"/>
              <w:bottom w:val="double" w:color="000000" w:sz="6" w:space="0"/>
              <w:right w:val="single" w:color="000000" w:sz="6" w:space="0"/>
            </w:tcBorders>
            <w:vAlign w:val="center"/>
          </w:tcPr>
          <w:p>
            <w:pPr>
              <w:spacing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w:t>
            </w:r>
          </w:p>
          <w:p>
            <w:pPr>
              <w:spacing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家</w:t>
            </w:r>
          </w:p>
          <w:p>
            <w:pPr>
              <w:spacing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评</w:t>
            </w:r>
          </w:p>
          <w:p>
            <w:pPr>
              <w:spacing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审</w:t>
            </w:r>
          </w:p>
          <w:p>
            <w:pPr>
              <w:spacing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意</w:t>
            </w:r>
          </w:p>
          <w:p>
            <w:pPr>
              <w:spacing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见</w:t>
            </w:r>
          </w:p>
        </w:tc>
        <w:tc>
          <w:tcPr>
            <w:tcW w:w="7822" w:type="dxa"/>
            <w:tcBorders>
              <w:top w:val="double" w:color="000000" w:sz="6" w:space="0"/>
              <w:left w:val="single" w:color="000000" w:sz="6" w:space="0"/>
              <w:bottom w:val="double" w:color="000000" w:sz="6" w:space="0"/>
              <w:right w:val="double" w:color="000000" w:sz="6" w:space="0"/>
            </w:tcBorders>
          </w:tcPr>
          <w:p>
            <w:pPr>
              <w:numPr>
                <w:ilvl w:val="0"/>
                <w:numId w:val="2"/>
              </w:numPr>
              <w:spacing w:line="4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海域使用论证报告的优点及缺点；需要修改、补充和完善的内容（第二页）。</w:t>
            </w: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p>
            <w:pPr>
              <w:spacing w:line="400" w:lineRule="exact"/>
              <w:rPr>
                <w:rFonts w:hint="eastAsia" w:ascii="仿宋_GB2312" w:hAnsi="仿宋_GB2312" w:eastAsia="仿宋_GB2312" w:cs="仿宋_GB2312"/>
                <w:sz w:val="18"/>
                <w:szCs w:val="18"/>
              </w:rPr>
            </w:pPr>
          </w:p>
        </w:tc>
      </w:tr>
    </w:tbl>
    <w:p>
      <w:pPr>
        <w:jc w:val="left"/>
        <w:rPr>
          <w:rFonts w:hint="eastAsia" w:ascii="仿宋_GB2312" w:hAnsi="仿宋_GB2312" w:eastAsia="仿宋_GB2312" w:cs="仿宋_GB2312"/>
          <w:szCs w:val="24"/>
        </w:rPr>
      </w:pPr>
    </w:p>
    <w:p>
      <w:pPr>
        <w:ind w:firstLine="4800" w:firstLineChars="1500"/>
        <w:rPr>
          <w:rFonts w:ascii="仿宋_GB2312" w:eastAsia="仿宋_GB2312"/>
          <w:sz w:val="32"/>
          <w:szCs w:val="32"/>
        </w:rPr>
      </w:pPr>
    </w:p>
    <w:sectPr>
      <w:footerReference r:id="rId3" w:type="default"/>
      <w:pgSz w:w="11906" w:h="16838"/>
      <w:pgMar w:top="1720" w:right="1800" w:bottom="179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Luxi Sans">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suff w:val="nothing"/>
      <w:lvlText w:val="附　录　%1"/>
      <w:lvlJc w:val="left"/>
      <w:pPr>
        <w:ind w:left="0" w:firstLine="0"/>
      </w:pPr>
      <w:rPr>
        <w:rFonts w:hint="eastAsia" w:ascii="黑体" w:hAnsi="黑体" w:eastAsia="黑体"/>
        <w:b w:val="0"/>
        <w:i w:val="0"/>
        <w:sz w:val="21"/>
      </w:rPr>
    </w:lvl>
    <w:lvl w:ilvl="1" w:tentative="0">
      <w:start w:val="1"/>
      <w:numFmt w:val="decimal"/>
      <w:suff w:val="nothing"/>
      <w:lvlText w:val="%1.%2　"/>
      <w:lvlJc w:val="left"/>
      <w:pPr>
        <w:ind w:left="180" w:firstLine="0"/>
      </w:pPr>
      <w:rPr>
        <w:rFonts w:hint="eastAsia" w:ascii="黑体" w:hAnsi="黑体"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6F4329EC"/>
    <w:multiLevelType w:val="multilevel"/>
    <w:tmpl w:val="6F4329EC"/>
    <w:lvl w:ilvl="0" w:tentative="0">
      <w:start w:val="1"/>
      <w:numFmt w:val="japaneseCounting"/>
      <w:lvlText w:val="%1、"/>
      <w:lvlJc w:val="left"/>
      <w:pPr>
        <w:ind w:left="420" w:hanging="420"/>
      </w:pPr>
    </w:lvl>
    <w:lvl w:ilvl="1" w:tentative="0">
      <w:start w:val="4"/>
      <w:numFmt w:val="decimal"/>
      <w:lvlText w:val="%2、"/>
      <w:lvlJc w:val="left"/>
      <w:pPr>
        <w:ind w:left="780" w:hanging="36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 w:ilvl="0" w:tentative="1">
        <w:start w:val="1"/>
        <w:numFmt w:val="upperLetter"/>
        <w:pStyle w:val="16"/>
        <w:suff w:val="nothing"/>
        <w:lvlText w:val="附　录　%1"/>
        <w:lvlJc w:val="left"/>
        <w:pPr>
          <w:ind w:left="0" w:firstLine="0"/>
        </w:pPr>
        <w:rPr>
          <w:rFonts w:hint="eastAsia" w:ascii="黑体" w:hAnsi="黑体" w:eastAsia="黑体"/>
          <w:b w:val="0"/>
          <w:i w:val="0"/>
          <w:sz w:val="21"/>
        </w:rPr>
      </w:lvl>
    </w:lvlOverride>
    <w:lvlOverride w:ilvl="1">
      <w:startOverride w:val="1"/>
      <w:lvl w:ilvl="1" w:tentative="1">
        <w:start w:val="1"/>
        <w:numFmt w:val="decimal"/>
        <w:pStyle w:val="17"/>
        <w:suff w:val="nothing"/>
        <w:lvlText w:val="%1.%2　"/>
        <w:lvlJc w:val="left"/>
        <w:pPr>
          <w:ind w:left="180" w:firstLine="0"/>
        </w:pPr>
        <w:rPr>
          <w:rFonts w:hint="eastAsia" w:ascii="黑体" w:hAnsi="黑体" w:eastAsia="黑体"/>
          <w:b w:val="0"/>
          <w:i w:val="0"/>
          <w:spacing w:val="0"/>
          <w:w w:val="100"/>
          <w:kern w:val="21"/>
          <w:sz w:val="21"/>
        </w:rPr>
      </w:lvl>
    </w:lvlOverride>
    <w:lvlOverride w:ilvl="2">
      <w:startOverride w:val="1"/>
      <w:lvl w:ilvl="2" w:tentative="1">
        <w:start w:val="1"/>
        <w:numFmt w:val="decimal"/>
        <w:pStyle w:val="18"/>
        <w:suff w:val="nothing"/>
        <w:lvlText w:val="%1.%2.%3　"/>
        <w:lvlJc w:val="left"/>
        <w:pPr>
          <w:ind w:left="0" w:firstLine="0"/>
        </w:pPr>
        <w:rPr>
          <w:rFonts w:hint="eastAsia" w:ascii="黑体" w:hAnsi="黑体" w:eastAsia="黑体"/>
          <w:b w:val="0"/>
          <w:i w:val="0"/>
          <w:sz w:val="21"/>
        </w:rPr>
      </w:lvl>
    </w:lvlOverride>
    <w:lvlOverride w:ilvl="3">
      <w:startOverride w:val="1"/>
      <w:lvl w:ilvl="3" w:tentative="1">
        <w:start w:val="1"/>
        <w:numFmt w:val="decimal"/>
        <w:pStyle w:val="19"/>
        <w:suff w:val="nothing"/>
        <w:lvlText w:val="%1.%2.%3.%4　"/>
        <w:lvlJc w:val="left"/>
        <w:pPr>
          <w:ind w:left="0" w:firstLine="0"/>
        </w:pPr>
        <w:rPr>
          <w:rFonts w:hint="eastAsia" w:ascii="黑体" w:hAnsi="黑体" w:eastAsia="黑体"/>
          <w:b w:val="0"/>
          <w:i w:val="0"/>
          <w:sz w:val="21"/>
        </w:rPr>
      </w:lvl>
    </w:lvlOverride>
    <w:lvlOverride w:ilvl="4">
      <w:startOverride w:val="1"/>
      <w:lvl w:ilvl="4" w:tentative="1">
        <w:start w:val="1"/>
        <w:numFmt w:val="decimal"/>
        <w:pStyle w:val="20"/>
        <w:suff w:val="nothing"/>
        <w:lvlText w:val="%1.%2.%3.%4.%5　"/>
        <w:lvlJc w:val="left"/>
        <w:pPr>
          <w:ind w:left="0" w:firstLine="0"/>
        </w:pPr>
        <w:rPr>
          <w:rFonts w:hint="eastAsia" w:ascii="黑体" w:hAnsi="黑体" w:eastAsia="黑体"/>
          <w:b w:val="0"/>
          <w:i w:val="0"/>
          <w:sz w:val="21"/>
        </w:rPr>
      </w:lvl>
    </w:lvlOverride>
    <w:lvlOverride w:ilvl="5">
      <w:startOverride w:val="1"/>
      <w:lvl w:ilvl="5" w:tentative="1">
        <w:start w:val="1"/>
        <w:numFmt w:val="decimal"/>
        <w:pStyle w:val="21"/>
        <w:suff w:val="nothing"/>
        <w:lvlText w:val="%1.%2.%3.%4.%5.%6　"/>
        <w:lvlJc w:val="left"/>
        <w:pPr>
          <w:ind w:left="0" w:firstLine="0"/>
        </w:pPr>
        <w:rPr>
          <w:rFonts w:hint="eastAsia" w:ascii="黑体" w:hAnsi="黑体" w:eastAsia="黑体"/>
          <w:b w:val="0"/>
          <w:i w:val="0"/>
          <w:sz w:val="21"/>
        </w:rPr>
      </w:lvl>
    </w:lvlOverride>
    <w:lvlOverride w:ilvl="6">
      <w:startOverride w:val="1"/>
      <w:lvl w:ilvl="6" w:tentative="1">
        <w:start w:val="1"/>
        <w:numFmt w:val="decimal"/>
        <w:pStyle w:val="22"/>
        <w:suff w:val="nothing"/>
        <w:lvlText w:val="%1.%2.%3.%4.%5.%6.%7　"/>
        <w:lvlJc w:val="left"/>
        <w:pPr>
          <w:ind w:left="0" w:firstLine="0"/>
        </w:pPr>
        <w:rPr>
          <w:rFonts w:hint="eastAsia" w:ascii="黑体" w:hAnsi="黑体" w:eastAsia="黑体"/>
          <w:b w:val="0"/>
          <w:i w:val="0"/>
          <w:sz w:val="21"/>
        </w:rPr>
      </w:lvl>
    </w:lvlOverride>
    <w:lvlOverride w:ilvl="7">
      <w:startOverride w:val="1"/>
      <w:lvl w:ilvl="7" w:tentative="1">
        <w:start w:val="1"/>
        <w:numFmt w:val="decimal"/>
        <w:lvlText w:val="%1.%2.%3.%4.%5.%6.%7.%8"/>
        <w:lvlJc w:val="left"/>
        <w:pPr>
          <w:ind w:left="4394" w:hanging="1418"/>
        </w:pPr>
      </w:lvl>
    </w:lvlOverride>
    <w:lvlOverride w:ilvl="8">
      <w:startOverride w:val="1"/>
      <w:lvl w:ilvl="8" w:tentative="1">
        <w:start w:val="1"/>
        <w:numFmt w:val="decimal"/>
        <w:lvlText w:val="%1.%2.%3.%4.%5.%6.%7.%8.%9"/>
        <w:lvlJc w:val="left"/>
        <w:pPr>
          <w:ind w:left="5102" w:hanging="1700"/>
        </w:pPr>
      </w:lvl>
    </w:lvlOverride>
  </w:num>
  <w:num w:numId="2">
    <w:abstractNumId w:val="1"/>
    <w:lvlOverride w:ilvl="0">
      <w:startOverride w:val="1"/>
      <w:lvl w:ilvl="0" w:tentative="1">
        <w:start w:val="1"/>
        <w:numFmt w:val="japaneseCounting"/>
        <w:lvlText w:val="%1、"/>
        <w:lvlJc w:val="left"/>
        <w:pPr>
          <w:ind w:left="420" w:hanging="420"/>
        </w:pPr>
      </w:lvl>
    </w:lvlOverride>
    <w:lvlOverride w:ilvl="1">
      <w:startOverride w:val="4"/>
      <w:lvl w:ilvl="1" w:tentative="1">
        <w:start w:val="4"/>
        <w:numFmt w:val="decimal"/>
        <w:lvlText w:val="%2、"/>
        <w:lvlJc w:val="left"/>
        <w:pPr>
          <w:ind w:left="780" w:hanging="360"/>
        </w:pPr>
      </w:lvl>
    </w:lvlOverride>
    <w:lvlOverride w:ilvl="2">
      <w:startOverride w:val="1"/>
      <w:lvl w:ilvl="2" w:tentative="1">
        <w:start w:val="1"/>
        <w:numFmt w:val="lowerRoman"/>
        <w:lvlText w:val="%3."/>
        <w:lvlJc w:val="right"/>
        <w:pPr>
          <w:ind w:left="1260" w:hanging="420"/>
        </w:pPr>
      </w:lvl>
    </w:lvlOverride>
    <w:lvlOverride w:ilvl="3">
      <w:startOverride w:val="1"/>
      <w:lvl w:ilvl="3" w:tentative="1">
        <w:start w:val="1"/>
        <w:numFmt w:val="decimal"/>
        <w:lvlText w:val="%4."/>
        <w:lvlJc w:val="left"/>
        <w:pPr>
          <w:ind w:left="1680" w:hanging="420"/>
        </w:pPr>
      </w:lvl>
    </w:lvlOverride>
    <w:lvlOverride w:ilvl="4">
      <w:startOverride w:val="1"/>
      <w:lvl w:ilvl="4" w:tentative="1">
        <w:start w:val="1"/>
        <w:numFmt w:val="lowerLetter"/>
        <w:lvlText w:val="%5)"/>
        <w:lvlJc w:val="left"/>
        <w:pPr>
          <w:ind w:left="2100" w:hanging="420"/>
        </w:pPr>
      </w:lvl>
    </w:lvlOverride>
    <w:lvlOverride w:ilvl="5">
      <w:startOverride w:val="1"/>
      <w:lvl w:ilvl="5" w:tentative="1">
        <w:start w:val="1"/>
        <w:numFmt w:val="lowerRoman"/>
        <w:lvlText w:val="%6."/>
        <w:lvlJc w:val="right"/>
        <w:pPr>
          <w:ind w:left="2520" w:hanging="420"/>
        </w:pPr>
      </w:lvl>
    </w:lvlOverride>
    <w:lvlOverride w:ilvl="6">
      <w:startOverride w:val="1"/>
      <w:lvl w:ilvl="6" w:tentative="1">
        <w:start w:val="1"/>
        <w:numFmt w:val="decimal"/>
        <w:lvlText w:val="%7."/>
        <w:lvlJc w:val="left"/>
        <w:pPr>
          <w:ind w:left="2940" w:hanging="420"/>
        </w:pPr>
      </w:lvl>
    </w:lvlOverride>
    <w:lvlOverride w:ilvl="7">
      <w:startOverride w:val="1"/>
      <w:lvl w:ilvl="7" w:tentative="1">
        <w:start w:val="1"/>
        <w:numFmt w:val="lowerLetter"/>
        <w:lvlText w:val="%8)"/>
        <w:lvlJc w:val="left"/>
        <w:pPr>
          <w:ind w:left="3360" w:hanging="420"/>
        </w:pPr>
      </w:lvl>
    </w:lvlOverride>
    <w:lvlOverride w:ilvl="8">
      <w:startOverride w:val="1"/>
      <w:lvl w:ilvl="8" w:tentative="1">
        <w:start w:val="1"/>
        <w:numFmt w:val="lowerRoman"/>
        <w:lvlText w:val="%9."/>
        <w:lvlJc w:val="right"/>
        <w:pPr>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1"/>
  <w:compat>
    <w:spaceForUL/>
    <w:useFELayout/>
    <w:compatSetting w:name="compatibilityMode" w:uri="http://schemas.microsoft.com/office/word" w:val="15"/>
  </w:compat>
  <w:rsids>
    <w:rsidRoot w:val="00000000"/>
    <w:rsid w:val="3DDEA04C"/>
    <w:rsid w:val="FF48F7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toc 5"/>
    <w:basedOn w:val="1"/>
    <w:next w:val="1"/>
    <w:qFormat/>
    <w:uiPriority w:val="0"/>
    <w:pPr>
      <w:ind w:left="1680"/>
    </w:pPr>
  </w:style>
  <w:style w:type="paragraph" w:styleId="6">
    <w:name w:val="toc 3"/>
    <w:basedOn w:val="1"/>
    <w:next w:val="1"/>
    <w:qFormat/>
    <w:uiPriority w:val="0"/>
    <w:pPr>
      <w:ind w:left="84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4"/>
    <w:basedOn w:val="1"/>
    <w:next w:val="1"/>
    <w:qFormat/>
    <w:uiPriority w:val="0"/>
    <w:pPr>
      <w:ind w:left="1260"/>
    </w:pPr>
  </w:style>
  <w:style w:type="paragraph" w:styleId="11">
    <w:name w:val="toc 2"/>
    <w:basedOn w:val="1"/>
    <w:next w:val="1"/>
    <w:qFormat/>
    <w:uiPriority w:val="0"/>
    <w:pPr>
      <w:ind w:left="420"/>
    </w:pPr>
  </w:style>
  <w:style w:type="paragraph" w:styleId="12">
    <w:name w:val="Normal (Web)"/>
    <w:basedOn w:val="1"/>
    <w:qFormat/>
    <w:uiPriority w:val="0"/>
    <w:pPr>
      <w:spacing w:before="100" w:beforeAutospacing="1" w:after="100" w:afterAutospacing="1"/>
      <w:jc w:val="left"/>
    </w:pPr>
    <w:rPr>
      <w:rFonts w:cs="Times New Roman"/>
      <w:kern w:val="0"/>
      <w:sz w:val="24"/>
      <w:szCs w:val="24"/>
    </w:rPr>
  </w:style>
  <w:style w:type="paragraph" w:customStyle="1" w:styleId="15">
    <w:name w:val="段"/>
    <w:qFormat/>
    <w:uiPriority w:val="0"/>
    <w:pPr>
      <w:autoSpaceDE w:val="0"/>
      <w:autoSpaceDN w:val="0"/>
      <w:ind w:firstLine="200" w:firstLineChars="200"/>
      <w:jc w:val="both"/>
    </w:pPr>
    <w:rPr>
      <w:rFonts w:ascii="宋体" w:hAnsi="Times New Roman" w:eastAsia="宋体" w:cs="Arial"/>
      <w:kern w:val="2"/>
      <w:sz w:val="21"/>
      <w:szCs w:val="22"/>
      <w:lang w:val="en-US" w:eastAsia="zh-CN" w:bidi="ar-SA"/>
    </w:rPr>
  </w:style>
  <w:style w:type="paragraph" w:customStyle="1" w:styleId="16">
    <w:name w:val="封面正文"/>
    <w:qFormat/>
    <w:uiPriority w:val="0"/>
    <w:pPr>
      <w:numPr>
        <w:ilvl w:val="0"/>
        <w:numId w:val="1"/>
      </w:numPr>
      <w:jc w:val="both"/>
    </w:pPr>
    <w:rPr>
      <w:rFonts w:ascii="Times New Roman" w:hAnsi="Times New Roman" w:eastAsia="宋体" w:cs="Times New Roman"/>
      <w:kern w:val="0"/>
      <w:sz w:val="20"/>
      <w:szCs w:val="20"/>
      <w:lang w:val="en-US" w:eastAsia="zh-CN" w:bidi="ar-SA"/>
    </w:rPr>
  </w:style>
  <w:style w:type="paragraph" w:customStyle="1" w:styleId="17">
    <w:name w:val="附录表标题"/>
    <w:next w:val="15"/>
    <w:qFormat/>
    <w:uiPriority w:val="0"/>
    <w:pPr>
      <w:numPr>
        <w:ilvl w:val="1"/>
        <w:numId w:val="1"/>
      </w:numPr>
      <w:jc w:val="center"/>
    </w:pPr>
    <w:rPr>
      <w:rFonts w:ascii="黑体" w:hAnsi="Times New Roman" w:eastAsia="黑体" w:cs="Times New Roman"/>
      <w:kern w:val="21"/>
      <w:sz w:val="21"/>
      <w:szCs w:val="20"/>
      <w:lang w:val="en-US" w:eastAsia="zh-CN" w:bidi="ar-SA"/>
    </w:rPr>
  </w:style>
  <w:style w:type="paragraph" w:customStyle="1" w:styleId="18">
    <w:name w:val="附录章标题"/>
    <w:next w:val="15"/>
    <w:qFormat/>
    <w:uiPriority w:val="0"/>
    <w:pPr>
      <w:numPr>
        <w:ilvl w:val="2"/>
        <w:numId w:val="1"/>
      </w:numPr>
      <w:tabs>
        <w:tab w:val="left" w:pos="360"/>
      </w:tabs>
      <w:wordWrap w:val="0"/>
      <w:overflowPunct w:val="0"/>
      <w:autoSpaceDE w:val="0"/>
      <w:spacing w:before="50" w:beforeLines="50" w:after="50" w:afterLines="50"/>
      <w:ind w:left="180"/>
      <w:jc w:val="both"/>
      <w:outlineLvl w:val="1"/>
    </w:pPr>
    <w:rPr>
      <w:rFonts w:ascii="黑体" w:hAnsi="Times New Roman" w:eastAsia="黑体" w:cs="Times New Roman"/>
      <w:kern w:val="21"/>
      <w:sz w:val="21"/>
      <w:szCs w:val="20"/>
      <w:lang w:val="en-US" w:eastAsia="zh-CN" w:bidi="ar-SA"/>
    </w:rPr>
  </w:style>
  <w:style w:type="paragraph" w:customStyle="1" w:styleId="19">
    <w:name w:val="附录一级条标题"/>
    <w:basedOn w:val="18"/>
    <w:next w:val="15"/>
    <w:qFormat/>
    <w:uiPriority w:val="0"/>
    <w:pPr>
      <w:numPr>
        <w:ilvl w:val="3"/>
        <w:numId w:val="1"/>
      </w:numPr>
      <w:wordWrap w:val="0"/>
      <w:overflowPunct w:val="0"/>
      <w:autoSpaceDE w:val="0"/>
      <w:autoSpaceDN w:val="0"/>
      <w:spacing w:before="50" w:beforeLines="0" w:after="50" w:afterLines="0"/>
      <w:outlineLvl w:val="2"/>
    </w:pPr>
  </w:style>
  <w:style w:type="paragraph" w:customStyle="1" w:styleId="20">
    <w:name w:val="附录二级条标题"/>
    <w:basedOn w:val="19"/>
    <w:next w:val="15"/>
    <w:qFormat/>
    <w:uiPriority w:val="0"/>
    <w:pPr>
      <w:numPr>
        <w:ilvl w:val="4"/>
        <w:numId w:val="1"/>
      </w:numPr>
      <w:outlineLvl w:val="3"/>
    </w:pPr>
  </w:style>
  <w:style w:type="paragraph" w:customStyle="1" w:styleId="21">
    <w:name w:val="附录三级条标题"/>
    <w:basedOn w:val="20"/>
    <w:next w:val="15"/>
    <w:qFormat/>
    <w:uiPriority w:val="0"/>
    <w:pPr>
      <w:numPr>
        <w:ilvl w:val="5"/>
        <w:numId w:val="1"/>
      </w:numPr>
      <w:outlineLvl w:val="4"/>
    </w:pPr>
  </w:style>
  <w:style w:type="paragraph" w:customStyle="1" w:styleId="22">
    <w:name w:val="附录图标题"/>
    <w:next w:val="15"/>
    <w:qFormat/>
    <w:uiPriority w:val="0"/>
    <w:pPr>
      <w:numPr>
        <w:ilvl w:val="6"/>
        <w:numId w:val="1"/>
      </w:numPr>
      <w:jc w:val="center"/>
    </w:pPr>
    <w:rPr>
      <w:rFonts w:ascii="黑体" w:hAnsi="Times New Roman" w:eastAsia="黑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4159</Words>
  <Characters>4187</Characters>
  <Lines>568</Lines>
  <Paragraphs>326</Paragraphs>
  <TotalTime>1</TotalTime>
  <ScaleCrop>false</ScaleCrop>
  <LinksUpToDate>false</LinksUpToDate>
  <CharactersWithSpaces>4276</CharactersWithSpaces>
  <Application>WPS Office_12.8.2.15290_F1E327BC-269C-435d-A152-05C5408002CA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2024-04-28T21:39:00Z</dcterms:created>
  <dc:creator>吴旸</dc:creator>
  <cp:lastModifiedBy>huawei</cp:lastModifiedBy>
  <cp:lastPrinted>2024-04-30T17:10:00Z</cp:lastPrinted>
  <dcterms:modified xsi:type="dcterms:W3CDTF">2026-05-20T14:06:04Z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CF1F11181E8710BA4C4F0D6AF3C19E8C_42</vt:lpwstr>
  </property>
</Properties>
</file>