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6D5047">
      <w:pPr>
        <w:ind w:firstLine="640"/>
        <w:rPr>
          <w:rFonts w:eastAsia="仿宋"/>
          <w:szCs w:val="32"/>
        </w:rPr>
      </w:pPr>
      <w:bookmarkStart w:id="0" w:name="_Hlk194065444"/>
    </w:p>
    <w:p w14:paraId="494A12E1">
      <w:pPr>
        <w:ind w:firstLine="640"/>
        <w:rPr>
          <w:rFonts w:eastAsia="仿宋"/>
          <w:szCs w:val="32"/>
        </w:rPr>
      </w:pPr>
    </w:p>
    <w:p w14:paraId="75050E28">
      <w:pPr>
        <w:ind w:firstLine="640"/>
        <w:rPr>
          <w:rFonts w:eastAsia="仿宋"/>
          <w:szCs w:val="32"/>
        </w:rPr>
      </w:pPr>
    </w:p>
    <w:p w14:paraId="4943177F">
      <w:pPr>
        <w:adjustRightInd w:val="0"/>
        <w:ind w:firstLine="0" w:firstLineChars="0"/>
        <w:jc w:val="center"/>
        <w:rPr>
          <w:rFonts w:hint="eastAsia" w:ascii="黑体" w:hAnsi="黑体" w:eastAsia="黑体"/>
          <w:spacing w:val="36"/>
          <w:kern w:val="0"/>
          <w:sz w:val="52"/>
          <w:szCs w:val="52"/>
        </w:rPr>
      </w:pPr>
      <w:bookmarkStart w:id="1" w:name="_Hlk518835707"/>
      <w:r>
        <w:rPr>
          <w:rFonts w:ascii="黑体" w:hAnsi="黑体" w:eastAsia="黑体"/>
          <w:spacing w:val="36"/>
          <w:kern w:val="0"/>
          <w:sz w:val="52"/>
          <w:szCs w:val="52"/>
        </w:rPr>
        <w:t>上海市海洋观测网规划</w:t>
      </w:r>
    </w:p>
    <w:p w14:paraId="5B0FC330">
      <w:pPr>
        <w:adjustRightInd w:val="0"/>
        <w:ind w:firstLine="0" w:firstLineChars="0"/>
        <w:jc w:val="center"/>
        <w:rPr>
          <w:rFonts w:hint="eastAsia" w:ascii="黑体" w:hAnsi="黑体" w:eastAsia="黑体"/>
          <w:spacing w:val="36"/>
          <w:kern w:val="0"/>
          <w:sz w:val="48"/>
          <w:szCs w:val="48"/>
        </w:rPr>
      </w:pPr>
      <w:r>
        <w:rPr>
          <w:rFonts w:hint="eastAsia" w:ascii="黑体" w:hAnsi="黑体" w:eastAsia="黑体"/>
          <w:spacing w:val="36"/>
          <w:kern w:val="0"/>
          <w:sz w:val="48"/>
          <w:szCs w:val="48"/>
        </w:rPr>
        <w:t>（征求意见稿）</w:t>
      </w:r>
    </w:p>
    <w:bookmarkEnd w:id="1"/>
    <w:p w14:paraId="3CC0FFBC">
      <w:pPr>
        <w:ind w:firstLineChars="0"/>
        <w:rPr>
          <w:rFonts w:hint="eastAsia" w:ascii="黑体" w:hAnsi="黑体" w:eastAsia="黑体"/>
          <w:spacing w:val="36"/>
          <w:kern w:val="0"/>
          <w:szCs w:val="32"/>
        </w:rPr>
      </w:pPr>
    </w:p>
    <w:p w14:paraId="1000ED9C">
      <w:pPr>
        <w:ind w:firstLineChars="0"/>
        <w:rPr>
          <w:rFonts w:hint="eastAsia" w:ascii="黑体" w:hAnsi="黑体" w:eastAsia="黑体"/>
          <w:spacing w:val="36"/>
          <w:kern w:val="0"/>
          <w:szCs w:val="32"/>
        </w:rPr>
      </w:pPr>
    </w:p>
    <w:p w14:paraId="1D4F77DA">
      <w:pPr>
        <w:ind w:firstLineChars="0"/>
        <w:rPr>
          <w:rFonts w:hint="eastAsia" w:ascii="黑体" w:hAnsi="黑体" w:eastAsia="黑体"/>
          <w:spacing w:val="36"/>
          <w:kern w:val="0"/>
          <w:szCs w:val="32"/>
        </w:rPr>
      </w:pPr>
    </w:p>
    <w:p w14:paraId="2BFB5B3A">
      <w:pPr>
        <w:ind w:firstLine="848"/>
        <w:rPr>
          <w:rFonts w:hint="eastAsia" w:ascii="黑体" w:hAnsi="黑体" w:eastAsia="黑体"/>
          <w:spacing w:val="52"/>
          <w:kern w:val="0"/>
          <w:szCs w:val="32"/>
        </w:rPr>
      </w:pPr>
    </w:p>
    <w:p w14:paraId="4F8FA78D">
      <w:pPr>
        <w:tabs>
          <w:tab w:val="left" w:pos="3512"/>
        </w:tabs>
        <w:ind w:firstLine="848"/>
        <w:jc w:val="left"/>
        <w:rPr>
          <w:rFonts w:hint="eastAsia" w:ascii="黑体" w:hAnsi="黑体" w:eastAsia="黑体"/>
          <w:spacing w:val="52"/>
          <w:kern w:val="0"/>
          <w:szCs w:val="32"/>
        </w:rPr>
      </w:pPr>
    </w:p>
    <w:p w14:paraId="36E56683">
      <w:pPr>
        <w:tabs>
          <w:tab w:val="left" w:pos="3512"/>
        </w:tabs>
        <w:ind w:firstLine="848"/>
        <w:jc w:val="left"/>
        <w:rPr>
          <w:rFonts w:hint="eastAsia" w:ascii="黑体" w:hAnsi="黑体" w:eastAsia="黑体"/>
          <w:spacing w:val="52"/>
          <w:kern w:val="0"/>
          <w:szCs w:val="32"/>
        </w:rPr>
      </w:pPr>
    </w:p>
    <w:p w14:paraId="5C1CCF13">
      <w:pPr>
        <w:tabs>
          <w:tab w:val="left" w:pos="3512"/>
        </w:tabs>
        <w:ind w:firstLine="848"/>
        <w:jc w:val="left"/>
        <w:rPr>
          <w:rFonts w:hint="eastAsia" w:ascii="黑体" w:hAnsi="黑体" w:eastAsia="黑体"/>
          <w:spacing w:val="52"/>
          <w:kern w:val="0"/>
          <w:szCs w:val="32"/>
        </w:rPr>
      </w:pPr>
    </w:p>
    <w:p w14:paraId="24AA2095">
      <w:pPr>
        <w:tabs>
          <w:tab w:val="left" w:pos="3512"/>
        </w:tabs>
        <w:ind w:firstLine="848"/>
        <w:jc w:val="left"/>
        <w:rPr>
          <w:rFonts w:hint="eastAsia" w:ascii="黑体" w:hAnsi="黑体" w:eastAsia="黑体"/>
          <w:spacing w:val="52"/>
          <w:kern w:val="0"/>
          <w:szCs w:val="32"/>
        </w:rPr>
      </w:pPr>
    </w:p>
    <w:p w14:paraId="63A977C2">
      <w:pPr>
        <w:tabs>
          <w:tab w:val="left" w:pos="3512"/>
        </w:tabs>
        <w:ind w:firstLine="848"/>
        <w:jc w:val="left"/>
        <w:rPr>
          <w:rFonts w:hint="eastAsia" w:ascii="黑体" w:hAnsi="黑体" w:eastAsia="黑体"/>
          <w:spacing w:val="52"/>
          <w:kern w:val="0"/>
          <w:szCs w:val="32"/>
        </w:rPr>
      </w:pPr>
    </w:p>
    <w:p w14:paraId="7397323B">
      <w:pPr>
        <w:tabs>
          <w:tab w:val="left" w:pos="3512"/>
        </w:tabs>
        <w:ind w:firstLine="848"/>
        <w:jc w:val="left"/>
        <w:rPr>
          <w:rFonts w:hint="eastAsia" w:ascii="黑体" w:hAnsi="黑体" w:eastAsia="黑体"/>
          <w:spacing w:val="52"/>
          <w:kern w:val="0"/>
          <w:szCs w:val="32"/>
        </w:rPr>
      </w:pPr>
    </w:p>
    <w:p w14:paraId="7121FCB9">
      <w:pPr>
        <w:tabs>
          <w:tab w:val="left" w:pos="3512"/>
        </w:tabs>
        <w:ind w:firstLine="848"/>
        <w:jc w:val="left"/>
        <w:rPr>
          <w:rFonts w:hint="eastAsia" w:ascii="黑体" w:hAnsi="黑体" w:eastAsia="黑体"/>
          <w:spacing w:val="52"/>
          <w:kern w:val="0"/>
          <w:szCs w:val="32"/>
        </w:rPr>
      </w:pPr>
    </w:p>
    <w:p w14:paraId="0EDC0235">
      <w:pPr>
        <w:tabs>
          <w:tab w:val="left" w:pos="3512"/>
        </w:tabs>
        <w:ind w:firstLine="848"/>
        <w:jc w:val="left"/>
        <w:rPr>
          <w:rFonts w:hint="eastAsia" w:ascii="黑体" w:hAnsi="黑体" w:eastAsia="黑体"/>
          <w:spacing w:val="52"/>
          <w:kern w:val="0"/>
          <w:szCs w:val="32"/>
        </w:rPr>
      </w:pPr>
    </w:p>
    <w:p w14:paraId="75632AF2">
      <w:pPr>
        <w:tabs>
          <w:tab w:val="left" w:pos="3512"/>
        </w:tabs>
        <w:ind w:firstLineChars="0"/>
        <w:jc w:val="left"/>
        <w:rPr>
          <w:rFonts w:hint="eastAsia" w:ascii="黑体" w:hAnsi="黑体" w:eastAsia="黑体"/>
          <w:spacing w:val="52"/>
          <w:kern w:val="0"/>
          <w:szCs w:val="32"/>
        </w:rPr>
      </w:pPr>
    </w:p>
    <w:p w14:paraId="7C371B64">
      <w:pPr>
        <w:ind w:firstLine="0" w:firstLineChars="0"/>
        <w:jc w:val="center"/>
        <w:rPr>
          <w:rFonts w:hint="eastAsia" w:ascii="黑体" w:hAnsi="黑体" w:eastAsia="黑体"/>
          <w:sz w:val="36"/>
          <w:szCs w:val="36"/>
        </w:rPr>
      </w:pPr>
      <w:r>
        <w:rPr>
          <w:rFonts w:hint="eastAsia" w:ascii="黑体" w:hAnsi="黑体" w:eastAsia="黑体"/>
          <w:sz w:val="36"/>
          <w:szCs w:val="36"/>
        </w:rPr>
        <w:t>上海市海洋局</w:t>
      </w:r>
    </w:p>
    <w:p w14:paraId="4E2AC17C">
      <w:pPr>
        <w:pStyle w:val="39"/>
        <w:ind w:firstLine="0" w:firstLineChars="0"/>
        <w:jc w:val="center"/>
        <w:rPr>
          <w:rFonts w:hint="eastAsia" w:ascii="黑体" w:hAnsi="黑体" w:eastAsia="黑体"/>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bookmarkStart w:id="2" w:name="_Hlk518835699"/>
      <w:r>
        <w:rPr>
          <w:rFonts w:hint="eastAsia" w:ascii="黑体" w:hAnsi="黑体" w:eastAsia="黑体"/>
          <w:szCs w:val="32"/>
        </w:rPr>
        <w:t>二〇二五</w:t>
      </w:r>
      <w:r>
        <w:rPr>
          <w:rFonts w:ascii="黑体" w:hAnsi="黑体" w:eastAsia="黑体"/>
          <w:szCs w:val="32"/>
        </w:rPr>
        <w:t>年</w:t>
      </w:r>
      <w:r>
        <w:rPr>
          <w:rFonts w:hint="eastAsia" w:ascii="黑体" w:hAnsi="黑体" w:eastAsia="黑体"/>
          <w:szCs w:val="32"/>
        </w:rPr>
        <w:t>四</w:t>
      </w:r>
      <w:r>
        <w:rPr>
          <w:rFonts w:ascii="黑体" w:hAnsi="黑体" w:eastAsia="黑体"/>
          <w:szCs w:val="32"/>
        </w:rPr>
        <w:t>月</w:t>
      </w:r>
      <w:bookmarkEnd w:id="2"/>
    </w:p>
    <w:p w14:paraId="7E070B60">
      <w:pPr>
        <w:ind w:firstLine="640"/>
      </w:pPr>
      <w:bookmarkStart w:id="3" w:name="_Toc119314348"/>
      <w:r>
        <w:rPr>
          <w:rFonts w:hint="eastAsia"/>
        </w:rPr>
        <w:t>海洋</w:t>
      </w:r>
      <w:r>
        <w:t>观测</w:t>
      </w:r>
      <w:r>
        <w:rPr>
          <w:rFonts w:hint="eastAsia"/>
        </w:rPr>
        <w:t>是</w:t>
      </w:r>
      <w:r>
        <w:t>认识海洋、保护海洋、经略海洋的基础性工作</w:t>
      </w:r>
      <w:r>
        <w:rPr>
          <w:rFonts w:hint="eastAsia"/>
        </w:rPr>
        <w:t>，</w:t>
      </w:r>
      <w:r>
        <w:t>建设海洋观测网是提升海洋</w:t>
      </w:r>
      <w:r>
        <w:rPr>
          <w:rFonts w:hint="eastAsia"/>
        </w:rPr>
        <w:t>综合</w:t>
      </w:r>
      <w:r>
        <w:t>实力的重要抓手</w:t>
      </w:r>
      <w:r>
        <w:rPr>
          <w:rFonts w:hint="eastAsia"/>
        </w:rPr>
        <w:t>。为深入贯彻党的二十大关于“加快建设海洋强国”的战略部署，推动上海市现代海洋城市建设，提升海洋防灾减灾、生态保护和经济发展支撑能力，</w:t>
      </w:r>
      <w:r>
        <w:t>根据</w:t>
      </w:r>
      <w:r>
        <w:rPr>
          <w:rFonts w:hint="eastAsia"/>
        </w:rPr>
        <w:t>《海洋观测</w:t>
      </w:r>
      <w:r>
        <w:t>预报管理条例</w:t>
      </w:r>
      <w:r>
        <w:rPr>
          <w:rFonts w:hint="eastAsia"/>
        </w:rPr>
        <w:t>》</w:t>
      </w:r>
      <w:bookmarkStart w:id="4" w:name="_Toc3921"/>
      <w:bookmarkStart w:id="5" w:name="_Toc25849"/>
      <w:bookmarkStart w:id="6" w:name="_Toc9963"/>
      <w:bookmarkStart w:id="7" w:name="_Toc25373"/>
      <w:bookmarkStart w:id="8" w:name="_Toc30984"/>
      <w:r>
        <w:rPr>
          <w:rFonts w:hint="eastAsia"/>
        </w:rPr>
        <w:t>《全国海洋观测网规划（2022-2030年）》</w:t>
      </w:r>
      <w:bookmarkEnd w:id="4"/>
      <w:bookmarkEnd w:id="5"/>
      <w:bookmarkEnd w:id="6"/>
      <w:bookmarkEnd w:id="7"/>
      <w:bookmarkEnd w:id="8"/>
      <w:r>
        <w:rPr>
          <w:rFonts w:hint="eastAsia"/>
        </w:rPr>
        <w:t>制定</w:t>
      </w:r>
      <w:r>
        <w:t>本规划。</w:t>
      </w:r>
    </w:p>
    <w:p w14:paraId="2A90A813">
      <w:pPr>
        <w:pStyle w:val="2"/>
      </w:pPr>
      <w:r>
        <w:rPr>
          <w:rFonts w:hint="eastAsia"/>
          <w:lang w:val="en-US" w:eastAsia="zh-CN"/>
        </w:rPr>
        <w:t>现状与存在问题</w:t>
      </w:r>
    </w:p>
    <w:p w14:paraId="358D8870">
      <w:pPr>
        <w:pStyle w:val="3"/>
        <w:numPr>
          <w:ilvl w:val="1"/>
          <w:numId w:val="3"/>
        </w:numPr>
      </w:pPr>
      <w:r>
        <w:rPr>
          <w:rFonts w:hint="eastAsia"/>
        </w:rPr>
        <w:t>上海海洋观测网现状</w:t>
      </w:r>
    </w:p>
    <w:p w14:paraId="1B78A7B7">
      <w:pPr>
        <w:ind w:firstLine="640"/>
      </w:pPr>
      <w:r>
        <w:t>在上一轮海洋</w:t>
      </w:r>
      <w:r>
        <w:rPr>
          <w:rFonts w:hint="eastAsia"/>
        </w:rPr>
        <w:t>观测</w:t>
      </w:r>
      <w:r>
        <w:t>规划的</w:t>
      </w:r>
      <w:r>
        <w:rPr>
          <w:rFonts w:hint="eastAsia"/>
          <w:lang w:val="en-US" w:eastAsia="zh-CN"/>
        </w:rPr>
        <w:t>指</w:t>
      </w:r>
      <w:r>
        <w:t>引下，</w:t>
      </w:r>
      <w:r>
        <w:rPr>
          <w:rFonts w:hint="eastAsia"/>
        </w:rPr>
        <w:t>初步形成</w:t>
      </w:r>
      <w:r>
        <w:rPr>
          <w:rFonts w:hint="eastAsia"/>
          <w:lang w:val="en-US" w:eastAsia="zh-CN"/>
        </w:rPr>
        <w:t>本市</w:t>
      </w:r>
      <w:r>
        <w:rPr>
          <w:rFonts w:hint="eastAsia"/>
        </w:rPr>
        <w:t>海洋观测体系</w:t>
      </w:r>
      <w:r>
        <w:rPr>
          <w:rFonts w:hint="eastAsia"/>
          <w:lang w:eastAsia="zh-CN"/>
        </w:rPr>
        <w:t>，</w:t>
      </w:r>
      <w:r>
        <w:rPr>
          <w:rFonts w:hint="eastAsia"/>
        </w:rPr>
        <w:t>类型包含海上平台、海洋站、浮标、地波雷达等类型</w:t>
      </w:r>
      <w:r>
        <w:rPr>
          <w:rFonts w:hint="eastAsia"/>
          <w:lang w:eastAsia="zh-CN"/>
        </w:rPr>
        <w:t>。在本市管辖海域内，国家及地方多部门分散建设水文站点、浮标、水文平台等进行</w:t>
      </w:r>
      <w:r>
        <w:rPr>
          <w:rFonts w:hint="eastAsia"/>
          <w:lang w:val="en-US" w:eastAsia="zh-CN"/>
        </w:rPr>
        <w:t>水文、气象、海洋</w:t>
      </w:r>
      <w:r>
        <w:rPr>
          <w:rFonts w:hint="eastAsia"/>
          <w:lang w:eastAsia="zh-CN"/>
        </w:rPr>
        <w:t>观测，</w:t>
      </w:r>
      <w:r>
        <w:rPr>
          <w:rFonts w:hint="eastAsia"/>
          <w:lang w:val="en-US" w:eastAsia="zh-CN"/>
        </w:rPr>
        <w:t>设备庞杂而不统一，</w:t>
      </w:r>
      <w:r>
        <w:rPr>
          <w:rFonts w:hint="eastAsia"/>
          <w:lang w:eastAsia="zh-CN"/>
        </w:rPr>
        <w:t>站点分布</w:t>
      </w:r>
      <w:r>
        <w:t>呈现</w:t>
      </w:r>
      <w:r>
        <w:rPr>
          <w:rFonts w:hint="eastAsia"/>
        </w:rPr>
        <w:t>“</w:t>
      </w:r>
      <w:r>
        <w:t>陆海二维、近密远疏</w:t>
      </w:r>
      <w:r>
        <w:rPr>
          <w:rFonts w:hint="eastAsia"/>
        </w:rPr>
        <w:t>”</w:t>
      </w:r>
      <w:r>
        <w:t>特征，观测要素集中于水文气象</w:t>
      </w:r>
      <w:r>
        <w:rPr>
          <w:rFonts w:hint="eastAsia"/>
          <w:lang w:eastAsia="zh-CN"/>
        </w:rPr>
        <w:t>，</w:t>
      </w:r>
      <w:r>
        <w:rPr>
          <w:rFonts w:hint="eastAsia"/>
          <w:lang w:val="en-US" w:eastAsia="zh-CN"/>
        </w:rPr>
        <w:t>海洋</w:t>
      </w:r>
      <w:r>
        <w:t>生态监测能力不足，空天技术应用滞后</w:t>
      </w:r>
      <w:r>
        <w:rPr>
          <w:rFonts w:hint="eastAsia"/>
          <w:lang w:eastAsia="zh-CN"/>
        </w:rPr>
        <w:t>。</w:t>
      </w:r>
      <w:r>
        <w:rPr>
          <w:rFonts w:hint="eastAsia"/>
          <w:lang w:val="en-US" w:eastAsia="zh-CN"/>
        </w:rPr>
        <w:t>对标对表国家要求及</w:t>
      </w:r>
      <w:r>
        <w:t>国内海洋强省</w:t>
      </w:r>
      <w:r>
        <w:rPr>
          <w:rFonts w:hint="eastAsia"/>
          <w:lang w:val="en-US" w:eastAsia="zh-CN"/>
        </w:rPr>
        <w:t>现状</w:t>
      </w:r>
      <w:r>
        <w:t>，存在站点密度不足、装备智能化水平偏低、跨部门数据共享薄弱等短板，制约灾害预警精度与资源管理效能。</w:t>
      </w:r>
      <w:r>
        <w:rPr>
          <w:rFonts w:hint="eastAsia"/>
        </w:rPr>
        <w:t>海洋观测</w:t>
      </w:r>
      <w:r>
        <w:t>总体处于由传统单点观测向立体智能网络转型的初级阶段，与建设</w:t>
      </w:r>
      <w:r>
        <w:rPr>
          <w:rFonts w:hint="eastAsia"/>
          <w:lang w:val="en-US" w:eastAsia="zh-CN"/>
        </w:rPr>
        <w:t>现代海洋城市</w:t>
      </w:r>
      <w:r>
        <w:t>目标存在</w:t>
      </w:r>
      <w:r>
        <w:rPr>
          <w:rFonts w:hint="eastAsia"/>
          <w:lang w:val="en-US" w:eastAsia="zh-CN"/>
        </w:rPr>
        <w:t>较大</w:t>
      </w:r>
      <w:r>
        <w:t>差距</w:t>
      </w:r>
      <w:r>
        <w:rPr>
          <w:rFonts w:hint="eastAsia"/>
        </w:rPr>
        <w:t>。</w:t>
      </w:r>
    </w:p>
    <w:p w14:paraId="23C88610">
      <w:pPr>
        <w:pStyle w:val="3"/>
        <w:numPr>
          <w:ilvl w:val="1"/>
          <w:numId w:val="3"/>
        </w:numPr>
      </w:pPr>
      <w:r>
        <w:rPr>
          <w:rFonts w:hint="eastAsia"/>
        </w:rPr>
        <w:t>面临形势</w:t>
      </w:r>
    </w:p>
    <w:p w14:paraId="3EA3AA6D">
      <w:pPr>
        <w:overflowPunct w:val="0"/>
        <w:ind w:firstLine="640"/>
        <w:rPr>
          <w:rFonts w:hint="eastAsia"/>
          <w:highlight w:val="none"/>
        </w:rPr>
      </w:pPr>
      <w:r>
        <w:rPr>
          <w:rFonts w:hint="eastAsia"/>
          <w:highlight w:val="none"/>
        </w:rPr>
        <w:t>海洋观测网在国家海洋战略中兼具资源开发与安全保障作用，成为国家综合实力的体现。</w:t>
      </w:r>
      <w:r>
        <w:rPr>
          <w:rFonts w:hint="eastAsia"/>
          <w:highlight w:val="none"/>
          <w:lang w:val="en-US" w:eastAsia="zh-CN"/>
        </w:rPr>
        <w:t>在国际上，</w:t>
      </w:r>
      <w:r>
        <w:rPr>
          <w:rFonts w:hint="eastAsia"/>
          <w:highlight w:val="none"/>
        </w:rPr>
        <w:t>美、欧、日、澳等国际海洋强国加速推进海洋观测网与人工智能、量子通信等前沿技术融合，提升海洋灾害预警、资源管理和生态保护能力。</w:t>
      </w:r>
      <w:r>
        <w:rPr>
          <w:rFonts w:hint="eastAsia"/>
          <w:highlight w:val="none"/>
          <w:lang w:val="en-US" w:eastAsia="zh-CN"/>
        </w:rPr>
        <w:t>在国内，</w:t>
      </w:r>
      <w:r>
        <w:rPr>
          <w:rFonts w:hint="eastAsia"/>
          <w:highlight w:val="none"/>
        </w:rPr>
        <w:t>自党的十八大以来，“海洋强国”“一带一路”“长三角一体化”等国家重大战略目标的实施，对我国开发利用海洋资源、综合管控海洋的能力提出了更高的要求，我国海洋事业迎来历史上最好的发展机遇</w:t>
      </w:r>
      <w:r>
        <w:rPr>
          <w:rFonts w:hint="eastAsia"/>
          <w:highlight w:val="none"/>
          <w:lang w:eastAsia="zh-CN"/>
        </w:rPr>
        <w:t>。</w:t>
      </w:r>
      <w:r>
        <w:rPr>
          <w:rFonts w:hint="eastAsia"/>
          <w:highlight w:val="none"/>
        </w:rPr>
        <w:t>福建、广东、浙江等海洋强省已逐步构建起立体化海洋观测网，并向智能化、多场景融合、区域协同等方向升级。海洋观测网建设</w:t>
      </w:r>
      <w:r>
        <w:rPr>
          <w:rFonts w:hint="eastAsia"/>
          <w:highlight w:val="none"/>
          <w:lang w:val="en-US" w:eastAsia="zh-CN"/>
        </w:rPr>
        <w:t>正</w:t>
      </w:r>
      <w:r>
        <w:rPr>
          <w:rFonts w:hint="eastAsia"/>
          <w:highlight w:val="none"/>
        </w:rPr>
        <w:t>成为践行海洋强国战略的重要技术支柱。</w:t>
      </w:r>
    </w:p>
    <w:p w14:paraId="3A78FB29">
      <w:pPr>
        <w:overflowPunct w:val="0"/>
        <w:ind w:firstLine="640"/>
        <w:rPr>
          <w:rFonts w:hint="eastAsia"/>
          <w:highlight w:val="none"/>
          <w:lang w:val="en-US" w:eastAsia="zh-CN"/>
        </w:rPr>
      </w:pPr>
      <w:r>
        <w:rPr>
          <w:rFonts w:hint="eastAsia"/>
          <w:highlight w:val="none"/>
        </w:rPr>
        <w:t>上海在加快建设“五个中心”和现代海洋城市的战略目标引领下，同时面对气候变化与城市化叠加的海洋环境挑战。海平面上升、台风、风暴潮、咸潮、长江入海泥沙锐减和赤潮等海洋环境威胁，对上海城市安全、航运经济、海洋生态保护、海洋产业发展带来了严峻挑战。</w:t>
      </w:r>
      <w:r>
        <w:rPr>
          <w:rFonts w:hint="eastAsia"/>
          <w:highlight w:val="none"/>
          <w:lang w:val="en-US" w:eastAsia="zh-CN"/>
        </w:rPr>
        <w:t>一是全球变暖加剧城市洪涝风险。在全球气候变暖的背景下，全球平均海平面呈持续上升趋势，叠加极端天气事件频发，台风和风暴潮威胁持续升级，进一步推高了城市洪涝风险。二是长江口咸潮入侵威胁本市原水安全。自2020年以来，长江口水源地咸潮入侵的发生次数逐渐增多。特别是2022年，受长江流域最严重的气象水文干旱影响，长江入海径流量大幅减少，叠加台风对咸潮的顶托作用，长江口遭遇极为严重的咸潮入侵事件，严重影响长江口水源地取水安全。三是长江入海泥沙锐减增加沿岸侵蚀风险。近二十年来，长江口从“丰水丰沙”逐渐转变为“丰水少沙”型河口，在入海泥沙锐减影响下，部分岸段侵蚀和崩岸风险加剧，城市安全受到威胁。四是海洋生态灾害威胁加剧。全球气候变暖，长江口和杭州湾已成为赤潮等海洋生态灾害的高发区域。</w:t>
      </w:r>
    </w:p>
    <w:p w14:paraId="55538292">
      <w:pPr>
        <w:ind w:firstLine="640"/>
        <w:rPr>
          <w:rFonts w:hint="default"/>
          <w:highlight w:val="yellow"/>
          <w:lang w:val="en-US" w:eastAsia="zh-CN"/>
        </w:rPr>
      </w:pPr>
      <w:r>
        <w:rPr>
          <w:rFonts w:hint="eastAsia"/>
          <w:highlight w:val="none"/>
          <w:lang w:val="en-US" w:eastAsia="zh-CN"/>
        </w:rPr>
        <w:t>综上，</w:t>
      </w:r>
      <w:r>
        <w:rPr>
          <w:rFonts w:hint="default"/>
          <w:highlight w:val="none"/>
          <w:lang w:val="en-US" w:eastAsia="zh-CN"/>
        </w:rPr>
        <w:t>海洋观测网建设不仅是保障城市安全的“生命线”，更是国家经略海洋的“战略眼”。</w:t>
      </w:r>
      <w:r>
        <w:rPr>
          <w:rFonts w:hint="eastAsia"/>
          <w:highlight w:val="none"/>
          <w:lang w:val="en-US" w:eastAsia="zh-CN"/>
        </w:rPr>
        <w:t>上海应加快构建海洋观测网，实现从被动应对到主动防控的转变，保障城市安全，提升资源管理和区域协作能力，助力上海“五个中心”和现代海洋城市建设。</w:t>
      </w:r>
    </w:p>
    <w:p w14:paraId="09CAB73C">
      <w:pPr>
        <w:pStyle w:val="3"/>
        <w:numPr>
          <w:ilvl w:val="1"/>
          <w:numId w:val="3"/>
        </w:numPr>
      </w:pPr>
      <w:r>
        <w:rPr>
          <w:rFonts w:hint="eastAsia"/>
        </w:rPr>
        <w:t>存在主要问题</w:t>
      </w:r>
    </w:p>
    <w:p w14:paraId="594C11E3">
      <w:pPr>
        <w:ind w:firstLine="643"/>
      </w:pPr>
      <w:r>
        <w:rPr>
          <w:rFonts w:hint="eastAsia"/>
          <w:b/>
          <w:bCs/>
        </w:rPr>
        <w:t>观测能力不足，体系不健全</w:t>
      </w:r>
      <w:bookmarkStart w:id="9" w:name="_Toc522881886"/>
      <w:bookmarkStart w:id="10" w:name="_Toc530718653"/>
      <w:bookmarkStart w:id="11" w:name="_Toc1414888"/>
      <w:bookmarkStart w:id="12" w:name="_Toc2543046"/>
      <w:r>
        <w:rPr>
          <w:rFonts w:hint="eastAsia"/>
        </w:rPr>
        <w:t>。海洋观测站点覆盖范围不足，主要集中于长江</w:t>
      </w:r>
      <w:bookmarkStart w:id="22" w:name="_GoBack"/>
      <w:bookmarkEnd w:id="22"/>
      <w:r>
        <w:rPr>
          <w:rFonts w:hint="eastAsia"/>
        </w:rPr>
        <w:t>口内、杭州湾北岸，立体化观测手段缺失，生态监测数据支撑较为薄弱；运维保障能力待提升，缺乏配套基地，站点日常维护和故障抢修能力不足</w:t>
      </w:r>
      <w:r>
        <w:rPr>
          <w:rFonts w:hint="eastAsia"/>
          <w:lang w:eastAsia="zh-CN"/>
        </w:rPr>
        <w:t>。</w:t>
      </w:r>
    </w:p>
    <w:p w14:paraId="60099F48">
      <w:pPr>
        <w:ind w:firstLine="643"/>
      </w:pPr>
      <w:r>
        <w:rPr>
          <w:rFonts w:hint="eastAsia"/>
          <w:b/>
          <w:bCs/>
        </w:rPr>
        <w:t>精准化不足，服务功能待优化</w:t>
      </w:r>
      <w:r>
        <w:rPr>
          <w:rFonts w:hint="eastAsia"/>
        </w:rPr>
        <w:t>。针对本市重点区域缺乏长期业务化观测保障，潮位、海浪等实时数据服务精细化不足；海洋蓝碳资源、湿地植被等监测</w:t>
      </w:r>
      <w:r>
        <w:rPr>
          <w:rFonts w:hint="eastAsia"/>
          <w:lang w:val="en-US" w:eastAsia="zh-CN"/>
        </w:rPr>
        <w:t>数据缺乏</w:t>
      </w:r>
      <w:r>
        <w:rPr>
          <w:rFonts w:hint="eastAsia"/>
        </w:rPr>
        <w:t>，无法支撑“双碳”战略需求</w:t>
      </w:r>
      <w:r>
        <w:rPr>
          <w:rFonts w:hint="eastAsia"/>
          <w:lang w:eastAsia="zh-CN"/>
        </w:rPr>
        <w:t>。</w:t>
      </w:r>
    </w:p>
    <w:p w14:paraId="78343087">
      <w:pPr>
        <w:ind w:firstLine="643"/>
      </w:pPr>
      <w:r>
        <w:rPr>
          <w:rFonts w:hint="eastAsia"/>
          <w:b/>
          <w:bCs/>
        </w:rPr>
        <w:t>自主化不足，设备国产化率低</w:t>
      </w:r>
      <w:r>
        <w:rPr>
          <w:rFonts w:hint="eastAsia"/>
        </w:rPr>
        <w:t>。现有观测设备种类型号庞杂，设备集成难度高</w:t>
      </w:r>
      <w:r>
        <w:rPr>
          <w:rFonts w:hint="eastAsia"/>
          <w:lang w:eastAsia="zh-CN"/>
        </w:rPr>
        <w:t>，</w:t>
      </w:r>
      <w:r>
        <w:rPr>
          <w:rFonts w:hint="eastAsia"/>
        </w:rPr>
        <w:t>且进口设备较多，维修与校准周期长，影响数据连续性和可靠性。国产设备实际工程应用率低，可靠性、使用寿命等技术指标需通过长期业务化验证</w:t>
      </w:r>
      <w:r>
        <w:rPr>
          <w:rFonts w:hint="eastAsia"/>
          <w:lang w:val="en-US" w:eastAsia="zh-CN"/>
        </w:rPr>
        <w:t>优化</w:t>
      </w:r>
      <w:r>
        <w:rPr>
          <w:rFonts w:hint="eastAsia"/>
          <w:lang w:eastAsia="zh-CN"/>
        </w:rPr>
        <w:t>。</w:t>
      </w:r>
    </w:p>
    <w:p w14:paraId="48475AC9">
      <w:pPr>
        <w:ind w:firstLine="643"/>
      </w:pPr>
      <w:r>
        <w:rPr>
          <w:rFonts w:hint="eastAsia"/>
          <w:b/>
          <w:bCs/>
        </w:rPr>
        <w:t>智能化不足，数据应用待加强</w:t>
      </w:r>
      <w:bookmarkEnd w:id="9"/>
      <w:bookmarkEnd w:id="10"/>
      <w:bookmarkEnd w:id="11"/>
      <w:bookmarkEnd w:id="12"/>
      <w:bookmarkStart w:id="13" w:name="_Toc522881887"/>
      <w:bookmarkStart w:id="14" w:name="_Toc2543047"/>
      <w:bookmarkStart w:id="15" w:name="_Toc519669797"/>
      <w:bookmarkStart w:id="16" w:name="_Toc1414889"/>
      <w:bookmarkStart w:id="17" w:name="_Toc530718654"/>
      <w:r>
        <w:rPr>
          <w:rFonts w:hint="eastAsia"/>
        </w:rPr>
        <w:t>。观测数据</w:t>
      </w:r>
      <w:r>
        <w:rPr>
          <w:rFonts w:hint="eastAsia"/>
          <w:lang w:val="en-US" w:eastAsia="zh-CN"/>
        </w:rPr>
        <w:t>回传能力不足，</w:t>
      </w:r>
      <w:r>
        <w:rPr>
          <w:rFonts w:hint="eastAsia"/>
        </w:rPr>
        <w:t>北斗卫星通信应用不足且缺乏</w:t>
      </w:r>
      <w:r>
        <w:rPr>
          <w:rFonts w:hint="eastAsia"/>
          <w:lang w:val="en-US" w:eastAsia="zh-CN"/>
        </w:rPr>
        <w:t>多链路</w:t>
      </w:r>
      <w:r>
        <w:rPr>
          <w:rFonts w:hint="eastAsia"/>
        </w:rPr>
        <w:t>备份机制；数据共享不充分</w:t>
      </w:r>
      <w:r>
        <w:rPr>
          <w:rFonts w:hint="eastAsia"/>
          <w:lang w:eastAsia="zh-CN"/>
        </w:rPr>
        <w:t>；</w:t>
      </w:r>
      <w:r>
        <w:rPr>
          <w:rFonts w:hint="eastAsia"/>
          <w:lang w:val="en-US" w:eastAsia="zh-CN"/>
        </w:rPr>
        <w:t>人工智能、大数据等智能分析手段缺乏，</w:t>
      </w:r>
      <w:r>
        <w:rPr>
          <w:rFonts w:hint="eastAsia"/>
        </w:rPr>
        <w:t>数据应用场景局限</w:t>
      </w:r>
      <w:r>
        <w:rPr>
          <w:rFonts w:hint="eastAsia"/>
          <w:lang w:eastAsia="zh-CN"/>
        </w:rPr>
        <w:t>，</w:t>
      </w:r>
      <w:r>
        <w:rPr>
          <w:rFonts w:hint="eastAsia"/>
          <w:lang w:val="en-US" w:eastAsia="zh-CN"/>
        </w:rPr>
        <w:t>不足以支撑现代海洋城市建设需求。</w:t>
      </w:r>
    </w:p>
    <w:bookmarkEnd w:id="13"/>
    <w:bookmarkEnd w:id="14"/>
    <w:bookmarkEnd w:id="15"/>
    <w:bookmarkEnd w:id="16"/>
    <w:bookmarkEnd w:id="17"/>
    <w:p w14:paraId="7BEFA039">
      <w:pPr>
        <w:pStyle w:val="2"/>
      </w:pPr>
      <w:r>
        <w:rPr>
          <w:rFonts w:hint="eastAsia"/>
        </w:rPr>
        <w:t>规划总则</w:t>
      </w:r>
      <w:bookmarkEnd w:id="3"/>
    </w:p>
    <w:p w14:paraId="0C21BC73">
      <w:pPr>
        <w:pStyle w:val="3"/>
        <w:numPr>
          <w:ilvl w:val="1"/>
          <w:numId w:val="4"/>
        </w:numPr>
      </w:pPr>
      <w:r>
        <w:rPr>
          <w:rFonts w:hint="eastAsia"/>
        </w:rPr>
        <w:t>规划</w:t>
      </w:r>
      <w:r>
        <w:t>范围和期限</w:t>
      </w:r>
    </w:p>
    <w:p w14:paraId="2C2F17C4">
      <w:pPr>
        <w:ind w:firstLine="640"/>
        <w:rPr>
          <w:rFonts w:hint="eastAsia" w:ascii="仿宋_GB2312" w:hAnsi="仿宋"/>
          <w:szCs w:val="32"/>
        </w:rPr>
      </w:pPr>
      <w:r>
        <w:rPr>
          <w:rFonts w:ascii="仿宋_GB2312" w:hAnsi="仿宋"/>
          <w:szCs w:val="32"/>
          <w:lang w:bidi="zh-CN"/>
        </w:rPr>
        <w:t>规划范围为</w:t>
      </w:r>
      <w:r>
        <w:rPr>
          <w:rFonts w:hint="eastAsia" w:ascii="仿宋_GB2312" w:hAnsi="仿宋"/>
          <w:szCs w:val="32"/>
          <w:lang w:bidi="zh-CN"/>
        </w:rPr>
        <w:t>本市</w:t>
      </w:r>
      <w:r>
        <w:rPr>
          <w:rFonts w:ascii="仿宋_GB2312" w:hAnsi="仿宋"/>
          <w:szCs w:val="32"/>
          <w:lang w:bidi="zh-CN"/>
        </w:rPr>
        <w:t>管辖海域</w:t>
      </w:r>
      <w:r>
        <w:rPr>
          <w:rFonts w:hint="eastAsia" w:ascii="仿宋_GB2312" w:hAnsi="仿宋"/>
          <w:szCs w:val="32"/>
          <w:lang w:bidi="zh-CN"/>
        </w:rPr>
        <w:t>及毗邻海域</w:t>
      </w:r>
      <w:r>
        <w:rPr>
          <w:rFonts w:hint="eastAsia" w:ascii="仿宋_GB2312" w:hAnsi="仿宋"/>
          <w:szCs w:val="32"/>
        </w:rPr>
        <w:t>。</w:t>
      </w:r>
      <w:r>
        <w:rPr>
          <w:rFonts w:ascii="仿宋_GB2312" w:hAnsi="仿宋"/>
          <w:szCs w:val="32"/>
          <w:lang w:bidi="zh-CN"/>
        </w:rPr>
        <w:t>规划基准年202</w:t>
      </w:r>
      <w:r>
        <w:rPr>
          <w:rFonts w:hint="eastAsia" w:ascii="仿宋_GB2312" w:hAnsi="仿宋"/>
          <w:szCs w:val="32"/>
        </w:rPr>
        <w:t>3</w:t>
      </w:r>
      <w:r>
        <w:rPr>
          <w:rFonts w:ascii="仿宋_GB2312" w:hAnsi="仿宋"/>
          <w:szCs w:val="32"/>
          <w:lang w:bidi="zh-CN"/>
        </w:rPr>
        <w:t>年，</w:t>
      </w:r>
      <w:r>
        <w:rPr>
          <w:rFonts w:hint="eastAsia" w:ascii="仿宋_GB2312" w:hAnsi="仿宋"/>
          <w:szCs w:val="32"/>
        </w:rPr>
        <w:t>规划水平年</w:t>
      </w:r>
      <w:r>
        <w:rPr>
          <w:rFonts w:ascii="仿宋_GB2312" w:hAnsi="仿宋"/>
          <w:szCs w:val="32"/>
          <w:lang w:bidi="zh-CN"/>
        </w:rPr>
        <w:t>近期</w:t>
      </w:r>
      <w:r>
        <w:rPr>
          <w:rFonts w:hint="eastAsia" w:ascii="仿宋_GB2312" w:hAnsi="仿宋"/>
          <w:szCs w:val="32"/>
        </w:rPr>
        <w:t>至</w:t>
      </w:r>
      <w:r>
        <w:rPr>
          <w:rFonts w:ascii="仿宋_GB2312" w:hAnsi="仿宋"/>
          <w:szCs w:val="32"/>
          <w:lang w:bidi="zh-CN"/>
        </w:rPr>
        <w:t>2025年，</w:t>
      </w:r>
      <w:r>
        <w:rPr>
          <w:rFonts w:hint="eastAsia" w:ascii="仿宋_GB2312" w:hAnsi="仿宋"/>
          <w:szCs w:val="32"/>
        </w:rPr>
        <w:t>中</w:t>
      </w:r>
      <w:r>
        <w:rPr>
          <w:rFonts w:ascii="仿宋_GB2312" w:hAnsi="仿宋"/>
          <w:szCs w:val="32"/>
          <w:lang w:bidi="zh-CN"/>
        </w:rPr>
        <w:t>期</w:t>
      </w:r>
      <w:r>
        <w:rPr>
          <w:rFonts w:hint="eastAsia" w:ascii="仿宋_GB2312" w:hAnsi="仿宋"/>
          <w:szCs w:val="32"/>
        </w:rPr>
        <w:t>至</w:t>
      </w:r>
      <w:r>
        <w:rPr>
          <w:rFonts w:ascii="仿宋_GB2312" w:hAnsi="仿宋"/>
          <w:szCs w:val="32"/>
          <w:lang w:bidi="zh-CN"/>
        </w:rPr>
        <w:t>20</w:t>
      </w:r>
      <w:r>
        <w:rPr>
          <w:rFonts w:hint="eastAsia" w:ascii="仿宋_GB2312" w:hAnsi="仿宋"/>
          <w:szCs w:val="32"/>
        </w:rPr>
        <w:t>30</w:t>
      </w:r>
      <w:r>
        <w:rPr>
          <w:rFonts w:ascii="仿宋_GB2312" w:hAnsi="仿宋"/>
          <w:szCs w:val="32"/>
          <w:lang w:bidi="zh-CN"/>
        </w:rPr>
        <w:t>年，</w:t>
      </w:r>
      <w:r>
        <w:rPr>
          <w:rFonts w:hint="eastAsia" w:ascii="仿宋_GB2312" w:hAnsi="仿宋"/>
          <w:szCs w:val="32"/>
        </w:rPr>
        <w:t>远期至</w:t>
      </w:r>
      <w:r>
        <w:rPr>
          <w:rFonts w:ascii="仿宋_GB2312" w:hAnsi="仿宋"/>
          <w:szCs w:val="32"/>
          <w:lang w:bidi="zh-CN"/>
        </w:rPr>
        <w:t>2035年</w:t>
      </w:r>
      <w:r>
        <w:rPr>
          <w:rFonts w:hint="eastAsia" w:ascii="仿宋_GB2312" w:hAnsi="仿宋"/>
          <w:szCs w:val="32"/>
        </w:rPr>
        <w:t>。</w:t>
      </w:r>
    </w:p>
    <w:p w14:paraId="3A0A0E05">
      <w:pPr>
        <w:pStyle w:val="3"/>
        <w:numPr>
          <w:ilvl w:val="1"/>
          <w:numId w:val="4"/>
        </w:numPr>
        <w:rPr>
          <w:rFonts w:hint="eastAsia" w:ascii="Times New Roman" w:hAnsi="Times New Roman" w:eastAsia="楷体_GB2312"/>
          <w:szCs w:val="32"/>
          <w:lang w:eastAsia="zh-CN"/>
        </w:rPr>
      </w:pPr>
      <w:r>
        <w:rPr>
          <w:rFonts w:hint="eastAsia"/>
          <w:szCs w:val="32"/>
          <w:lang w:val="en-US" w:eastAsia="zh-CN"/>
        </w:rPr>
        <w:t>规划指导思想</w:t>
      </w:r>
    </w:p>
    <w:p w14:paraId="4B3D3F28">
      <w:pPr>
        <w:ind w:firstLine="640"/>
        <w:rPr>
          <w:rFonts w:hint="default" w:ascii="Times New Roman" w:hAnsi="Times New Roman" w:eastAsia="仿宋_GB2312"/>
          <w:szCs w:val="22"/>
          <w:lang w:eastAsia="zh-CN"/>
        </w:rPr>
      </w:pPr>
      <w:r>
        <w:rPr>
          <w:rFonts w:hint="default" w:ascii="Times New Roman" w:hAnsi="Times New Roman" w:eastAsia="仿宋_GB2312"/>
          <w:szCs w:val="22"/>
          <w:lang w:eastAsia="zh-CN"/>
        </w:rPr>
        <w:t>坚持以习近平新时代中国特色社会主义思想为指导，全面贯彻落实党的二十大精神和海洋强国战略，深入贯彻习近平生态文明思想、习近平总书记考察上海系列重要讲话精神和对上海工作重要论述精神，准确把握新发展阶段，全面贯彻新发展理念，服务构建新发展格局。以“一带一路”“长三角一体化”战略部署为指引，以支撑上海深化“五个中心”建设为目标，落实上海加快建设现代海洋城市的决策和部署，深入践行“人民城市人民建，人民城市为人民”重要理念，统筹发展和安全，以提升本市海洋防灾减灾和生态监测预警能力作为主线，积极完善海洋灾害预警公共服务体系，充分发挥海洋观测网的基础性、先导性作用，为新时代上海加快推进海洋经济高质量发展、城市治理体系和治理能力现代化提供有力支撑。</w:t>
      </w:r>
    </w:p>
    <w:p w14:paraId="3BC0EC0F">
      <w:pPr>
        <w:pStyle w:val="3"/>
        <w:numPr>
          <w:ilvl w:val="1"/>
          <w:numId w:val="4"/>
        </w:numPr>
      </w:pPr>
      <w:r>
        <w:rPr>
          <w:rFonts w:hint="eastAsia"/>
          <w:lang w:val="en-US" w:eastAsia="zh-CN"/>
        </w:rPr>
        <w:t>规划</w:t>
      </w:r>
      <w:r>
        <w:rPr>
          <w:rFonts w:hint="eastAsia"/>
        </w:rPr>
        <w:t>目标</w:t>
      </w:r>
    </w:p>
    <w:p w14:paraId="6FCD1F2F">
      <w:pPr>
        <w:ind w:firstLine="640"/>
        <w:rPr>
          <w:rFonts w:hint="default" w:eastAsia="仿宋_GB2312"/>
          <w:lang w:val="en-US" w:eastAsia="zh-CN"/>
        </w:rPr>
      </w:pPr>
      <w:r>
        <w:rPr>
          <w:rFonts w:hint="eastAsia"/>
          <w:lang w:val="en-US" w:eastAsia="zh-CN"/>
        </w:rPr>
        <w:t>1、总体目标</w:t>
      </w:r>
    </w:p>
    <w:p w14:paraId="451E67F8">
      <w:pPr>
        <w:ind w:firstLine="640"/>
        <w:rPr>
          <w:rFonts w:hint="eastAsia"/>
        </w:rPr>
      </w:pPr>
      <w:r>
        <w:rPr>
          <w:rFonts w:hint="eastAsia"/>
        </w:rPr>
        <w:t>构建基于“陆海空天”的海洋立体智能观测系统，让海洋透明、可见、可预知，满足海洋防灾减灾、海洋经济社会发展、海洋生态保护和海洋综合管理等需求，助力上海加快建成“五个中心”，服务构建海洋国土空间开发保护韧性格局，为海洋强国建设、本市现代海洋城市建设提供有力支撑。</w:t>
      </w:r>
    </w:p>
    <w:p w14:paraId="4159EBCD">
      <w:pPr>
        <w:ind w:firstLine="640"/>
        <w:rPr>
          <w:rFonts w:hint="eastAsia"/>
          <w:lang w:val="en-US" w:eastAsia="zh-CN"/>
        </w:rPr>
      </w:pPr>
      <w:r>
        <w:rPr>
          <w:rFonts w:hint="eastAsia"/>
          <w:lang w:val="en-US" w:eastAsia="zh-CN"/>
        </w:rPr>
        <w:t>2、阶段目标</w:t>
      </w:r>
    </w:p>
    <w:p w14:paraId="57EFF7A4">
      <w:pPr>
        <w:ind w:firstLine="640"/>
        <w:rPr>
          <w:rFonts w:hint="default"/>
          <w:lang w:val="en-US" w:eastAsia="zh-CN"/>
        </w:rPr>
      </w:pPr>
      <w:r>
        <w:rPr>
          <w:rFonts w:hint="default"/>
          <w:lang w:val="en-US" w:eastAsia="zh-CN"/>
        </w:rPr>
        <w:t>到2025年，汇聚域内海洋观测力量和观测资源，初步建成覆盖部分重点海域、岸段和海岛的实时业务化海洋观测系统，海洋观测能力达到国内先进水平。</w:t>
      </w:r>
    </w:p>
    <w:p w14:paraId="37D26E42">
      <w:pPr>
        <w:ind w:firstLine="640"/>
        <w:rPr>
          <w:rFonts w:hint="eastAsia"/>
          <w:lang w:val="en-US" w:eastAsia="zh-CN"/>
        </w:rPr>
      </w:pPr>
      <w:r>
        <w:rPr>
          <w:rFonts w:hint="default"/>
          <w:lang w:val="en-US" w:eastAsia="zh-CN"/>
        </w:rPr>
        <w:t>到2030年，深化各部门、各行业海洋观测设施共建、数据信息共享，加快建设覆盖本市海域、岸段和海岛的海洋观测站点，海洋观测能力进一步提高，基本形成匹配</w:t>
      </w:r>
      <w:r>
        <w:rPr>
          <w:rFonts w:hint="eastAsia"/>
          <w:lang w:val="en-US" w:eastAsia="zh-CN"/>
        </w:rPr>
        <w:t>本</w:t>
      </w:r>
      <w:r>
        <w:rPr>
          <w:rFonts w:hint="default"/>
          <w:lang w:val="en-US" w:eastAsia="zh-CN"/>
        </w:rPr>
        <w:t>市海洋高质量发展要求的海洋观测网</w:t>
      </w:r>
      <w:r>
        <w:rPr>
          <w:rFonts w:hint="eastAsia"/>
          <w:lang w:val="en-US" w:eastAsia="zh-CN"/>
        </w:rPr>
        <w:t>，“陆海空天”海洋立体观测网格局基本形成，达到国际先进水平。</w:t>
      </w:r>
    </w:p>
    <w:p w14:paraId="6F5E92DD">
      <w:pPr>
        <w:ind w:firstLine="640"/>
        <w:rPr>
          <w:rFonts w:hint="default"/>
          <w:lang w:val="en-US" w:eastAsia="zh-CN"/>
        </w:rPr>
      </w:pPr>
      <w:r>
        <w:rPr>
          <w:rFonts w:hint="default"/>
          <w:lang w:val="en-US" w:eastAsia="zh-CN"/>
        </w:rPr>
        <w:t>到2035年，基本建成与国家海洋强国战略和上海现代海洋城市定位相匹配的海洋立体智能</w:t>
      </w:r>
      <w:r>
        <w:rPr>
          <w:rFonts w:hint="eastAsia"/>
          <w:lang w:val="en-US" w:eastAsia="zh-CN"/>
        </w:rPr>
        <w:t>感知</w:t>
      </w:r>
      <w:r>
        <w:rPr>
          <w:rFonts w:hint="default"/>
          <w:lang w:val="en-US" w:eastAsia="zh-CN"/>
        </w:rPr>
        <w:t>体系，从“陆海空天”四个维度对海洋全方位实时观测。</w:t>
      </w:r>
    </w:p>
    <w:p w14:paraId="1E02FFDB">
      <w:pPr>
        <w:pStyle w:val="2"/>
      </w:pPr>
      <w:r>
        <w:rPr>
          <w:rFonts w:hint="eastAsia"/>
        </w:rPr>
        <w:t>规划方案</w:t>
      </w:r>
    </w:p>
    <w:p w14:paraId="175B9905">
      <w:pPr>
        <w:pStyle w:val="3"/>
        <w:numPr>
          <w:ilvl w:val="1"/>
          <w:numId w:val="5"/>
        </w:numPr>
      </w:pPr>
      <w:r>
        <w:rPr>
          <w:rFonts w:hint="eastAsia"/>
        </w:rPr>
        <w:t>总体布局</w:t>
      </w:r>
    </w:p>
    <w:p w14:paraId="502D40C3">
      <w:pPr>
        <w:ind w:firstLine="640"/>
      </w:pPr>
      <w:r>
        <w:rPr>
          <w:rFonts w:hint="eastAsia"/>
        </w:rPr>
        <w:t>1、体系架构</w:t>
      </w:r>
    </w:p>
    <w:p w14:paraId="607594AC">
      <w:pPr>
        <w:ind w:firstLine="640"/>
        <w:rPr>
          <w:rFonts w:hint="eastAsia" w:ascii="仿宋_GB2312" w:hAnsi="仿宋"/>
          <w:szCs w:val="32"/>
        </w:rPr>
      </w:pPr>
      <w:r>
        <w:rPr>
          <w:rFonts w:hint="eastAsia" w:ascii="仿宋_GB2312" w:hAnsi="仿宋"/>
          <w:szCs w:val="32"/>
        </w:rPr>
        <w:t>上海市海洋观测网属地方基本海洋观测网，是全国海洋观测网的重要组成部分。围绕上海加快建设现代海洋城市战略目标，以重大功能需求为导向，以技术成熟先进、观测较为稳定的海洋站、海上平台等为主要观测手段，以新型海洋观测技术手段为突破，通过整合现有资源，规划形成“一网四维、五大功能”的海洋观测网空间格局。“一网”即一张海洋观测网；“四维”即从陆、海、空、天四个维度构建海洋立体观测空间布局，包括陆基观测系统、海基观测系统、空基观测系统和天基观测系统；“五大功能”即满足海洋防灾减灾、海洋生态保护、航运服务、海洋资源管理和重大战略空间观测等五个方面的需求。</w:t>
      </w:r>
    </w:p>
    <w:p w14:paraId="533D83CE">
      <w:pPr>
        <w:ind w:firstLine="640"/>
      </w:pPr>
      <w:r>
        <w:rPr>
          <w:rFonts w:hint="eastAsia"/>
        </w:rPr>
        <w:t>2、功能布局</w:t>
      </w:r>
    </w:p>
    <w:p w14:paraId="7344BFA9">
      <w:pPr>
        <w:ind w:firstLine="640"/>
        <w:rPr>
          <w:rFonts w:hint="eastAsia" w:ascii="仿宋_GB2312" w:hAnsi="仿宋"/>
          <w:szCs w:val="32"/>
        </w:rPr>
      </w:pPr>
      <w:r>
        <w:rPr>
          <w:rFonts w:hint="eastAsia" w:ascii="仿宋_GB2312" w:hAnsi="仿宋"/>
          <w:szCs w:val="32"/>
        </w:rPr>
        <w:t>上海市海洋观测网实现本市管辖海域全覆盖。在海洋灾害高风险区、沿海人口稠密区、海上开发作业活动密集区、海上重大工程、典型海洋生态系统分布区，以及重点港口、岛礁、河口海湾等重点区域，加密布设海洋观测站点，强化监测预警能力，不断提升海洋防灾减灾、海洋生态预警监测、海上航运服务、海上突发事件应急决策、海洋资源管理和重大战略空间观测等服务保障能力。本次</w:t>
      </w:r>
      <w:r>
        <w:rPr>
          <w:rFonts w:hint="eastAsia"/>
        </w:rPr>
        <w:t>规划在本市管辖海域及毗邻海域建设海洋观测站点合计100个。根据站点功能分为防灾减灾观测站点、生态预警观测站点、咸潮入侵观测站点、航道保障观测站点及重大战略空间观测站点，以保障“五大功能”的</w:t>
      </w:r>
      <w:r>
        <w:rPr>
          <w:rFonts w:hint="eastAsia" w:ascii="仿宋" w:hAnsi="仿宋" w:cs="仿宋"/>
        </w:rPr>
        <w:t>需求得以落实。</w:t>
      </w:r>
    </w:p>
    <w:p w14:paraId="5DF7A1CB">
      <w:pPr>
        <w:pStyle w:val="3"/>
        <w:numPr>
          <w:ilvl w:val="1"/>
          <w:numId w:val="5"/>
        </w:numPr>
      </w:pPr>
      <w:r>
        <w:rPr>
          <w:rFonts w:hint="eastAsia"/>
        </w:rPr>
        <w:t>主要</w:t>
      </w:r>
      <w:r>
        <w:t>任务</w:t>
      </w:r>
    </w:p>
    <w:p w14:paraId="22F9A966">
      <w:pPr>
        <w:ind w:firstLine="640"/>
        <w:rPr>
          <w:rFonts w:hint="eastAsia" w:ascii="仿宋_GB2312" w:hAnsi="仿宋"/>
          <w:color w:val="000000" w:themeColor="text1"/>
          <w:szCs w:val="32"/>
          <w14:textFill>
            <w14:solidFill>
              <w14:schemeClr w14:val="tx1"/>
            </w14:solidFill>
          </w14:textFill>
        </w:rPr>
      </w:pPr>
      <w:r>
        <w:rPr>
          <w:rFonts w:hint="eastAsia" w:ascii="仿宋_GB2312" w:hAnsi="仿宋"/>
          <w:color w:val="000000" w:themeColor="text1"/>
          <w:szCs w:val="32"/>
          <w14:textFill>
            <w14:solidFill>
              <w14:schemeClr w14:val="tx1"/>
            </w14:solidFill>
          </w14:textFill>
        </w:rPr>
        <w:t>构建基于“陆海空天”的海洋立体智能</w:t>
      </w:r>
      <w:r>
        <w:rPr>
          <w:rFonts w:hint="eastAsia" w:ascii="仿宋_GB2312" w:hAnsi="仿宋"/>
          <w:color w:val="000000" w:themeColor="text1"/>
          <w:szCs w:val="32"/>
          <w:lang w:val="en-US" w:eastAsia="zh-CN"/>
          <w14:textFill>
            <w14:solidFill>
              <w14:schemeClr w14:val="tx1"/>
            </w14:solidFill>
          </w14:textFill>
        </w:rPr>
        <w:t>感知体系</w:t>
      </w:r>
      <w:r>
        <w:rPr>
          <w:rFonts w:hint="eastAsia" w:ascii="仿宋_GB2312" w:hAnsi="仿宋"/>
          <w:color w:val="000000" w:themeColor="text1"/>
          <w:szCs w:val="32"/>
          <w14:textFill>
            <w14:solidFill>
              <w14:schemeClr w14:val="tx1"/>
            </w14:solidFill>
          </w14:textFill>
        </w:rPr>
        <w:t>，主要任务包括：夯实由陆基、</w:t>
      </w:r>
      <w:r>
        <w:rPr>
          <w:rFonts w:hint="eastAsia" w:ascii="仿宋_GB2312" w:hAnsi="仿宋"/>
          <w:color w:val="000000" w:themeColor="text1"/>
          <w:szCs w:val="32"/>
          <w:lang w:val="en-US" w:eastAsia="zh-CN"/>
          <w14:textFill>
            <w14:solidFill>
              <w14:schemeClr w14:val="tx1"/>
            </w14:solidFill>
          </w14:textFill>
        </w:rPr>
        <w:t>海</w:t>
      </w:r>
      <w:r>
        <w:rPr>
          <w:rFonts w:hint="eastAsia" w:ascii="仿宋_GB2312" w:hAnsi="仿宋"/>
          <w:color w:val="000000" w:themeColor="text1"/>
          <w:szCs w:val="32"/>
          <w14:textFill>
            <w14:solidFill>
              <w14:schemeClr w14:val="tx1"/>
            </w14:solidFill>
          </w14:textFill>
        </w:rPr>
        <w:t>基、空基和天基四个观测系统组成的监测感知体系；搭建由观测网装备状态运行监控系统、数据传输和网络运行监控系统、数据处理系统平台、网格预报系统等构成的业务应用体系</w:t>
      </w:r>
      <w:r>
        <w:rPr>
          <w:rFonts w:hint="eastAsia" w:ascii="仿宋_GB2312" w:hAnsi="仿宋"/>
          <w:color w:val="000000" w:themeColor="text1"/>
          <w:szCs w:val="32"/>
          <w:lang w:eastAsia="zh-CN"/>
          <w14:textFill>
            <w14:solidFill>
              <w14:schemeClr w14:val="tx1"/>
            </w14:solidFill>
          </w14:textFill>
        </w:rPr>
        <w:t>，</w:t>
      </w:r>
      <w:r>
        <w:rPr>
          <w:rFonts w:hint="eastAsia" w:ascii="仿宋_GB2312" w:hAnsi="仿宋"/>
          <w:color w:val="000000" w:themeColor="text1"/>
          <w:szCs w:val="32"/>
          <w:lang w:val="en-US" w:eastAsia="zh-CN"/>
          <w14:textFill>
            <w14:solidFill>
              <w14:schemeClr w14:val="tx1"/>
            </w14:solidFill>
          </w14:textFill>
        </w:rPr>
        <w:t>不断提升对“五大功能”的服务保障能力。</w:t>
      </w:r>
    </w:p>
    <w:p w14:paraId="22B1BCEB">
      <w:pPr>
        <w:ind w:firstLine="640"/>
      </w:pPr>
      <w:r>
        <w:rPr>
          <w:rFonts w:hint="eastAsia"/>
        </w:rPr>
        <w:t>1、夯实监测感知体系</w:t>
      </w:r>
    </w:p>
    <w:p w14:paraId="717BC57D">
      <w:pPr>
        <w:ind w:firstLine="640"/>
      </w:pPr>
      <w:r>
        <w:rPr>
          <w:rFonts w:hint="eastAsia"/>
          <w:lang w:val="en-US" w:eastAsia="zh-CN"/>
        </w:rPr>
        <w:t>构建</w:t>
      </w:r>
      <w:r>
        <w:rPr>
          <w:rFonts w:hint="eastAsia"/>
          <w:lang w:eastAsia="zh-CN"/>
        </w:rPr>
        <w:t>“</w:t>
      </w:r>
      <w:r>
        <w:rPr>
          <w:rFonts w:hint="eastAsia"/>
          <w:lang w:val="en-US" w:eastAsia="zh-CN"/>
        </w:rPr>
        <w:t>陆海空天</w:t>
      </w:r>
      <w:r>
        <w:rPr>
          <w:rFonts w:hint="eastAsia"/>
          <w:lang w:eastAsia="zh-CN"/>
        </w:rPr>
        <w:t>”</w:t>
      </w:r>
      <w:r>
        <w:rPr>
          <w:rFonts w:hint="eastAsia"/>
        </w:rPr>
        <w:t>海洋立体智能</w:t>
      </w:r>
      <w:r>
        <w:rPr>
          <w:rFonts w:hint="eastAsia"/>
          <w:lang w:val="en-US" w:eastAsia="zh-CN"/>
        </w:rPr>
        <w:t>感知体系</w:t>
      </w:r>
      <w:r>
        <w:rPr>
          <w:rFonts w:hint="eastAsia"/>
        </w:rPr>
        <w:t>，在充分摸排现有</w:t>
      </w:r>
      <w:r>
        <w:rPr>
          <w:rFonts w:hint="eastAsia"/>
          <w:lang w:val="en-US" w:eastAsia="zh-CN"/>
        </w:rPr>
        <w:t>观测</w:t>
      </w:r>
      <w:r>
        <w:rPr>
          <w:rFonts w:hint="eastAsia"/>
        </w:rPr>
        <w:t>基础的前提下，从扩大感知范围、增强实时监测能力、优化</w:t>
      </w:r>
      <w:r>
        <w:rPr>
          <w:rFonts w:hint="eastAsia"/>
          <w:lang w:val="en-US" w:eastAsia="zh-CN"/>
        </w:rPr>
        <w:t>观测</w:t>
      </w:r>
      <w:r>
        <w:rPr>
          <w:rFonts w:hint="eastAsia"/>
        </w:rPr>
        <w:t>布局方案等方面提升对海洋空间的感知能力，规划在本市管辖海域及毗邻海域建设海洋观测站点合计100个，其中新建站点58个，升级改造站点42个，包括海洋站、海上平台、浮标、海底观测站、碳通量塔和雷达站等类型。同步建设海洋生态实验室、浮标维护基地和应急监测船等重要设施，完善与</w:t>
      </w:r>
      <w:r>
        <w:rPr>
          <w:rFonts w:hint="eastAsia"/>
          <w:lang w:val="en-US" w:eastAsia="zh-CN"/>
        </w:rPr>
        <w:t>海洋</w:t>
      </w:r>
      <w:r>
        <w:rPr>
          <w:rFonts w:hint="eastAsia"/>
        </w:rPr>
        <w:t>观测网相匹配的软件核心功能</w:t>
      </w:r>
      <w:r>
        <w:rPr>
          <w:rFonts w:hint="eastAsia"/>
          <w:lang w:eastAsia="zh-CN"/>
        </w:rPr>
        <w:t>，</w:t>
      </w:r>
      <w:r>
        <w:rPr>
          <w:rFonts w:hint="eastAsia"/>
          <w:lang w:val="en-US" w:eastAsia="zh-CN"/>
        </w:rPr>
        <w:t>提升</w:t>
      </w:r>
      <w:r>
        <w:rPr>
          <w:rFonts w:hint="eastAsia"/>
        </w:rPr>
        <w:t>海洋大范围、多参数综合信息</w:t>
      </w:r>
      <w:r>
        <w:rPr>
          <w:rFonts w:hint="eastAsia"/>
          <w:lang w:val="en-US" w:eastAsia="zh-CN"/>
        </w:rPr>
        <w:t>监测感知能力</w:t>
      </w:r>
      <w:r>
        <w:rPr>
          <w:rFonts w:hint="eastAsia"/>
        </w:rPr>
        <w:t>。</w:t>
      </w:r>
    </w:p>
    <w:p w14:paraId="555125A1">
      <w:pPr>
        <w:ind w:firstLine="640"/>
      </w:pPr>
      <w:r>
        <w:rPr>
          <w:rFonts w:hint="eastAsia"/>
        </w:rPr>
        <w:t>2、强化业务应用</w:t>
      </w:r>
      <w:r>
        <w:rPr>
          <w:rFonts w:hint="eastAsia"/>
          <w:lang w:val="en-US" w:eastAsia="zh-CN"/>
        </w:rPr>
        <w:t>与研究</w:t>
      </w:r>
    </w:p>
    <w:p w14:paraId="45282E6D">
      <w:pPr>
        <w:ind w:firstLine="640"/>
      </w:pPr>
      <w:r>
        <w:rPr>
          <w:rFonts w:hint="eastAsia"/>
        </w:rPr>
        <w:t>基于海洋大数据中心、海洋数据共享平台、</w:t>
      </w:r>
      <w:r>
        <w:rPr>
          <w:rFonts w:hint="eastAsia"/>
          <w:lang w:val="en-US" w:eastAsia="zh-CN"/>
        </w:rPr>
        <w:t>海洋智能观测预报</w:t>
      </w:r>
      <w:r>
        <w:rPr>
          <w:rFonts w:hint="eastAsia"/>
        </w:rPr>
        <w:t>等业务需求，</w:t>
      </w:r>
      <w:r>
        <w:rPr>
          <w:rFonts w:hint="eastAsia"/>
          <w:lang w:val="en-US" w:eastAsia="zh-CN"/>
        </w:rPr>
        <w:t>加强</w:t>
      </w:r>
      <w:r>
        <w:rPr>
          <w:rFonts w:hint="eastAsia"/>
        </w:rPr>
        <w:t>规范化管理海洋观测技术装备和海洋观测数据，</w:t>
      </w:r>
      <w:r>
        <w:rPr>
          <w:rFonts w:hint="eastAsia"/>
          <w:lang w:val="en-US" w:eastAsia="zh-CN"/>
        </w:rPr>
        <w:t>提升海洋</w:t>
      </w:r>
      <w:r>
        <w:rPr>
          <w:rFonts w:hint="eastAsia"/>
        </w:rPr>
        <w:t>观测网运维保障</w:t>
      </w:r>
      <w:r>
        <w:rPr>
          <w:rFonts w:hint="eastAsia"/>
          <w:lang w:val="en-US" w:eastAsia="zh-CN"/>
        </w:rPr>
        <w:t>能力</w:t>
      </w:r>
      <w:r>
        <w:rPr>
          <w:rFonts w:hint="eastAsia"/>
        </w:rPr>
        <w:t>，深化涉海部门观测数据共享，</w:t>
      </w:r>
      <w:r>
        <w:rPr>
          <w:rFonts w:hint="eastAsia"/>
          <w:lang w:val="en-US" w:eastAsia="zh-CN"/>
        </w:rPr>
        <w:t>加强科技创新研究，强化人工智能、大数据等</w:t>
      </w:r>
      <w:r>
        <w:rPr>
          <w:rFonts w:hint="eastAsia"/>
        </w:rPr>
        <w:t>业务应用服务能力。</w:t>
      </w:r>
    </w:p>
    <w:p w14:paraId="3CD5BE77">
      <w:pPr>
        <w:pStyle w:val="2"/>
      </w:pPr>
      <w:r>
        <w:t>保障措施</w:t>
      </w:r>
    </w:p>
    <w:p w14:paraId="23F39E52">
      <w:pPr>
        <w:pStyle w:val="3"/>
        <w:numPr>
          <w:ilvl w:val="1"/>
          <w:numId w:val="6"/>
        </w:numPr>
      </w:pPr>
      <w:bookmarkStart w:id="18" w:name="_Toc119314372"/>
      <w:r>
        <w:rPr>
          <w:rFonts w:hint="eastAsia"/>
        </w:rPr>
        <w:t>组织管理</w:t>
      </w:r>
      <w:bookmarkEnd w:id="18"/>
    </w:p>
    <w:p w14:paraId="3AA995B9">
      <w:pPr>
        <w:ind w:firstLine="640"/>
        <w:rPr>
          <w:rFonts w:hint="eastAsia" w:ascii="仿宋_GB2312" w:hAnsi="仿宋"/>
          <w:szCs w:val="32"/>
        </w:rPr>
      </w:pPr>
      <w:r>
        <w:rPr>
          <w:rFonts w:hint="eastAsia" w:ascii="仿宋_GB2312" w:hAnsi="仿宋"/>
          <w:szCs w:val="32"/>
        </w:rPr>
        <w:t>坚持党的全面领导，成立上海市海洋观测网</w:t>
      </w:r>
      <w:r>
        <w:rPr>
          <w:rFonts w:hint="eastAsia" w:ascii="仿宋_GB2312" w:hAnsi="仿宋"/>
          <w:szCs w:val="32"/>
          <w:lang w:val="en-US" w:eastAsia="zh-CN"/>
        </w:rPr>
        <w:t>规划工作专班</w:t>
      </w:r>
      <w:r>
        <w:rPr>
          <w:rFonts w:hint="eastAsia" w:ascii="仿宋_GB2312" w:hAnsi="仿宋"/>
          <w:szCs w:val="32"/>
        </w:rPr>
        <w:t>，负责总体工作的协调和推进，对规划实施过程中的重大问题进行决策。强化部门协同和上下联动，建立部门间海洋观测业务沟通协调与共享机制，形成合力，统筹协调推进本市海洋观测网的建设和运行。</w:t>
      </w:r>
    </w:p>
    <w:p w14:paraId="3B98025D">
      <w:pPr>
        <w:pStyle w:val="3"/>
        <w:numPr>
          <w:ilvl w:val="1"/>
          <w:numId w:val="6"/>
        </w:numPr>
      </w:pPr>
      <w:r>
        <w:rPr>
          <w:rFonts w:hint="eastAsia"/>
        </w:rPr>
        <w:t>经费保障</w:t>
      </w:r>
    </w:p>
    <w:p w14:paraId="1A401232">
      <w:pPr>
        <w:tabs>
          <w:tab w:val="left" w:pos="1841"/>
        </w:tabs>
        <w:ind w:firstLine="640"/>
        <w:rPr>
          <w:rFonts w:hint="eastAsia" w:ascii="仿宋_GB2312" w:hAnsi="仿宋"/>
          <w:szCs w:val="32"/>
        </w:rPr>
      </w:pPr>
      <w:r>
        <w:rPr>
          <w:rFonts w:hint="eastAsia" w:ascii="仿宋_GB2312" w:hAnsi="仿宋"/>
          <w:szCs w:val="32"/>
          <w:lang w:val="en-US" w:eastAsia="zh-CN"/>
        </w:rPr>
        <w:t>加强经费保障，争取中央和地方等多渠道资金支持，保障</w:t>
      </w:r>
      <w:r>
        <w:rPr>
          <w:rFonts w:hint="eastAsia" w:ascii="仿宋_GB2312" w:hAnsi="仿宋"/>
          <w:szCs w:val="32"/>
        </w:rPr>
        <w:t>海洋观测网建设</w:t>
      </w:r>
      <w:r>
        <w:rPr>
          <w:rFonts w:hint="eastAsia" w:ascii="仿宋_GB2312" w:hAnsi="仿宋"/>
          <w:szCs w:val="32"/>
          <w:lang w:val="en-US" w:eastAsia="zh-CN"/>
        </w:rPr>
        <w:t>和</w:t>
      </w:r>
      <w:r>
        <w:rPr>
          <w:rFonts w:hint="eastAsia" w:ascii="仿宋_GB2312" w:hAnsi="仿宋"/>
          <w:szCs w:val="32"/>
        </w:rPr>
        <w:t>运维管理。鼓励相关部门和行业等对海洋观测网建设和运维的投入，确保海洋观测网各系统稳定运行。加大对海洋观测领域的技术创新和人才培养方面的资金支持，提高海洋观测技术和业务人员的综合保障水平。</w:t>
      </w:r>
    </w:p>
    <w:p w14:paraId="4D0B2842">
      <w:pPr>
        <w:pStyle w:val="3"/>
        <w:numPr>
          <w:ilvl w:val="1"/>
          <w:numId w:val="6"/>
        </w:numPr>
      </w:pPr>
      <w:r>
        <w:rPr>
          <w:rFonts w:hint="eastAsia"/>
        </w:rPr>
        <w:t>制度规范</w:t>
      </w:r>
    </w:p>
    <w:p w14:paraId="09395EA2">
      <w:pPr>
        <w:ind w:firstLine="640"/>
      </w:pPr>
      <w:r>
        <w:rPr>
          <w:rFonts w:hint="eastAsia"/>
        </w:rPr>
        <w:t>完善海洋观测制度规定，加强对本市海域内海洋观测的管理和监督，实现海洋观测管理与运行创新，逐步形成海洋观测网管理和服务长效机制。按照《海洋观测预报管理条例》有关规定，制定海洋观测数据管理办法，完善观测资料档案管理制度，建立海洋数据自动分级分类与分发机制。</w:t>
      </w:r>
    </w:p>
    <w:p w14:paraId="0E57D197">
      <w:pPr>
        <w:pStyle w:val="3"/>
        <w:numPr>
          <w:ilvl w:val="1"/>
          <w:numId w:val="6"/>
        </w:numPr>
      </w:pPr>
      <w:r>
        <w:rPr>
          <w:rFonts w:hint="eastAsia"/>
        </w:rPr>
        <w:t>阶段评估</w:t>
      </w:r>
    </w:p>
    <w:p w14:paraId="091FB3EE">
      <w:pPr>
        <w:ind w:firstLine="640"/>
      </w:pPr>
      <w:r>
        <w:rPr>
          <w:rFonts w:hint="eastAsia"/>
        </w:rPr>
        <w:t>定期开展规划评估，监督规划的实施进度，解决规划实施过程中涉及跨部门的重要问题，推动本市海洋观测网建设工作任务的具体落实，确保实现规划目标</w:t>
      </w:r>
      <w:r>
        <w:rPr>
          <w:rFonts w:hint="eastAsia"/>
          <w:lang w:eastAsia="zh-CN"/>
        </w:rPr>
        <w:t>。</w:t>
      </w:r>
      <w:r>
        <w:rPr>
          <w:rFonts w:hint="eastAsia"/>
        </w:rPr>
        <w:t>根据科技发展水平和相关重大工程进展，科学动态调整规划目标指标和海洋观测站点布局。</w:t>
      </w:r>
    </w:p>
    <w:p w14:paraId="78FD6EDA">
      <w:pPr>
        <w:pStyle w:val="3"/>
        <w:numPr>
          <w:ilvl w:val="1"/>
          <w:numId w:val="6"/>
        </w:numPr>
      </w:pPr>
      <w:r>
        <w:rPr>
          <w:rFonts w:hint="eastAsia"/>
        </w:rPr>
        <w:t>队伍建设</w:t>
      </w:r>
    </w:p>
    <w:p w14:paraId="40942D50">
      <w:pPr>
        <w:tabs>
          <w:tab w:val="left" w:pos="1841"/>
        </w:tabs>
        <w:ind w:firstLine="640"/>
        <w:rPr>
          <w:rFonts w:hint="eastAsia" w:ascii="仿宋_GB2312" w:hAnsi="仿宋"/>
          <w:szCs w:val="32"/>
        </w:rPr>
      </w:pPr>
      <w:r>
        <w:rPr>
          <w:rFonts w:hint="eastAsia" w:ascii="仿宋_GB2312" w:hAnsi="仿宋"/>
          <w:szCs w:val="32"/>
        </w:rPr>
        <w:t>加强海洋观测人才队伍培养，结合海洋观测网项目实施以及相关技术平台、重点学科建设，积极引进海洋观测领域的高层次人才，加强创新团队建设和自主培养，逐步建成一支海洋观测优秀专业人才队伍。遴选一批信用和服务优质的海洋观测领域企业，开展长期海洋观测业务化运行和维护合作。</w:t>
      </w:r>
    </w:p>
    <w:p w14:paraId="149D9D23">
      <w:pPr>
        <w:pStyle w:val="3"/>
        <w:numPr>
          <w:ilvl w:val="1"/>
          <w:numId w:val="6"/>
        </w:numPr>
      </w:pPr>
      <w:bookmarkStart w:id="19" w:name="_Toc119314376"/>
      <w:bookmarkStart w:id="20" w:name="_Toc102069664"/>
      <w:r>
        <w:rPr>
          <w:rFonts w:hint="eastAsia"/>
        </w:rPr>
        <w:t>科技支撑</w:t>
      </w:r>
      <w:bookmarkEnd w:id="19"/>
      <w:bookmarkEnd w:id="20"/>
    </w:p>
    <w:p w14:paraId="0F4B0098">
      <w:pPr>
        <w:tabs>
          <w:tab w:val="left" w:pos="1841"/>
        </w:tabs>
        <w:ind w:firstLine="640"/>
        <w:rPr>
          <w:rFonts w:hint="eastAsia" w:ascii="仿宋_GB2312" w:hAnsi="仿宋"/>
          <w:szCs w:val="32"/>
        </w:rPr>
      </w:pPr>
      <w:r>
        <w:rPr>
          <w:rFonts w:hint="eastAsia" w:ascii="仿宋_GB2312" w:hAnsi="仿宋"/>
          <w:szCs w:val="32"/>
        </w:rPr>
        <w:t>根据海洋观测先进技术，提升海洋观测技术自主创新能力，增强海洋观测科技支撑。积极开展海洋碳中和研究。注重成熟的海洋观测新技术和新设备的应用，确保上海海洋观测网的稳定性、可靠性和先进性。挖掘机器学习、大数据、人工智能和遥感卫星技术在</w:t>
      </w:r>
      <w:r>
        <w:rPr>
          <w:rFonts w:hint="eastAsia" w:ascii="仿宋_GB2312" w:hAnsi="仿宋"/>
          <w:szCs w:val="32"/>
          <w:lang w:val="en-US" w:eastAsia="zh-CN"/>
        </w:rPr>
        <w:t>海洋观测预报</w:t>
      </w:r>
      <w:r>
        <w:rPr>
          <w:rFonts w:hint="eastAsia" w:ascii="仿宋_GB2312" w:hAnsi="仿宋"/>
          <w:szCs w:val="32"/>
        </w:rPr>
        <w:t>中的创新潜力。加强海洋观测领域技术交流合作，在满足国家和全市海洋观测布局的基础上，积极参与全球及区域观测系统的合作。</w:t>
      </w:r>
    </w:p>
    <w:p w14:paraId="710E62A5">
      <w:pPr>
        <w:pStyle w:val="3"/>
        <w:numPr>
          <w:ilvl w:val="1"/>
          <w:numId w:val="6"/>
        </w:numPr>
      </w:pPr>
      <w:bookmarkStart w:id="21" w:name="_Toc119314377"/>
      <w:r>
        <w:rPr>
          <w:rFonts w:hint="eastAsia"/>
        </w:rPr>
        <w:t>宣传教育</w:t>
      </w:r>
      <w:bookmarkEnd w:id="21"/>
    </w:p>
    <w:p w14:paraId="35565318">
      <w:pPr>
        <w:tabs>
          <w:tab w:val="left" w:pos="1841"/>
        </w:tabs>
        <w:ind w:firstLine="640"/>
        <w:rPr>
          <w:rFonts w:hint="eastAsia" w:ascii="仿宋_GB2312" w:hAnsi="黑体"/>
          <w:szCs w:val="32"/>
        </w:rPr>
      </w:pPr>
      <w:r>
        <w:rPr>
          <w:rFonts w:hint="eastAsia" w:ascii="仿宋_GB2312" w:hAnsi="仿宋"/>
          <w:szCs w:val="32"/>
        </w:rPr>
        <w:t>充分利用媒体加强海洋科普及海洋灾害防御知识，扩展海洋预警报公众获取渠道，提高公众防灾避险意识和能力。引导公众参与保护海洋及相关观测设施，建立破坏观测设施举报平台，营造公众关心海洋、保护海洋和支持海洋观测网设施建设与保护的良好氛围。</w:t>
      </w:r>
    </w:p>
    <w:bookmarkEnd w:id="0"/>
    <w:p w14:paraId="5DFF8444">
      <w:pPr>
        <w:ind w:firstLine="0" w:firstLineChars="0"/>
      </w:pPr>
    </w:p>
    <w:sectPr>
      <w:footerReference r:id="rId11" w:type="default"/>
      <w:pgSz w:w="11906" w:h="16838"/>
      <w:pgMar w:top="1440" w:right="1797" w:bottom="1440" w:left="1797" w:header="851" w:footer="992" w:gutter="0"/>
      <w:pgNumType w:start="1"/>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4E18F">
    <w:pPr>
      <w:pStyle w:val="16"/>
      <w:ind w:firstLine="360"/>
      <w:jc w:val="center"/>
    </w:pPr>
  </w:p>
  <w:p w14:paraId="5871CA8F">
    <w:pPr>
      <w:pStyle w:val="16"/>
      <w:ind w:left="-20" w:leftChars="-50" w:hanging="140" w:hangingChars="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0528C">
    <w:pPr>
      <w:pStyle w:val="1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F4653">
    <w:pPr>
      <w:pStyle w:val="1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74E60">
    <w:pPr>
      <w:pStyle w:val="16"/>
      <w:ind w:firstLine="0" w:firstLineChars="0"/>
      <w:jc w:val="center"/>
    </w:pPr>
    <w:r>
      <w:fldChar w:fldCharType="begin"/>
    </w:r>
    <w:r>
      <w:instrText xml:space="preserve">PAGE   \* MERGEFORMAT</w:instrText>
    </w:r>
    <w:r>
      <w:fldChar w:fldCharType="separate"/>
    </w:r>
    <w:r>
      <w:rPr>
        <w:lang w:val="zh-CN"/>
      </w:rPr>
      <w:t>15</w:t>
    </w:r>
    <w:r>
      <w:fldChar w:fldCharType="end"/>
    </w:r>
  </w:p>
  <w:p w14:paraId="59363BD6">
    <w:pPr>
      <w:pStyle w:val="16"/>
      <w:ind w:left="-20" w:leftChars="-50" w:hanging="140" w:hangingChars="7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9E4DC">
    <w:pPr>
      <w:pStyle w:val="36"/>
      <w:ind w:firstLine="64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0BAF1">
    <w:pPr>
      <w:pStyle w:val="1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E7C63">
    <w:pPr>
      <w:pStyle w:val="1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A074D1"/>
    <w:multiLevelType w:val="multilevel"/>
    <w:tmpl w:val="10A074D1"/>
    <w:lvl w:ilvl="0" w:tentative="0">
      <w:start w:val="1"/>
      <w:numFmt w:val="chineseCountingThousand"/>
      <w:lvlText w:val="%1、"/>
      <w:lvlJc w:val="left"/>
      <w:pPr>
        <w:ind w:left="425" w:hanging="425"/>
      </w:pPr>
      <w:rPr>
        <w:rFonts w:hint="default" w:ascii="Times New Roman" w:hAnsi="Times New Roman" w:eastAsia="黑体"/>
        <w:b w:val="0"/>
        <w:i w:val="0"/>
        <w:color w:val="auto"/>
        <w:sz w:val="32"/>
      </w:rPr>
    </w:lvl>
    <w:lvl w:ilvl="1" w:tentative="0">
      <w:start w:val="1"/>
      <w:numFmt w:val="chineseCountingThousand"/>
      <w:lvlText w:val="(%2)"/>
      <w:lvlJc w:val="left"/>
      <w:pPr>
        <w:ind w:left="865" w:hanging="440"/>
      </w:pPr>
    </w:lvl>
    <w:lvl w:ilvl="2" w:tentative="0">
      <w:start w:val="1"/>
      <w:numFmt w:val="decimal"/>
      <w:lvlText w:val="%3."/>
      <w:lvlJc w:val="left"/>
      <w:pPr>
        <w:ind w:left="284" w:firstLine="283"/>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none"/>
      <w:lvlText w:val=""/>
      <w:lvlJc w:val="left"/>
      <w:pPr>
        <w:ind w:left="1700" w:hanging="425"/>
      </w:pPr>
      <w:rPr>
        <w:rFonts w:hint="eastAsia"/>
      </w:rPr>
    </w:lvl>
    <w:lvl w:ilvl="4" w:tentative="0">
      <w:start w:val="1"/>
      <w:numFmt w:val="none"/>
      <w:lvlText w:val=""/>
      <w:lvlJc w:val="left"/>
      <w:pPr>
        <w:ind w:left="2125" w:hanging="425"/>
      </w:pPr>
      <w:rPr>
        <w:rFonts w:hint="eastAsia"/>
      </w:rPr>
    </w:lvl>
    <w:lvl w:ilvl="5" w:tentative="0">
      <w:start w:val="1"/>
      <w:numFmt w:val="none"/>
      <w:lvlText w:val=""/>
      <w:lvlJc w:val="left"/>
      <w:pPr>
        <w:ind w:left="2550" w:hanging="425"/>
      </w:pPr>
      <w:rPr>
        <w:rFonts w:hint="eastAsia"/>
      </w:rPr>
    </w:lvl>
    <w:lvl w:ilvl="6" w:tentative="0">
      <w:start w:val="1"/>
      <w:numFmt w:val="none"/>
      <w:lvlText w:val=""/>
      <w:lvlJc w:val="left"/>
      <w:pPr>
        <w:ind w:left="2975" w:hanging="425"/>
      </w:pPr>
      <w:rPr>
        <w:rFonts w:hint="eastAsia"/>
      </w:rPr>
    </w:lvl>
    <w:lvl w:ilvl="7" w:tentative="0">
      <w:start w:val="1"/>
      <w:numFmt w:val="none"/>
      <w:lvlText w:val=""/>
      <w:lvlJc w:val="left"/>
      <w:pPr>
        <w:ind w:left="3400" w:hanging="425"/>
      </w:pPr>
      <w:rPr>
        <w:rFonts w:hint="eastAsia"/>
      </w:rPr>
    </w:lvl>
    <w:lvl w:ilvl="8" w:tentative="0">
      <w:start w:val="1"/>
      <w:numFmt w:val="none"/>
      <w:lvlText w:val=""/>
      <w:lvlJc w:val="left"/>
      <w:pPr>
        <w:ind w:left="3825" w:hanging="425"/>
      </w:pPr>
      <w:rPr>
        <w:rFonts w:hint="eastAsia"/>
      </w:rPr>
    </w:lvl>
  </w:abstractNum>
  <w:abstractNum w:abstractNumId="1">
    <w:nsid w:val="296D7409"/>
    <w:multiLevelType w:val="multilevel"/>
    <w:tmpl w:val="296D7409"/>
    <w:lvl w:ilvl="0" w:tentative="0">
      <w:start w:val="1"/>
      <w:numFmt w:val="chineseCountingThousand"/>
      <w:lvlText w:val="%1、"/>
      <w:lvlJc w:val="left"/>
      <w:pPr>
        <w:ind w:left="425" w:hanging="425"/>
      </w:pPr>
      <w:rPr>
        <w:rFonts w:hint="default" w:ascii="Times New Roman" w:hAnsi="Times New Roman" w:eastAsia="黑体"/>
        <w:b w:val="0"/>
        <w:i w:val="0"/>
        <w:color w:val="auto"/>
        <w:sz w:val="32"/>
      </w:rPr>
    </w:lvl>
    <w:lvl w:ilvl="1" w:tentative="0">
      <w:start w:val="1"/>
      <w:numFmt w:val="chineseCountingThousand"/>
      <w:lvlText w:val="(%2)"/>
      <w:lvlJc w:val="left"/>
      <w:pPr>
        <w:ind w:left="865" w:hanging="440"/>
      </w:pPr>
    </w:lvl>
    <w:lvl w:ilvl="2" w:tentative="0">
      <w:start w:val="1"/>
      <w:numFmt w:val="decimal"/>
      <w:lvlText w:val="%3."/>
      <w:lvlJc w:val="left"/>
      <w:pPr>
        <w:ind w:left="284" w:firstLine="283"/>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none"/>
      <w:lvlText w:val=""/>
      <w:lvlJc w:val="left"/>
      <w:pPr>
        <w:ind w:left="1700" w:hanging="425"/>
      </w:pPr>
      <w:rPr>
        <w:rFonts w:hint="eastAsia"/>
      </w:rPr>
    </w:lvl>
    <w:lvl w:ilvl="4" w:tentative="0">
      <w:start w:val="1"/>
      <w:numFmt w:val="none"/>
      <w:lvlText w:val=""/>
      <w:lvlJc w:val="left"/>
      <w:pPr>
        <w:ind w:left="2125" w:hanging="425"/>
      </w:pPr>
      <w:rPr>
        <w:rFonts w:hint="eastAsia"/>
      </w:rPr>
    </w:lvl>
    <w:lvl w:ilvl="5" w:tentative="0">
      <w:start w:val="1"/>
      <w:numFmt w:val="none"/>
      <w:lvlText w:val=""/>
      <w:lvlJc w:val="left"/>
      <w:pPr>
        <w:ind w:left="2550" w:hanging="425"/>
      </w:pPr>
      <w:rPr>
        <w:rFonts w:hint="eastAsia"/>
      </w:rPr>
    </w:lvl>
    <w:lvl w:ilvl="6" w:tentative="0">
      <w:start w:val="1"/>
      <w:numFmt w:val="none"/>
      <w:lvlText w:val=""/>
      <w:lvlJc w:val="left"/>
      <w:pPr>
        <w:ind w:left="2975" w:hanging="425"/>
      </w:pPr>
      <w:rPr>
        <w:rFonts w:hint="eastAsia"/>
      </w:rPr>
    </w:lvl>
    <w:lvl w:ilvl="7" w:tentative="0">
      <w:start w:val="1"/>
      <w:numFmt w:val="none"/>
      <w:lvlText w:val=""/>
      <w:lvlJc w:val="left"/>
      <w:pPr>
        <w:ind w:left="3400" w:hanging="425"/>
      </w:pPr>
      <w:rPr>
        <w:rFonts w:hint="eastAsia"/>
      </w:rPr>
    </w:lvl>
    <w:lvl w:ilvl="8" w:tentative="0">
      <w:start w:val="1"/>
      <w:numFmt w:val="none"/>
      <w:lvlText w:val=""/>
      <w:lvlJc w:val="left"/>
      <w:pPr>
        <w:ind w:left="3825" w:hanging="425"/>
      </w:pPr>
      <w:rPr>
        <w:rFonts w:hint="eastAsia"/>
      </w:rPr>
    </w:lvl>
  </w:abstractNum>
  <w:abstractNum w:abstractNumId="2">
    <w:nsid w:val="2A717625"/>
    <w:multiLevelType w:val="multilevel"/>
    <w:tmpl w:val="2A717625"/>
    <w:lvl w:ilvl="0" w:tentative="0">
      <w:start w:val="1"/>
      <w:numFmt w:val="none"/>
      <w:pStyle w:val="44"/>
      <w:lvlText w:val="1%1"/>
      <w:lvlJc w:val="left"/>
      <w:pPr>
        <w:ind w:left="0" w:firstLine="0"/>
      </w:pPr>
      <w:rPr>
        <w:rFonts w:hint="eastAsia" w:ascii="仿宋_GB2312" w:eastAsia="仿宋_GB2312" w:cs="Times New Roman"/>
        <w:b/>
        <w:i w:val="0"/>
        <w:sz w:val="32"/>
      </w:rPr>
    </w:lvl>
    <w:lvl w:ilvl="1" w:tentative="0">
      <w:start w:val="1"/>
      <w:numFmt w:val="decimal"/>
      <w:suff w:val="nothing"/>
      <w:lvlText w:val="%1%2　"/>
      <w:lvlJc w:val="left"/>
      <w:pPr>
        <w:ind w:left="0" w:firstLine="0"/>
      </w:pPr>
      <w:rPr>
        <w:rFonts w:hint="eastAsia" w:ascii="仿宋" w:hAnsi="仿宋" w:eastAsia="仿宋" w:cs="Times New Roman"/>
        <w:b/>
        <w:i w:val="0"/>
        <w:sz w:val="32"/>
      </w:rPr>
    </w:lvl>
    <w:lvl w:ilvl="2" w:tentative="0">
      <w:start w:val="1"/>
      <w:numFmt w:val="decimal"/>
      <w:suff w:val="nothing"/>
      <w:lvlText w:val="%1%2.%3　"/>
      <w:lvlJc w:val="left"/>
      <w:pPr>
        <w:ind w:left="0" w:firstLine="0"/>
      </w:pPr>
      <w:rPr>
        <w:rFonts w:hint="eastAsia" w:ascii="仿宋" w:hAnsi="仿宋" w:eastAsia="仿宋" w:cs="Times New Roman"/>
        <w:b/>
        <w:i w:val="0"/>
        <w:sz w:val="28"/>
      </w:rPr>
    </w:lvl>
    <w:lvl w:ilvl="3" w:tentative="0">
      <w:start w:val="1"/>
      <w:numFmt w:val="decimal"/>
      <w:suff w:val="nothing"/>
      <w:lvlText w:val="%1%2.%3.%4　"/>
      <w:lvlJc w:val="left"/>
      <w:pPr>
        <w:ind w:left="0" w:firstLine="0"/>
      </w:pPr>
      <w:rPr>
        <w:rFonts w:hint="eastAsia" w:ascii="黑体" w:hAnsi="Times New Roman" w:eastAsia="黑体" w:cs="Times New Roman"/>
        <w:b w:val="0"/>
        <w:i w:val="0"/>
        <w:sz w:val="21"/>
      </w:rPr>
    </w:lvl>
    <w:lvl w:ilvl="4" w:tentative="0">
      <w:start w:val="1"/>
      <w:numFmt w:val="decimal"/>
      <w:suff w:val="nothing"/>
      <w:lvlText w:val="%1%2.%3.%4.%5　"/>
      <w:lvlJc w:val="left"/>
      <w:pPr>
        <w:ind w:left="1440" w:firstLine="0"/>
      </w:pPr>
      <w:rPr>
        <w:rFonts w:hint="eastAsia" w:ascii="黑体" w:hAnsi="Times New Roman" w:eastAsia="黑体" w:cs="Times New Roman"/>
        <w:b w:val="0"/>
        <w:i w:val="0"/>
        <w:sz w:val="21"/>
      </w:rPr>
    </w:lvl>
    <w:lvl w:ilvl="5" w:tentative="0">
      <w:start w:val="1"/>
      <w:numFmt w:val="decimal"/>
      <w:suff w:val="nothing"/>
      <w:lvlText w:val="%1%2.%3.%4.%5.%6　"/>
      <w:lvlJc w:val="left"/>
      <w:pPr>
        <w:ind w:left="0" w:firstLine="0"/>
      </w:pPr>
      <w:rPr>
        <w:rFonts w:hint="eastAsia" w:ascii="黑体" w:hAnsi="Times New Roman" w:eastAsia="黑体" w:cs="Times New Roman"/>
        <w:b w:val="0"/>
        <w:i w:val="0"/>
        <w:sz w:val="21"/>
      </w:rPr>
    </w:lvl>
    <w:lvl w:ilvl="6" w:tentative="0">
      <w:start w:val="1"/>
      <w:numFmt w:val="decimal"/>
      <w:suff w:val="nothing"/>
      <w:lvlText w:val="%1%2.%3.%4.%5.%6.%7　"/>
      <w:lvlJc w:val="left"/>
      <w:pPr>
        <w:ind w:left="0" w:firstLine="0"/>
      </w:pPr>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3">
    <w:nsid w:val="42AC79D3"/>
    <w:multiLevelType w:val="multilevel"/>
    <w:tmpl w:val="42AC79D3"/>
    <w:lvl w:ilvl="0" w:tentative="0">
      <w:start w:val="1"/>
      <w:numFmt w:val="chineseCountingThousand"/>
      <w:pStyle w:val="2"/>
      <w:lvlText w:val="%1、"/>
      <w:lvlJc w:val="left"/>
      <w:pPr>
        <w:ind w:left="425" w:hanging="425"/>
      </w:pPr>
      <w:rPr>
        <w:rFonts w:hint="default" w:ascii="Times New Roman" w:hAnsi="Times New Roman" w:eastAsia="黑体"/>
        <w:b w:val="0"/>
        <w:i w:val="0"/>
        <w:color w:val="auto"/>
        <w:sz w:val="32"/>
      </w:rPr>
    </w:lvl>
    <w:lvl w:ilvl="1" w:tentative="0">
      <w:start w:val="1"/>
      <w:numFmt w:val="chineseCountingThousand"/>
      <w:pStyle w:val="3"/>
      <w:suff w:val="nothing"/>
      <w:lvlText w:val="（%2）"/>
      <w:lvlJc w:val="left"/>
      <w:pPr>
        <w:ind w:left="850" w:hanging="425"/>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4"/>
      <w:lvlText w:val="%3."/>
      <w:lvlJc w:val="left"/>
      <w:pPr>
        <w:ind w:left="284" w:firstLine="283"/>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none"/>
      <w:lvlText w:val=""/>
      <w:lvlJc w:val="left"/>
      <w:pPr>
        <w:ind w:left="1700" w:hanging="425"/>
      </w:pPr>
      <w:rPr>
        <w:rFonts w:hint="eastAsia"/>
      </w:rPr>
    </w:lvl>
    <w:lvl w:ilvl="4" w:tentative="0">
      <w:start w:val="1"/>
      <w:numFmt w:val="none"/>
      <w:lvlText w:val=""/>
      <w:lvlJc w:val="left"/>
      <w:pPr>
        <w:ind w:left="2125" w:hanging="425"/>
      </w:pPr>
      <w:rPr>
        <w:rFonts w:hint="eastAsia"/>
      </w:rPr>
    </w:lvl>
    <w:lvl w:ilvl="5" w:tentative="0">
      <w:start w:val="1"/>
      <w:numFmt w:val="none"/>
      <w:lvlText w:val=""/>
      <w:lvlJc w:val="left"/>
      <w:pPr>
        <w:ind w:left="2550" w:hanging="425"/>
      </w:pPr>
      <w:rPr>
        <w:rFonts w:hint="eastAsia"/>
      </w:rPr>
    </w:lvl>
    <w:lvl w:ilvl="6" w:tentative="0">
      <w:start w:val="1"/>
      <w:numFmt w:val="none"/>
      <w:lvlText w:val=""/>
      <w:lvlJc w:val="left"/>
      <w:pPr>
        <w:ind w:left="2975" w:hanging="425"/>
      </w:pPr>
      <w:rPr>
        <w:rFonts w:hint="eastAsia"/>
      </w:rPr>
    </w:lvl>
    <w:lvl w:ilvl="7" w:tentative="0">
      <w:start w:val="1"/>
      <w:numFmt w:val="none"/>
      <w:lvlText w:val=""/>
      <w:lvlJc w:val="left"/>
      <w:pPr>
        <w:ind w:left="3400" w:hanging="425"/>
      </w:pPr>
      <w:rPr>
        <w:rFonts w:hint="eastAsia"/>
      </w:rPr>
    </w:lvl>
    <w:lvl w:ilvl="8" w:tentative="0">
      <w:start w:val="1"/>
      <w:numFmt w:val="none"/>
      <w:lvlText w:val=""/>
      <w:lvlJc w:val="left"/>
      <w:pPr>
        <w:ind w:left="3825" w:hanging="425"/>
      </w:pPr>
      <w:rPr>
        <w:rFonts w:hint="eastAsia"/>
      </w:rPr>
    </w:lvl>
  </w:abstractNum>
  <w:abstractNum w:abstractNumId="4">
    <w:nsid w:val="63AB5505"/>
    <w:multiLevelType w:val="multilevel"/>
    <w:tmpl w:val="63AB5505"/>
    <w:lvl w:ilvl="0" w:tentative="0">
      <w:start w:val="1"/>
      <w:numFmt w:val="chineseCountingThousand"/>
      <w:lvlText w:val="%1、"/>
      <w:lvlJc w:val="left"/>
      <w:pPr>
        <w:ind w:left="425" w:hanging="425"/>
      </w:pPr>
      <w:rPr>
        <w:rFonts w:hint="default" w:ascii="Times New Roman" w:hAnsi="Times New Roman" w:eastAsia="黑体"/>
        <w:b w:val="0"/>
        <w:i w:val="0"/>
        <w:color w:val="auto"/>
        <w:sz w:val="32"/>
      </w:rPr>
    </w:lvl>
    <w:lvl w:ilvl="1" w:tentative="0">
      <w:start w:val="1"/>
      <w:numFmt w:val="chineseCountingThousand"/>
      <w:lvlText w:val="(%2)"/>
      <w:lvlJc w:val="left"/>
      <w:pPr>
        <w:ind w:left="865" w:hanging="440"/>
      </w:pPr>
    </w:lvl>
    <w:lvl w:ilvl="2" w:tentative="0">
      <w:start w:val="1"/>
      <w:numFmt w:val="decimal"/>
      <w:lvlText w:val="%3."/>
      <w:lvlJc w:val="left"/>
      <w:pPr>
        <w:ind w:left="284" w:firstLine="283"/>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none"/>
      <w:lvlText w:val=""/>
      <w:lvlJc w:val="left"/>
      <w:pPr>
        <w:ind w:left="1700" w:hanging="425"/>
      </w:pPr>
      <w:rPr>
        <w:rFonts w:hint="eastAsia"/>
      </w:rPr>
    </w:lvl>
    <w:lvl w:ilvl="4" w:tentative="0">
      <w:start w:val="1"/>
      <w:numFmt w:val="none"/>
      <w:lvlText w:val=""/>
      <w:lvlJc w:val="left"/>
      <w:pPr>
        <w:ind w:left="2125" w:hanging="425"/>
      </w:pPr>
      <w:rPr>
        <w:rFonts w:hint="eastAsia"/>
      </w:rPr>
    </w:lvl>
    <w:lvl w:ilvl="5" w:tentative="0">
      <w:start w:val="1"/>
      <w:numFmt w:val="none"/>
      <w:lvlText w:val=""/>
      <w:lvlJc w:val="left"/>
      <w:pPr>
        <w:ind w:left="2550" w:hanging="425"/>
      </w:pPr>
      <w:rPr>
        <w:rFonts w:hint="eastAsia"/>
      </w:rPr>
    </w:lvl>
    <w:lvl w:ilvl="6" w:tentative="0">
      <w:start w:val="1"/>
      <w:numFmt w:val="none"/>
      <w:lvlText w:val=""/>
      <w:lvlJc w:val="left"/>
      <w:pPr>
        <w:ind w:left="2975" w:hanging="425"/>
      </w:pPr>
      <w:rPr>
        <w:rFonts w:hint="eastAsia"/>
      </w:rPr>
    </w:lvl>
    <w:lvl w:ilvl="7" w:tentative="0">
      <w:start w:val="1"/>
      <w:numFmt w:val="none"/>
      <w:lvlText w:val=""/>
      <w:lvlJc w:val="left"/>
      <w:pPr>
        <w:ind w:left="3400" w:hanging="425"/>
      </w:pPr>
      <w:rPr>
        <w:rFonts w:hint="eastAsia"/>
      </w:rPr>
    </w:lvl>
    <w:lvl w:ilvl="8" w:tentative="0">
      <w:start w:val="1"/>
      <w:numFmt w:val="none"/>
      <w:lvlText w:val=""/>
      <w:lvlJc w:val="left"/>
      <w:pPr>
        <w:ind w:left="3825" w:hanging="425"/>
      </w:pPr>
      <w:rPr>
        <w:rFonts w:hint="eastAsia"/>
      </w:rPr>
    </w:lvl>
  </w:abstractNum>
  <w:abstractNum w:abstractNumId="5">
    <w:nsid w:val="7EB81A5F"/>
    <w:multiLevelType w:val="multilevel"/>
    <w:tmpl w:val="7EB81A5F"/>
    <w:lvl w:ilvl="0" w:tentative="0">
      <w:start w:val="1"/>
      <w:numFmt w:val="chineseCountingThousand"/>
      <w:lvlText w:val="%1、"/>
      <w:lvlJc w:val="left"/>
      <w:pPr>
        <w:ind w:left="425" w:hanging="425"/>
      </w:pPr>
      <w:rPr>
        <w:rFonts w:hint="default" w:ascii="Times New Roman" w:hAnsi="Times New Roman" w:eastAsia="黑体"/>
        <w:b w:val="0"/>
        <w:i w:val="0"/>
        <w:color w:val="auto"/>
        <w:sz w:val="32"/>
      </w:rPr>
    </w:lvl>
    <w:lvl w:ilvl="1" w:tentative="0">
      <w:start w:val="1"/>
      <w:numFmt w:val="chineseCountingThousand"/>
      <w:lvlText w:val="(%2)"/>
      <w:lvlJc w:val="left"/>
      <w:pPr>
        <w:ind w:left="865" w:hanging="440"/>
      </w:pPr>
    </w:lvl>
    <w:lvl w:ilvl="2" w:tentative="0">
      <w:start w:val="1"/>
      <w:numFmt w:val="decimal"/>
      <w:lvlText w:val="%3."/>
      <w:lvlJc w:val="left"/>
      <w:pPr>
        <w:ind w:left="284" w:firstLine="283"/>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none"/>
      <w:lvlText w:val=""/>
      <w:lvlJc w:val="left"/>
      <w:pPr>
        <w:ind w:left="1700" w:hanging="425"/>
      </w:pPr>
      <w:rPr>
        <w:rFonts w:hint="eastAsia"/>
      </w:rPr>
    </w:lvl>
    <w:lvl w:ilvl="4" w:tentative="0">
      <w:start w:val="1"/>
      <w:numFmt w:val="none"/>
      <w:lvlText w:val=""/>
      <w:lvlJc w:val="left"/>
      <w:pPr>
        <w:ind w:left="2125" w:hanging="425"/>
      </w:pPr>
      <w:rPr>
        <w:rFonts w:hint="eastAsia"/>
      </w:rPr>
    </w:lvl>
    <w:lvl w:ilvl="5" w:tentative="0">
      <w:start w:val="1"/>
      <w:numFmt w:val="none"/>
      <w:lvlText w:val=""/>
      <w:lvlJc w:val="left"/>
      <w:pPr>
        <w:ind w:left="2550" w:hanging="425"/>
      </w:pPr>
      <w:rPr>
        <w:rFonts w:hint="eastAsia"/>
      </w:rPr>
    </w:lvl>
    <w:lvl w:ilvl="6" w:tentative="0">
      <w:start w:val="1"/>
      <w:numFmt w:val="none"/>
      <w:lvlText w:val=""/>
      <w:lvlJc w:val="left"/>
      <w:pPr>
        <w:ind w:left="2975" w:hanging="425"/>
      </w:pPr>
      <w:rPr>
        <w:rFonts w:hint="eastAsia"/>
      </w:rPr>
    </w:lvl>
    <w:lvl w:ilvl="7" w:tentative="0">
      <w:start w:val="1"/>
      <w:numFmt w:val="none"/>
      <w:lvlText w:val=""/>
      <w:lvlJc w:val="left"/>
      <w:pPr>
        <w:ind w:left="3400" w:hanging="425"/>
      </w:pPr>
      <w:rPr>
        <w:rFonts w:hint="eastAsia"/>
      </w:rPr>
    </w:lvl>
    <w:lvl w:ilvl="8" w:tentative="0">
      <w:start w:val="1"/>
      <w:numFmt w:val="none"/>
      <w:lvlText w:val=""/>
      <w:lvlJc w:val="left"/>
      <w:pPr>
        <w:ind w:left="3825" w:hanging="425"/>
      </w:pPr>
      <w:rPr>
        <w:rFonts w:hint="eastAsia"/>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HorizontalSpacing w:val="140"/>
  <w:drawingGridVerticalSpacing w:val="381"/>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MxNTZiMjM3MGUyNDQ5YTEwZTFjMWJlYTdmYmQyYTcifQ=="/>
  </w:docVars>
  <w:rsids>
    <w:rsidRoot w:val="00AC76AF"/>
    <w:rsid w:val="00001158"/>
    <w:rsid w:val="000016B1"/>
    <w:rsid w:val="000048B2"/>
    <w:rsid w:val="00006AF8"/>
    <w:rsid w:val="00007A45"/>
    <w:rsid w:val="0001064B"/>
    <w:rsid w:val="000116C5"/>
    <w:rsid w:val="00012128"/>
    <w:rsid w:val="00013E25"/>
    <w:rsid w:val="00013FF8"/>
    <w:rsid w:val="0001590A"/>
    <w:rsid w:val="00015C02"/>
    <w:rsid w:val="000163D3"/>
    <w:rsid w:val="00016B2B"/>
    <w:rsid w:val="00016BB5"/>
    <w:rsid w:val="00016BDB"/>
    <w:rsid w:val="00017B19"/>
    <w:rsid w:val="00021301"/>
    <w:rsid w:val="00021999"/>
    <w:rsid w:val="00021E05"/>
    <w:rsid w:val="00022D52"/>
    <w:rsid w:val="00022E35"/>
    <w:rsid w:val="00023E4C"/>
    <w:rsid w:val="0002404D"/>
    <w:rsid w:val="000245D1"/>
    <w:rsid w:val="000246B5"/>
    <w:rsid w:val="00025F88"/>
    <w:rsid w:val="000266DA"/>
    <w:rsid w:val="00027D8A"/>
    <w:rsid w:val="00031D5A"/>
    <w:rsid w:val="000324C4"/>
    <w:rsid w:val="00032DB1"/>
    <w:rsid w:val="00033FF3"/>
    <w:rsid w:val="00034EEE"/>
    <w:rsid w:val="0003667C"/>
    <w:rsid w:val="0003702E"/>
    <w:rsid w:val="000376E9"/>
    <w:rsid w:val="00037A6E"/>
    <w:rsid w:val="00040532"/>
    <w:rsid w:val="000413D1"/>
    <w:rsid w:val="0004152A"/>
    <w:rsid w:val="00043812"/>
    <w:rsid w:val="00044459"/>
    <w:rsid w:val="00045E8B"/>
    <w:rsid w:val="000470AF"/>
    <w:rsid w:val="0004739C"/>
    <w:rsid w:val="000477EA"/>
    <w:rsid w:val="000504E7"/>
    <w:rsid w:val="0005193F"/>
    <w:rsid w:val="00053C47"/>
    <w:rsid w:val="000554F2"/>
    <w:rsid w:val="00055DB5"/>
    <w:rsid w:val="000573C4"/>
    <w:rsid w:val="00063B1F"/>
    <w:rsid w:val="00063C03"/>
    <w:rsid w:val="00064822"/>
    <w:rsid w:val="00064B44"/>
    <w:rsid w:val="00065A2D"/>
    <w:rsid w:val="00066C99"/>
    <w:rsid w:val="000700E6"/>
    <w:rsid w:val="000705C6"/>
    <w:rsid w:val="00071571"/>
    <w:rsid w:val="00074308"/>
    <w:rsid w:val="0007718E"/>
    <w:rsid w:val="000775C1"/>
    <w:rsid w:val="000805A4"/>
    <w:rsid w:val="0008072C"/>
    <w:rsid w:val="00080F32"/>
    <w:rsid w:val="00082DF3"/>
    <w:rsid w:val="00083C3E"/>
    <w:rsid w:val="000852AD"/>
    <w:rsid w:val="00086266"/>
    <w:rsid w:val="00086A74"/>
    <w:rsid w:val="00087C0D"/>
    <w:rsid w:val="00087E30"/>
    <w:rsid w:val="00091B76"/>
    <w:rsid w:val="000920BD"/>
    <w:rsid w:val="000924CA"/>
    <w:rsid w:val="000927E0"/>
    <w:rsid w:val="00093735"/>
    <w:rsid w:val="000942C0"/>
    <w:rsid w:val="00096FAB"/>
    <w:rsid w:val="0009757A"/>
    <w:rsid w:val="00097A72"/>
    <w:rsid w:val="00097E7B"/>
    <w:rsid w:val="000A0361"/>
    <w:rsid w:val="000A2876"/>
    <w:rsid w:val="000A3009"/>
    <w:rsid w:val="000A3382"/>
    <w:rsid w:val="000A4164"/>
    <w:rsid w:val="000A4B56"/>
    <w:rsid w:val="000A4C7B"/>
    <w:rsid w:val="000A5C35"/>
    <w:rsid w:val="000A62C4"/>
    <w:rsid w:val="000A67E8"/>
    <w:rsid w:val="000B19C7"/>
    <w:rsid w:val="000B20D7"/>
    <w:rsid w:val="000B252F"/>
    <w:rsid w:val="000B25F7"/>
    <w:rsid w:val="000B2E5E"/>
    <w:rsid w:val="000B2F97"/>
    <w:rsid w:val="000B350C"/>
    <w:rsid w:val="000B39BC"/>
    <w:rsid w:val="000B4791"/>
    <w:rsid w:val="000B5FF7"/>
    <w:rsid w:val="000B6DCF"/>
    <w:rsid w:val="000B7F81"/>
    <w:rsid w:val="000C00B5"/>
    <w:rsid w:val="000C0F34"/>
    <w:rsid w:val="000C195E"/>
    <w:rsid w:val="000C3BD1"/>
    <w:rsid w:val="000C4537"/>
    <w:rsid w:val="000C66B7"/>
    <w:rsid w:val="000C7A73"/>
    <w:rsid w:val="000D028D"/>
    <w:rsid w:val="000D2CDF"/>
    <w:rsid w:val="000D2E06"/>
    <w:rsid w:val="000D3932"/>
    <w:rsid w:val="000D4AF7"/>
    <w:rsid w:val="000D5D6D"/>
    <w:rsid w:val="000D6768"/>
    <w:rsid w:val="000D6BDD"/>
    <w:rsid w:val="000D6C2A"/>
    <w:rsid w:val="000E039F"/>
    <w:rsid w:val="000E098D"/>
    <w:rsid w:val="000E0C3C"/>
    <w:rsid w:val="000E1F75"/>
    <w:rsid w:val="000E3997"/>
    <w:rsid w:val="000E4173"/>
    <w:rsid w:val="000E43B4"/>
    <w:rsid w:val="000E4DC0"/>
    <w:rsid w:val="000E4E5B"/>
    <w:rsid w:val="000E4F1D"/>
    <w:rsid w:val="000E79CC"/>
    <w:rsid w:val="000E7DA2"/>
    <w:rsid w:val="000F11E9"/>
    <w:rsid w:val="000F2919"/>
    <w:rsid w:val="000F42B9"/>
    <w:rsid w:val="000F44BC"/>
    <w:rsid w:val="000F4D93"/>
    <w:rsid w:val="000F799D"/>
    <w:rsid w:val="001017EC"/>
    <w:rsid w:val="00101F54"/>
    <w:rsid w:val="00102D3E"/>
    <w:rsid w:val="00103230"/>
    <w:rsid w:val="001049B5"/>
    <w:rsid w:val="001053DB"/>
    <w:rsid w:val="00105723"/>
    <w:rsid w:val="00105D23"/>
    <w:rsid w:val="00105D71"/>
    <w:rsid w:val="00105E44"/>
    <w:rsid w:val="00107573"/>
    <w:rsid w:val="00107958"/>
    <w:rsid w:val="00110594"/>
    <w:rsid w:val="00111FF2"/>
    <w:rsid w:val="0011207F"/>
    <w:rsid w:val="001128A8"/>
    <w:rsid w:val="001152C0"/>
    <w:rsid w:val="00116889"/>
    <w:rsid w:val="0012060C"/>
    <w:rsid w:val="001206F1"/>
    <w:rsid w:val="001227BC"/>
    <w:rsid w:val="0012321A"/>
    <w:rsid w:val="0012682D"/>
    <w:rsid w:val="00126ED2"/>
    <w:rsid w:val="001272A3"/>
    <w:rsid w:val="001277A6"/>
    <w:rsid w:val="001319E2"/>
    <w:rsid w:val="00131A34"/>
    <w:rsid w:val="001331C9"/>
    <w:rsid w:val="0013387A"/>
    <w:rsid w:val="00133A29"/>
    <w:rsid w:val="001340CC"/>
    <w:rsid w:val="00135B26"/>
    <w:rsid w:val="00136F2F"/>
    <w:rsid w:val="00137409"/>
    <w:rsid w:val="001415C0"/>
    <w:rsid w:val="00141A3E"/>
    <w:rsid w:val="00142040"/>
    <w:rsid w:val="00143137"/>
    <w:rsid w:val="0014420F"/>
    <w:rsid w:val="001450B0"/>
    <w:rsid w:val="00146087"/>
    <w:rsid w:val="00146502"/>
    <w:rsid w:val="00146E59"/>
    <w:rsid w:val="00147DD4"/>
    <w:rsid w:val="001501AC"/>
    <w:rsid w:val="00153C8F"/>
    <w:rsid w:val="00154296"/>
    <w:rsid w:val="001545AA"/>
    <w:rsid w:val="0015495B"/>
    <w:rsid w:val="00154973"/>
    <w:rsid w:val="001555F7"/>
    <w:rsid w:val="0015685E"/>
    <w:rsid w:val="00156F0F"/>
    <w:rsid w:val="0015720C"/>
    <w:rsid w:val="00157C97"/>
    <w:rsid w:val="00157F41"/>
    <w:rsid w:val="0016071E"/>
    <w:rsid w:val="001631F7"/>
    <w:rsid w:val="00164FBB"/>
    <w:rsid w:val="00165003"/>
    <w:rsid w:val="0017008C"/>
    <w:rsid w:val="00170E3D"/>
    <w:rsid w:val="0017130C"/>
    <w:rsid w:val="00171C65"/>
    <w:rsid w:val="0017332C"/>
    <w:rsid w:val="00173B03"/>
    <w:rsid w:val="00174066"/>
    <w:rsid w:val="001741CE"/>
    <w:rsid w:val="001760BF"/>
    <w:rsid w:val="001766B4"/>
    <w:rsid w:val="0017678D"/>
    <w:rsid w:val="00177B54"/>
    <w:rsid w:val="0018066B"/>
    <w:rsid w:val="00181F30"/>
    <w:rsid w:val="00183D58"/>
    <w:rsid w:val="00184E9A"/>
    <w:rsid w:val="001850B2"/>
    <w:rsid w:val="00185F19"/>
    <w:rsid w:val="0018698E"/>
    <w:rsid w:val="00186B41"/>
    <w:rsid w:val="0018738A"/>
    <w:rsid w:val="001876F3"/>
    <w:rsid w:val="00190B0D"/>
    <w:rsid w:val="00190F23"/>
    <w:rsid w:val="00192BC9"/>
    <w:rsid w:val="0019334A"/>
    <w:rsid w:val="00193FB1"/>
    <w:rsid w:val="001950C5"/>
    <w:rsid w:val="001952CF"/>
    <w:rsid w:val="00195508"/>
    <w:rsid w:val="0019626A"/>
    <w:rsid w:val="00196662"/>
    <w:rsid w:val="00197704"/>
    <w:rsid w:val="00197F06"/>
    <w:rsid w:val="00197F55"/>
    <w:rsid w:val="001A00CF"/>
    <w:rsid w:val="001A07A9"/>
    <w:rsid w:val="001A3758"/>
    <w:rsid w:val="001A50E6"/>
    <w:rsid w:val="001A560D"/>
    <w:rsid w:val="001A583B"/>
    <w:rsid w:val="001A6176"/>
    <w:rsid w:val="001A6471"/>
    <w:rsid w:val="001A6BFC"/>
    <w:rsid w:val="001B0CF7"/>
    <w:rsid w:val="001B22C4"/>
    <w:rsid w:val="001B22DE"/>
    <w:rsid w:val="001B2892"/>
    <w:rsid w:val="001B2B2F"/>
    <w:rsid w:val="001B2E73"/>
    <w:rsid w:val="001B2EED"/>
    <w:rsid w:val="001B4ADC"/>
    <w:rsid w:val="001B5446"/>
    <w:rsid w:val="001B660B"/>
    <w:rsid w:val="001C0E9F"/>
    <w:rsid w:val="001C0FC3"/>
    <w:rsid w:val="001C1CE3"/>
    <w:rsid w:val="001C3745"/>
    <w:rsid w:val="001C4AA6"/>
    <w:rsid w:val="001D227D"/>
    <w:rsid w:val="001D418F"/>
    <w:rsid w:val="001D436A"/>
    <w:rsid w:val="001D6C20"/>
    <w:rsid w:val="001E2698"/>
    <w:rsid w:val="001E44DD"/>
    <w:rsid w:val="001E6EFC"/>
    <w:rsid w:val="001F02EE"/>
    <w:rsid w:val="001F044C"/>
    <w:rsid w:val="001F0529"/>
    <w:rsid w:val="001F11F0"/>
    <w:rsid w:val="001F2737"/>
    <w:rsid w:val="001F55A3"/>
    <w:rsid w:val="001F6C45"/>
    <w:rsid w:val="001F73B9"/>
    <w:rsid w:val="001F7EAE"/>
    <w:rsid w:val="00202C65"/>
    <w:rsid w:val="00204F90"/>
    <w:rsid w:val="00206367"/>
    <w:rsid w:val="00207D7C"/>
    <w:rsid w:val="002115A6"/>
    <w:rsid w:val="002125DA"/>
    <w:rsid w:val="00212C89"/>
    <w:rsid w:val="00212E07"/>
    <w:rsid w:val="0021429B"/>
    <w:rsid w:val="00214E2E"/>
    <w:rsid w:val="00216523"/>
    <w:rsid w:val="00220374"/>
    <w:rsid w:val="00221A07"/>
    <w:rsid w:val="002222F8"/>
    <w:rsid w:val="00222A7B"/>
    <w:rsid w:val="00223261"/>
    <w:rsid w:val="002242E0"/>
    <w:rsid w:val="0022542D"/>
    <w:rsid w:val="00227BE8"/>
    <w:rsid w:val="0023080C"/>
    <w:rsid w:val="00230F0F"/>
    <w:rsid w:val="00231A79"/>
    <w:rsid w:val="0023475B"/>
    <w:rsid w:val="00234C6F"/>
    <w:rsid w:val="00234DAD"/>
    <w:rsid w:val="00235D79"/>
    <w:rsid w:val="00236927"/>
    <w:rsid w:val="0023734D"/>
    <w:rsid w:val="00237ED9"/>
    <w:rsid w:val="002405EE"/>
    <w:rsid w:val="00240A5B"/>
    <w:rsid w:val="00240BFD"/>
    <w:rsid w:val="00244155"/>
    <w:rsid w:val="00245F08"/>
    <w:rsid w:val="002461A5"/>
    <w:rsid w:val="0024681D"/>
    <w:rsid w:val="00246EEB"/>
    <w:rsid w:val="00247858"/>
    <w:rsid w:val="002505BA"/>
    <w:rsid w:val="002518FF"/>
    <w:rsid w:val="00252BCC"/>
    <w:rsid w:val="00256AB2"/>
    <w:rsid w:val="00257A47"/>
    <w:rsid w:val="00260314"/>
    <w:rsid w:val="00260AC4"/>
    <w:rsid w:val="002611DE"/>
    <w:rsid w:val="002622B2"/>
    <w:rsid w:val="0026278C"/>
    <w:rsid w:val="002660D8"/>
    <w:rsid w:val="00266B65"/>
    <w:rsid w:val="00266E3F"/>
    <w:rsid w:val="00273408"/>
    <w:rsid w:val="00274505"/>
    <w:rsid w:val="00275F93"/>
    <w:rsid w:val="00276439"/>
    <w:rsid w:val="0027673C"/>
    <w:rsid w:val="0027680C"/>
    <w:rsid w:val="00276BE1"/>
    <w:rsid w:val="00276E54"/>
    <w:rsid w:val="0027790F"/>
    <w:rsid w:val="00280BC0"/>
    <w:rsid w:val="002810C4"/>
    <w:rsid w:val="0028219A"/>
    <w:rsid w:val="002828BD"/>
    <w:rsid w:val="002828D6"/>
    <w:rsid w:val="00283AE2"/>
    <w:rsid w:val="00284F06"/>
    <w:rsid w:val="00286F32"/>
    <w:rsid w:val="00291254"/>
    <w:rsid w:val="0029362D"/>
    <w:rsid w:val="00293C1A"/>
    <w:rsid w:val="00294A10"/>
    <w:rsid w:val="00294B9A"/>
    <w:rsid w:val="00295AE3"/>
    <w:rsid w:val="00295F86"/>
    <w:rsid w:val="0029626F"/>
    <w:rsid w:val="0029638A"/>
    <w:rsid w:val="002A166F"/>
    <w:rsid w:val="002A1ACA"/>
    <w:rsid w:val="002A1BE0"/>
    <w:rsid w:val="002A1C77"/>
    <w:rsid w:val="002A2B2F"/>
    <w:rsid w:val="002A389C"/>
    <w:rsid w:val="002A3ECA"/>
    <w:rsid w:val="002A4182"/>
    <w:rsid w:val="002A5B90"/>
    <w:rsid w:val="002A71CD"/>
    <w:rsid w:val="002A79FD"/>
    <w:rsid w:val="002B23C5"/>
    <w:rsid w:val="002B3244"/>
    <w:rsid w:val="002B3533"/>
    <w:rsid w:val="002B35D1"/>
    <w:rsid w:val="002B3D27"/>
    <w:rsid w:val="002B5306"/>
    <w:rsid w:val="002B5CFB"/>
    <w:rsid w:val="002B6E61"/>
    <w:rsid w:val="002C076B"/>
    <w:rsid w:val="002C26D4"/>
    <w:rsid w:val="002C2749"/>
    <w:rsid w:val="002C4A6D"/>
    <w:rsid w:val="002C6577"/>
    <w:rsid w:val="002C6E74"/>
    <w:rsid w:val="002C7966"/>
    <w:rsid w:val="002C7E68"/>
    <w:rsid w:val="002D0EED"/>
    <w:rsid w:val="002D244B"/>
    <w:rsid w:val="002D4BF4"/>
    <w:rsid w:val="002E0171"/>
    <w:rsid w:val="002E0B56"/>
    <w:rsid w:val="002E17B4"/>
    <w:rsid w:val="002E2DD4"/>
    <w:rsid w:val="002E3998"/>
    <w:rsid w:val="002E58B4"/>
    <w:rsid w:val="002E597C"/>
    <w:rsid w:val="002F080C"/>
    <w:rsid w:val="002F2A0C"/>
    <w:rsid w:val="002F2B0B"/>
    <w:rsid w:val="002F3D09"/>
    <w:rsid w:val="002F61B1"/>
    <w:rsid w:val="002F7A32"/>
    <w:rsid w:val="002F7ADF"/>
    <w:rsid w:val="00300A6B"/>
    <w:rsid w:val="00300CB5"/>
    <w:rsid w:val="0030204E"/>
    <w:rsid w:val="00302496"/>
    <w:rsid w:val="00302896"/>
    <w:rsid w:val="0030304E"/>
    <w:rsid w:val="00304025"/>
    <w:rsid w:val="00305707"/>
    <w:rsid w:val="00306BC8"/>
    <w:rsid w:val="00307442"/>
    <w:rsid w:val="00310306"/>
    <w:rsid w:val="00310723"/>
    <w:rsid w:val="00310885"/>
    <w:rsid w:val="003108AC"/>
    <w:rsid w:val="00310C6A"/>
    <w:rsid w:val="0031121D"/>
    <w:rsid w:val="003126C4"/>
    <w:rsid w:val="0031389C"/>
    <w:rsid w:val="003158FF"/>
    <w:rsid w:val="00315C81"/>
    <w:rsid w:val="00316B0A"/>
    <w:rsid w:val="00317D70"/>
    <w:rsid w:val="00320D21"/>
    <w:rsid w:val="0032195D"/>
    <w:rsid w:val="0032218D"/>
    <w:rsid w:val="00324E58"/>
    <w:rsid w:val="00326476"/>
    <w:rsid w:val="00326BC9"/>
    <w:rsid w:val="00327D2D"/>
    <w:rsid w:val="0033195E"/>
    <w:rsid w:val="00331B29"/>
    <w:rsid w:val="00332B26"/>
    <w:rsid w:val="00333506"/>
    <w:rsid w:val="003336A9"/>
    <w:rsid w:val="003348A6"/>
    <w:rsid w:val="00335EAD"/>
    <w:rsid w:val="0033611A"/>
    <w:rsid w:val="00337175"/>
    <w:rsid w:val="00340B1A"/>
    <w:rsid w:val="00341B6D"/>
    <w:rsid w:val="00341BAA"/>
    <w:rsid w:val="00342FCD"/>
    <w:rsid w:val="00343006"/>
    <w:rsid w:val="00343416"/>
    <w:rsid w:val="003434DF"/>
    <w:rsid w:val="003439C6"/>
    <w:rsid w:val="00343A6F"/>
    <w:rsid w:val="00344340"/>
    <w:rsid w:val="003454C8"/>
    <w:rsid w:val="00345858"/>
    <w:rsid w:val="0034722F"/>
    <w:rsid w:val="003500AE"/>
    <w:rsid w:val="003510F7"/>
    <w:rsid w:val="003524D6"/>
    <w:rsid w:val="00352597"/>
    <w:rsid w:val="0035495E"/>
    <w:rsid w:val="0035566B"/>
    <w:rsid w:val="003577A2"/>
    <w:rsid w:val="00360868"/>
    <w:rsid w:val="00360D3D"/>
    <w:rsid w:val="003619ED"/>
    <w:rsid w:val="00362AEE"/>
    <w:rsid w:val="0036386A"/>
    <w:rsid w:val="003640B2"/>
    <w:rsid w:val="00364BE1"/>
    <w:rsid w:val="00366C66"/>
    <w:rsid w:val="00373863"/>
    <w:rsid w:val="00373CB1"/>
    <w:rsid w:val="00374E96"/>
    <w:rsid w:val="00374FDF"/>
    <w:rsid w:val="00375C33"/>
    <w:rsid w:val="00375CFA"/>
    <w:rsid w:val="0037638F"/>
    <w:rsid w:val="00376420"/>
    <w:rsid w:val="00377B2F"/>
    <w:rsid w:val="003801E1"/>
    <w:rsid w:val="003818E5"/>
    <w:rsid w:val="00381A87"/>
    <w:rsid w:val="00382BD0"/>
    <w:rsid w:val="003830F8"/>
    <w:rsid w:val="003857B8"/>
    <w:rsid w:val="00385C17"/>
    <w:rsid w:val="0038741C"/>
    <w:rsid w:val="00387854"/>
    <w:rsid w:val="003922C9"/>
    <w:rsid w:val="003925E6"/>
    <w:rsid w:val="00395C36"/>
    <w:rsid w:val="00397922"/>
    <w:rsid w:val="00397DF7"/>
    <w:rsid w:val="003A176C"/>
    <w:rsid w:val="003A19C9"/>
    <w:rsid w:val="003A2AC8"/>
    <w:rsid w:val="003A39AB"/>
    <w:rsid w:val="003A48A6"/>
    <w:rsid w:val="003A4CBA"/>
    <w:rsid w:val="003A5EEF"/>
    <w:rsid w:val="003B039E"/>
    <w:rsid w:val="003B061A"/>
    <w:rsid w:val="003B2A04"/>
    <w:rsid w:val="003B4BA4"/>
    <w:rsid w:val="003B4C51"/>
    <w:rsid w:val="003B50EB"/>
    <w:rsid w:val="003B64ED"/>
    <w:rsid w:val="003B6770"/>
    <w:rsid w:val="003C120F"/>
    <w:rsid w:val="003C2806"/>
    <w:rsid w:val="003C2E76"/>
    <w:rsid w:val="003C5F15"/>
    <w:rsid w:val="003D325E"/>
    <w:rsid w:val="003D41A4"/>
    <w:rsid w:val="003D470A"/>
    <w:rsid w:val="003D4CB1"/>
    <w:rsid w:val="003D4D7D"/>
    <w:rsid w:val="003D5335"/>
    <w:rsid w:val="003D5D81"/>
    <w:rsid w:val="003D7B3F"/>
    <w:rsid w:val="003E26E2"/>
    <w:rsid w:val="003E3335"/>
    <w:rsid w:val="003F0723"/>
    <w:rsid w:val="003F09B7"/>
    <w:rsid w:val="003F0FC1"/>
    <w:rsid w:val="003F40C8"/>
    <w:rsid w:val="003F4B95"/>
    <w:rsid w:val="003F53A2"/>
    <w:rsid w:val="003F7966"/>
    <w:rsid w:val="003F7C93"/>
    <w:rsid w:val="004010D9"/>
    <w:rsid w:val="00401A7E"/>
    <w:rsid w:val="00401AE0"/>
    <w:rsid w:val="004022C8"/>
    <w:rsid w:val="004028BD"/>
    <w:rsid w:val="00405809"/>
    <w:rsid w:val="00410568"/>
    <w:rsid w:val="00410AAB"/>
    <w:rsid w:val="00411FB3"/>
    <w:rsid w:val="00412861"/>
    <w:rsid w:val="00412C8A"/>
    <w:rsid w:val="00414342"/>
    <w:rsid w:val="004168F0"/>
    <w:rsid w:val="0041726B"/>
    <w:rsid w:val="004173F1"/>
    <w:rsid w:val="00417A60"/>
    <w:rsid w:val="00423475"/>
    <w:rsid w:val="00423797"/>
    <w:rsid w:val="00425544"/>
    <w:rsid w:val="00426433"/>
    <w:rsid w:val="00426BFD"/>
    <w:rsid w:val="00430840"/>
    <w:rsid w:val="004367CA"/>
    <w:rsid w:val="00436CD6"/>
    <w:rsid w:val="0044028D"/>
    <w:rsid w:val="0044190C"/>
    <w:rsid w:val="00442EC4"/>
    <w:rsid w:val="00444EE6"/>
    <w:rsid w:val="004462D3"/>
    <w:rsid w:val="00446E23"/>
    <w:rsid w:val="004512EB"/>
    <w:rsid w:val="0045155A"/>
    <w:rsid w:val="0045272B"/>
    <w:rsid w:val="00453DD9"/>
    <w:rsid w:val="00455727"/>
    <w:rsid w:val="00455C1E"/>
    <w:rsid w:val="00456CAE"/>
    <w:rsid w:val="00456DAD"/>
    <w:rsid w:val="004600AE"/>
    <w:rsid w:val="00460458"/>
    <w:rsid w:val="0046684A"/>
    <w:rsid w:val="00470B85"/>
    <w:rsid w:val="004729AB"/>
    <w:rsid w:val="00472C38"/>
    <w:rsid w:val="00473860"/>
    <w:rsid w:val="004747C8"/>
    <w:rsid w:val="00475708"/>
    <w:rsid w:val="00476E00"/>
    <w:rsid w:val="0048022F"/>
    <w:rsid w:val="00481660"/>
    <w:rsid w:val="004834FF"/>
    <w:rsid w:val="004840A6"/>
    <w:rsid w:val="00485477"/>
    <w:rsid w:val="004862C3"/>
    <w:rsid w:val="00486637"/>
    <w:rsid w:val="00487DFD"/>
    <w:rsid w:val="00495190"/>
    <w:rsid w:val="00495448"/>
    <w:rsid w:val="0049583E"/>
    <w:rsid w:val="00495DD8"/>
    <w:rsid w:val="00496F6B"/>
    <w:rsid w:val="004A22B2"/>
    <w:rsid w:val="004A3168"/>
    <w:rsid w:val="004A3E01"/>
    <w:rsid w:val="004A3E16"/>
    <w:rsid w:val="004A4D4E"/>
    <w:rsid w:val="004A5D63"/>
    <w:rsid w:val="004B0F5E"/>
    <w:rsid w:val="004B1AC3"/>
    <w:rsid w:val="004B2414"/>
    <w:rsid w:val="004B495B"/>
    <w:rsid w:val="004B4B98"/>
    <w:rsid w:val="004B4C39"/>
    <w:rsid w:val="004B509B"/>
    <w:rsid w:val="004B50CE"/>
    <w:rsid w:val="004B6379"/>
    <w:rsid w:val="004B7FA1"/>
    <w:rsid w:val="004C039D"/>
    <w:rsid w:val="004C07E5"/>
    <w:rsid w:val="004C1EE6"/>
    <w:rsid w:val="004C21F0"/>
    <w:rsid w:val="004C2773"/>
    <w:rsid w:val="004C2CF7"/>
    <w:rsid w:val="004C3534"/>
    <w:rsid w:val="004C3745"/>
    <w:rsid w:val="004C4BA5"/>
    <w:rsid w:val="004C5157"/>
    <w:rsid w:val="004C65BC"/>
    <w:rsid w:val="004C6BBA"/>
    <w:rsid w:val="004C6BEC"/>
    <w:rsid w:val="004C7150"/>
    <w:rsid w:val="004D0C1C"/>
    <w:rsid w:val="004D0F20"/>
    <w:rsid w:val="004D153E"/>
    <w:rsid w:val="004D1AC4"/>
    <w:rsid w:val="004D2E02"/>
    <w:rsid w:val="004D3A17"/>
    <w:rsid w:val="004D4C1B"/>
    <w:rsid w:val="004D6C33"/>
    <w:rsid w:val="004D70FF"/>
    <w:rsid w:val="004D7400"/>
    <w:rsid w:val="004E0A00"/>
    <w:rsid w:val="004E1767"/>
    <w:rsid w:val="004E19DB"/>
    <w:rsid w:val="004E2BF9"/>
    <w:rsid w:val="004E5052"/>
    <w:rsid w:val="004E64DF"/>
    <w:rsid w:val="004E73AD"/>
    <w:rsid w:val="004F518A"/>
    <w:rsid w:val="004F70AC"/>
    <w:rsid w:val="005012C8"/>
    <w:rsid w:val="005012CB"/>
    <w:rsid w:val="00501CDD"/>
    <w:rsid w:val="00502364"/>
    <w:rsid w:val="00504DD9"/>
    <w:rsid w:val="00505C01"/>
    <w:rsid w:val="00505C38"/>
    <w:rsid w:val="00505CED"/>
    <w:rsid w:val="00506ADC"/>
    <w:rsid w:val="005077DC"/>
    <w:rsid w:val="00510FED"/>
    <w:rsid w:val="0051100F"/>
    <w:rsid w:val="00511648"/>
    <w:rsid w:val="0051252B"/>
    <w:rsid w:val="0051435D"/>
    <w:rsid w:val="0051642C"/>
    <w:rsid w:val="005169F6"/>
    <w:rsid w:val="00516CC2"/>
    <w:rsid w:val="0052024C"/>
    <w:rsid w:val="00520318"/>
    <w:rsid w:val="00520633"/>
    <w:rsid w:val="00520F90"/>
    <w:rsid w:val="00521B16"/>
    <w:rsid w:val="0052403D"/>
    <w:rsid w:val="0052416E"/>
    <w:rsid w:val="0052511D"/>
    <w:rsid w:val="00525F1D"/>
    <w:rsid w:val="005277EC"/>
    <w:rsid w:val="00530B90"/>
    <w:rsid w:val="00531FE1"/>
    <w:rsid w:val="005335DC"/>
    <w:rsid w:val="00534AD1"/>
    <w:rsid w:val="00534D73"/>
    <w:rsid w:val="005353BB"/>
    <w:rsid w:val="00536762"/>
    <w:rsid w:val="00536C6E"/>
    <w:rsid w:val="00536E7C"/>
    <w:rsid w:val="00540211"/>
    <w:rsid w:val="00540434"/>
    <w:rsid w:val="005423CB"/>
    <w:rsid w:val="00543105"/>
    <w:rsid w:val="00545A4F"/>
    <w:rsid w:val="00545C69"/>
    <w:rsid w:val="005467C2"/>
    <w:rsid w:val="00546ADF"/>
    <w:rsid w:val="005473BD"/>
    <w:rsid w:val="00547F43"/>
    <w:rsid w:val="00551DEA"/>
    <w:rsid w:val="00552040"/>
    <w:rsid w:val="00552673"/>
    <w:rsid w:val="00555843"/>
    <w:rsid w:val="005567D0"/>
    <w:rsid w:val="00557BBD"/>
    <w:rsid w:val="005615EC"/>
    <w:rsid w:val="005617EF"/>
    <w:rsid w:val="0056211B"/>
    <w:rsid w:val="00562264"/>
    <w:rsid w:val="00564434"/>
    <w:rsid w:val="005659EE"/>
    <w:rsid w:val="00574671"/>
    <w:rsid w:val="005766DB"/>
    <w:rsid w:val="00576C7A"/>
    <w:rsid w:val="0057771D"/>
    <w:rsid w:val="00580F47"/>
    <w:rsid w:val="005827FF"/>
    <w:rsid w:val="00582D46"/>
    <w:rsid w:val="00582D71"/>
    <w:rsid w:val="005831DE"/>
    <w:rsid w:val="00583AC8"/>
    <w:rsid w:val="005845ED"/>
    <w:rsid w:val="0058537E"/>
    <w:rsid w:val="00586521"/>
    <w:rsid w:val="00586B5F"/>
    <w:rsid w:val="00586EA7"/>
    <w:rsid w:val="00587501"/>
    <w:rsid w:val="00587E36"/>
    <w:rsid w:val="005912EE"/>
    <w:rsid w:val="00591A7F"/>
    <w:rsid w:val="00591E74"/>
    <w:rsid w:val="005946A6"/>
    <w:rsid w:val="00596EC9"/>
    <w:rsid w:val="005A1F0E"/>
    <w:rsid w:val="005A3D42"/>
    <w:rsid w:val="005A4334"/>
    <w:rsid w:val="005A4A78"/>
    <w:rsid w:val="005A775C"/>
    <w:rsid w:val="005B0055"/>
    <w:rsid w:val="005B0108"/>
    <w:rsid w:val="005B0521"/>
    <w:rsid w:val="005B0EDF"/>
    <w:rsid w:val="005B49E2"/>
    <w:rsid w:val="005B598F"/>
    <w:rsid w:val="005B5CB7"/>
    <w:rsid w:val="005B6F0F"/>
    <w:rsid w:val="005B6F78"/>
    <w:rsid w:val="005B790C"/>
    <w:rsid w:val="005C0023"/>
    <w:rsid w:val="005C2CDD"/>
    <w:rsid w:val="005C2D73"/>
    <w:rsid w:val="005C432D"/>
    <w:rsid w:val="005C55C7"/>
    <w:rsid w:val="005C6482"/>
    <w:rsid w:val="005D12E4"/>
    <w:rsid w:val="005D1931"/>
    <w:rsid w:val="005D1B85"/>
    <w:rsid w:val="005D1D40"/>
    <w:rsid w:val="005D2088"/>
    <w:rsid w:val="005D4E15"/>
    <w:rsid w:val="005D515B"/>
    <w:rsid w:val="005D77CB"/>
    <w:rsid w:val="005E02BE"/>
    <w:rsid w:val="005E02F8"/>
    <w:rsid w:val="005E0484"/>
    <w:rsid w:val="005E18C4"/>
    <w:rsid w:val="005E1D16"/>
    <w:rsid w:val="005E2066"/>
    <w:rsid w:val="005E24B0"/>
    <w:rsid w:val="005E2B56"/>
    <w:rsid w:val="005E2FBA"/>
    <w:rsid w:val="005E481C"/>
    <w:rsid w:val="005E7B98"/>
    <w:rsid w:val="005F0153"/>
    <w:rsid w:val="005F1A53"/>
    <w:rsid w:val="005F2981"/>
    <w:rsid w:val="005F348D"/>
    <w:rsid w:val="005F461E"/>
    <w:rsid w:val="005F470F"/>
    <w:rsid w:val="005F4989"/>
    <w:rsid w:val="005F557D"/>
    <w:rsid w:val="005F5AB9"/>
    <w:rsid w:val="005F5EB3"/>
    <w:rsid w:val="005F7638"/>
    <w:rsid w:val="005F7D69"/>
    <w:rsid w:val="00600251"/>
    <w:rsid w:val="00603592"/>
    <w:rsid w:val="00603EDC"/>
    <w:rsid w:val="006049D5"/>
    <w:rsid w:val="006076C3"/>
    <w:rsid w:val="00610505"/>
    <w:rsid w:val="006113E4"/>
    <w:rsid w:val="006121CB"/>
    <w:rsid w:val="006132E6"/>
    <w:rsid w:val="0061672B"/>
    <w:rsid w:val="006178BC"/>
    <w:rsid w:val="006200B5"/>
    <w:rsid w:val="00623B8E"/>
    <w:rsid w:val="00624361"/>
    <w:rsid w:val="00625907"/>
    <w:rsid w:val="006259A5"/>
    <w:rsid w:val="00627B96"/>
    <w:rsid w:val="0063007A"/>
    <w:rsid w:val="00630365"/>
    <w:rsid w:val="00630B7A"/>
    <w:rsid w:val="0063164A"/>
    <w:rsid w:val="0063198A"/>
    <w:rsid w:val="00631F02"/>
    <w:rsid w:val="00632ACB"/>
    <w:rsid w:val="00632C7B"/>
    <w:rsid w:val="00633D2C"/>
    <w:rsid w:val="0063407D"/>
    <w:rsid w:val="006358CF"/>
    <w:rsid w:val="00635C6A"/>
    <w:rsid w:val="00641DCF"/>
    <w:rsid w:val="00642380"/>
    <w:rsid w:val="006430C1"/>
    <w:rsid w:val="00645160"/>
    <w:rsid w:val="00645FE5"/>
    <w:rsid w:val="00646781"/>
    <w:rsid w:val="00647A07"/>
    <w:rsid w:val="006509C0"/>
    <w:rsid w:val="006516C1"/>
    <w:rsid w:val="00652045"/>
    <w:rsid w:val="006537E6"/>
    <w:rsid w:val="00654141"/>
    <w:rsid w:val="0065518E"/>
    <w:rsid w:val="00655804"/>
    <w:rsid w:val="0065708A"/>
    <w:rsid w:val="00657665"/>
    <w:rsid w:val="0066228F"/>
    <w:rsid w:val="0066645B"/>
    <w:rsid w:val="006672DA"/>
    <w:rsid w:val="00667A86"/>
    <w:rsid w:val="00667E3A"/>
    <w:rsid w:val="0067626A"/>
    <w:rsid w:val="006762A2"/>
    <w:rsid w:val="00677128"/>
    <w:rsid w:val="00677728"/>
    <w:rsid w:val="00677ED0"/>
    <w:rsid w:val="00677F6C"/>
    <w:rsid w:val="00680421"/>
    <w:rsid w:val="006832BD"/>
    <w:rsid w:val="006836A5"/>
    <w:rsid w:val="00683D10"/>
    <w:rsid w:val="00684BC8"/>
    <w:rsid w:val="0068504E"/>
    <w:rsid w:val="00685250"/>
    <w:rsid w:val="00685AD9"/>
    <w:rsid w:val="00690C00"/>
    <w:rsid w:val="00692C19"/>
    <w:rsid w:val="00696BD7"/>
    <w:rsid w:val="00697C46"/>
    <w:rsid w:val="006A0601"/>
    <w:rsid w:val="006A1208"/>
    <w:rsid w:val="006A173C"/>
    <w:rsid w:val="006A1769"/>
    <w:rsid w:val="006A42BD"/>
    <w:rsid w:val="006A6BA5"/>
    <w:rsid w:val="006B03D7"/>
    <w:rsid w:val="006B071E"/>
    <w:rsid w:val="006B0EE0"/>
    <w:rsid w:val="006B1432"/>
    <w:rsid w:val="006B3886"/>
    <w:rsid w:val="006B3891"/>
    <w:rsid w:val="006B456C"/>
    <w:rsid w:val="006B45C2"/>
    <w:rsid w:val="006B4BE7"/>
    <w:rsid w:val="006B5F56"/>
    <w:rsid w:val="006B61E1"/>
    <w:rsid w:val="006B74A9"/>
    <w:rsid w:val="006C0312"/>
    <w:rsid w:val="006C12D9"/>
    <w:rsid w:val="006C1DD5"/>
    <w:rsid w:val="006C435E"/>
    <w:rsid w:val="006C4C28"/>
    <w:rsid w:val="006C7EA2"/>
    <w:rsid w:val="006D0DF7"/>
    <w:rsid w:val="006D0E0D"/>
    <w:rsid w:val="006D0F89"/>
    <w:rsid w:val="006D22F7"/>
    <w:rsid w:val="006D29BA"/>
    <w:rsid w:val="006D4418"/>
    <w:rsid w:val="006D4524"/>
    <w:rsid w:val="006D578E"/>
    <w:rsid w:val="006D7979"/>
    <w:rsid w:val="006D7FDC"/>
    <w:rsid w:val="006E15AA"/>
    <w:rsid w:val="006E19E4"/>
    <w:rsid w:val="006E19F6"/>
    <w:rsid w:val="006E1E99"/>
    <w:rsid w:val="006E667A"/>
    <w:rsid w:val="006E7CA3"/>
    <w:rsid w:val="006F1C10"/>
    <w:rsid w:val="006F2E7D"/>
    <w:rsid w:val="006F313F"/>
    <w:rsid w:val="006F3556"/>
    <w:rsid w:val="006F4C4E"/>
    <w:rsid w:val="006F70CD"/>
    <w:rsid w:val="006F7417"/>
    <w:rsid w:val="0070056B"/>
    <w:rsid w:val="00701A7B"/>
    <w:rsid w:val="00701BC5"/>
    <w:rsid w:val="007033A8"/>
    <w:rsid w:val="00703DE1"/>
    <w:rsid w:val="00704427"/>
    <w:rsid w:val="00704B78"/>
    <w:rsid w:val="00705E42"/>
    <w:rsid w:val="00706074"/>
    <w:rsid w:val="00706B37"/>
    <w:rsid w:val="0070734B"/>
    <w:rsid w:val="0071165B"/>
    <w:rsid w:val="00715EAB"/>
    <w:rsid w:val="007160FD"/>
    <w:rsid w:val="00716289"/>
    <w:rsid w:val="0072010E"/>
    <w:rsid w:val="00720D99"/>
    <w:rsid w:val="00721325"/>
    <w:rsid w:val="007235AB"/>
    <w:rsid w:val="0072559B"/>
    <w:rsid w:val="007267E7"/>
    <w:rsid w:val="00726FFA"/>
    <w:rsid w:val="00731BBB"/>
    <w:rsid w:val="00732CEF"/>
    <w:rsid w:val="00734129"/>
    <w:rsid w:val="00734F75"/>
    <w:rsid w:val="00736C8E"/>
    <w:rsid w:val="00737D5E"/>
    <w:rsid w:val="007405E9"/>
    <w:rsid w:val="00740AEC"/>
    <w:rsid w:val="00740D2D"/>
    <w:rsid w:val="00740E65"/>
    <w:rsid w:val="00742BC6"/>
    <w:rsid w:val="00743CCC"/>
    <w:rsid w:val="007441D8"/>
    <w:rsid w:val="007448D6"/>
    <w:rsid w:val="00746F8B"/>
    <w:rsid w:val="007502F7"/>
    <w:rsid w:val="00751AD6"/>
    <w:rsid w:val="00751B26"/>
    <w:rsid w:val="00751CC3"/>
    <w:rsid w:val="00754E9F"/>
    <w:rsid w:val="007552D8"/>
    <w:rsid w:val="00755768"/>
    <w:rsid w:val="007572A5"/>
    <w:rsid w:val="007614FD"/>
    <w:rsid w:val="00762359"/>
    <w:rsid w:val="00762364"/>
    <w:rsid w:val="00762E79"/>
    <w:rsid w:val="00765B50"/>
    <w:rsid w:val="00765D8E"/>
    <w:rsid w:val="00767DD3"/>
    <w:rsid w:val="00767F1C"/>
    <w:rsid w:val="0077068B"/>
    <w:rsid w:val="007715E9"/>
    <w:rsid w:val="007717AA"/>
    <w:rsid w:val="0077623D"/>
    <w:rsid w:val="007762B0"/>
    <w:rsid w:val="00776E0D"/>
    <w:rsid w:val="0077777D"/>
    <w:rsid w:val="007805C9"/>
    <w:rsid w:val="00780715"/>
    <w:rsid w:val="00780966"/>
    <w:rsid w:val="00784705"/>
    <w:rsid w:val="00787A72"/>
    <w:rsid w:val="00790046"/>
    <w:rsid w:val="007909E2"/>
    <w:rsid w:val="00790A15"/>
    <w:rsid w:val="007929BB"/>
    <w:rsid w:val="00793853"/>
    <w:rsid w:val="00793A50"/>
    <w:rsid w:val="0079615B"/>
    <w:rsid w:val="00796385"/>
    <w:rsid w:val="00796E70"/>
    <w:rsid w:val="007979C3"/>
    <w:rsid w:val="007A09A3"/>
    <w:rsid w:val="007A1077"/>
    <w:rsid w:val="007A15DD"/>
    <w:rsid w:val="007A1FC7"/>
    <w:rsid w:val="007A2B76"/>
    <w:rsid w:val="007A2D82"/>
    <w:rsid w:val="007A4A60"/>
    <w:rsid w:val="007A4AEA"/>
    <w:rsid w:val="007A4BFC"/>
    <w:rsid w:val="007A5B8E"/>
    <w:rsid w:val="007A7060"/>
    <w:rsid w:val="007B1132"/>
    <w:rsid w:val="007B1A25"/>
    <w:rsid w:val="007B216B"/>
    <w:rsid w:val="007B75A2"/>
    <w:rsid w:val="007C1381"/>
    <w:rsid w:val="007C13ED"/>
    <w:rsid w:val="007C1920"/>
    <w:rsid w:val="007C1CA3"/>
    <w:rsid w:val="007C20EF"/>
    <w:rsid w:val="007C3D42"/>
    <w:rsid w:val="007C444E"/>
    <w:rsid w:val="007C4EA0"/>
    <w:rsid w:val="007C531F"/>
    <w:rsid w:val="007C5EBA"/>
    <w:rsid w:val="007C648D"/>
    <w:rsid w:val="007C64C2"/>
    <w:rsid w:val="007C64E2"/>
    <w:rsid w:val="007C7BE2"/>
    <w:rsid w:val="007D0169"/>
    <w:rsid w:val="007D173D"/>
    <w:rsid w:val="007D286B"/>
    <w:rsid w:val="007D3FFB"/>
    <w:rsid w:val="007D59E9"/>
    <w:rsid w:val="007D678D"/>
    <w:rsid w:val="007D6DC8"/>
    <w:rsid w:val="007E05A8"/>
    <w:rsid w:val="007E151D"/>
    <w:rsid w:val="007E161D"/>
    <w:rsid w:val="007E26F3"/>
    <w:rsid w:val="007E7016"/>
    <w:rsid w:val="007F1451"/>
    <w:rsid w:val="007F3532"/>
    <w:rsid w:val="007F3C5F"/>
    <w:rsid w:val="007F4788"/>
    <w:rsid w:val="007F60F9"/>
    <w:rsid w:val="007F7BC4"/>
    <w:rsid w:val="00800B86"/>
    <w:rsid w:val="00800F58"/>
    <w:rsid w:val="00801A42"/>
    <w:rsid w:val="008027D1"/>
    <w:rsid w:val="00803084"/>
    <w:rsid w:val="00803CB2"/>
    <w:rsid w:val="00805E7C"/>
    <w:rsid w:val="00806337"/>
    <w:rsid w:val="00810123"/>
    <w:rsid w:val="008117D6"/>
    <w:rsid w:val="00811992"/>
    <w:rsid w:val="0081267C"/>
    <w:rsid w:val="0081268D"/>
    <w:rsid w:val="008147F3"/>
    <w:rsid w:val="00814AD5"/>
    <w:rsid w:val="008150B1"/>
    <w:rsid w:val="008159CC"/>
    <w:rsid w:val="00815DD4"/>
    <w:rsid w:val="00816E62"/>
    <w:rsid w:val="0081784E"/>
    <w:rsid w:val="0082100D"/>
    <w:rsid w:val="00822255"/>
    <w:rsid w:val="00824C0D"/>
    <w:rsid w:val="008266E2"/>
    <w:rsid w:val="008307E4"/>
    <w:rsid w:val="00830AFC"/>
    <w:rsid w:val="00832165"/>
    <w:rsid w:val="0083259A"/>
    <w:rsid w:val="00833E1C"/>
    <w:rsid w:val="00834DFA"/>
    <w:rsid w:val="00842CC5"/>
    <w:rsid w:val="00842E03"/>
    <w:rsid w:val="008441A6"/>
    <w:rsid w:val="00844964"/>
    <w:rsid w:val="0084578C"/>
    <w:rsid w:val="00850296"/>
    <w:rsid w:val="00850B88"/>
    <w:rsid w:val="00851C2E"/>
    <w:rsid w:val="00852514"/>
    <w:rsid w:val="00852895"/>
    <w:rsid w:val="008554CF"/>
    <w:rsid w:val="008564BE"/>
    <w:rsid w:val="0085723E"/>
    <w:rsid w:val="00862A50"/>
    <w:rsid w:val="0086468A"/>
    <w:rsid w:val="00864B63"/>
    <w:rsid w:val="00865D7C"/>
    <w:rsid w:val="00866538"/>
    <w:rsid w:val="00866F53"/>
    <w:rsid w:val="00870F51"/>
    <w:rsid w:val="00871120"/>
    <w:rsid w:val="00871555"/>
    <w:rsid w:val="00871ABB"/>
    <w:rsid w:val="00871D76"/>
    <w:rsid w:val="0087277A"/>
    <w:rsid w:val="008749F3"/>
    <w:rsid w:val="00876370"/>
    <w:rsid w:val="00880F20"/>
    <w:rsid w:val="0088270F"/>
    <w:rsid w:val="008858E5"/>
    <w:rsid w:val="0088796D"/>
    <w:rsid w:val="00887BA3"/>
    <w:rsid w:val="00890414"/>
    <w:rsid w:val="00890436"/>
    <w:rsid w:val="008918D2"/>
    <w:rsid w:val="00891D57"/>
    <w:rsid w:val="00892A05"/>
    <w:rsid w:val="00892B01"/>
    <w:rsid w:val="008931E9"/>
    <w:rsid w:val="008939B3"/>
    <w:rsid w:val="0089423C"/>
    <w:rsid w:val="00895C40"/>
    <w:rsid w:val="00896080"/>
    <w:rsid w:val="0089631D"/>
    <w:rsid w:val="008A096D"/>
    <w:rsid w:val="008A0DC4"/>
    <w:rsid w:val="008A19DE"/>
    <w:rsid w:val="008A2540"/>
    <w:rsid w:val="008A27B8"/>
    <w:rsid w:val="008A354A"/>
    <w:rsid w:val="008A6CF5"/>
    <w:rsid w:val="008A7012"/>
    <w:rsid w:val="008A7039"/>
    <w:rsid w:val="008A7C78"/>
    <w:rsid w:val="008A7DA9"/>
    <w:rsid w:val="008A7E4A"/>
    <w:rsid w:val="008B07D4"/>
    <w:rsid w:val="008B2F19"/>
    <w:rsid w:val="008B5268"/>
    <w:rsid w:val="008B52B1"/>
    <w:rsid w:val="008B5895"/>
    <w:rsid w:val="008C026F"/>
    <w:rsid w:val="008C2CA0"/>
    <w:rsid w:val="008C2DF0"/>
    <w:rsid w:val="008C40FA"/>
    <w:rsid w:val="008C50C9"/>
    <w:rsid w:val="008C514F"/>
    <w:rsid w:val="008C5517"/>
    <w:rsid w:val="008C576A"/>
    <w:rsid w:val="008C67A2"/>
    <w:rsid w:val="008C67C0"/>
    <w:rsid w:val="008C7276"/>
    <w:rsid w:val="008C7714"/>
    <w:rsid w:val="008D0CA0"/>
    <w:rsid w:val="008D0D7F"/>
    <w:rsid w:val="008D0DF6"/>
    <w:rsid w:val="008D115C"/>
    <w:rsid w:val="008D11C7"/>
    <w:rsid w:val="008D256C"/>
    <w:rsid w:val="008D3A20"/>
    <w:rsid w:val="008D3B1E"/>
    <w:rsid w:val="008D4A34"/>
    <w:rsid w:val="008D4B57"/>
    <w:rsid w:val="008D6293"/>
    <w:rsid w:val="008D6345"/>
    <w:rsid w:val="008D69AC"/>
    <w:rsid w:val="008E14F8"/>
    <w:rsid w:val="008E155D"/>
    <w:rsid w:val="008E66CC"/>
    <w:rsid w:val="008E6E7C"/>
    <w:rsid w:val="008E776D"/>
    <w:rsid w:val="008E7C0A"/>
    <w:rsid w:val="008F03CF"/>
    <w:rsid w:val="008F0EA0"/>
    <w:rsid w:val="008F0F05"/>
    <w:rsid w:val="008F2757"/>
    <w:rsid w:val="008F5DC7"/>
    <w:rsid w:val="008F5FC4"/>
    <w:rsid w:val="00901A61"/>
    <w:rsid w:val="009020F7"/>
    <w:rsid w:val="00902140"/>
    <w:rsid w:val="009025FC"/>
    <w:rsid w:val="00904124"/>
    <w:rsid w:val="00904DE7"/>
    <w:rsid w:val="009051F3"/>
    <w:rsid w:val="0090534A"/>
    <w:rsid w:val="00906FC7"/>
    <w:rsid w:val="0090763C"/>
    <w:rsid w:val="00910A71"/>
    <w:rsid w:val="00910D64"/>
    <w:rsid w:val="00912411"/>
    <w:rsid w:val="00912D80"/>
    <w:rsid w:val="00913325"/>
    <w:rsid w:val="00913896"/>
    <w:rsid w:val="0091470F"/>
    <w:rsid w:val="009147C1"/>
    <w:rsid w:val="0091504E"/>
    <w:rsid w:val="0091680D"/>
    <w:rsid w:val="00916993"/>
    <w:rsid w:val="009200A9"/>
    <w:rsid w:val="00921457"/>
    <w:rsid w:val="009230BD"/>
    <w:rsid w:val="00923655"/>
    <w:rsid w:val="00924176"/>
    <w:rsid w:val="00924C84"/>
    <w:rsid w:val="00925103"/>
    <w:rsid w:val="009268A5"/>
    <w:rsid w:val="0093116A"/>
    <w:rsid w:val="0093120B"/>
    <w:rsid w:val="00931442"/>
    <w:rsid w:val="009315FD"/>
    <w:rsid w:val="00931BA7"/>
    <w:rsid w:val="009328A8"/>
    <w:rsid w:val="00932A06"/>
    <w:rsid w:val="0093437C"/>
    <w:rsid w:val="00937464"/>
    <w:rsid w:val="00937770"/>
    <w:rsid w:val="00937D51"/>
    <w:rsid w:val="00943651"/>
    <w:rsid w:val="009439DD"/>
    <w:rsid w:val="00944160"/>
    <w:rsid w:val="00944954"/>
    <w:rsid w:val="00945683"/>
    <w:rsid w:val="00945DDE"/>
    <w:rsid w:val="009469D9"/>
    <w:rsid w:val="009475FB"/>
    <w:rsid w:val="009515EC"/>
    <w:rsid w:val="00951D1A"/>
    <w:rsid w:val="00952291"/>
    <w:rsid w:val="00952C12"/>
    <w:rsid w:val="0095356C"/>
    <w:rsid w:val="0095386A"/>
    <w:rsid w:val="009538CD"/>
    <w:rsid w:val="00954F6A"/>
    <w:rsid w:val="00956ADD"/>
    <w:rsid w:val="009577FB"/>
    <w:rsid w:val="00957C19"/>
    <w:rsid w:val="00957EE6"/>
    <w:rsid w:val="00960766"/>
    <w:rsid w:val="00960BD3"/>
    <w:rsid w:val="00963ADB"/>
    <w:rsid w:val="00965279"/>
    <w:rsid w:val="00965FCF"/>
    <w:rsid w:val="00973DCF"/>
    <w:rsid w:val="00974FED"/>
    <w:rsid w:val="00977816"/>
    <w:rsid w:val="009803D2"/>
    <w:rsid w:val="009806B7"/>
    <w:rsid w:val="00980A56"/>
    <w:rsid w:val="00980F9C"/>
    <w:rsid w:val="009810A1"/>
    <w:rsid w:val="00982C57"/>
    <w:rsid w:val="00983180"/>
    <w:rsid w:val="00983397"/>
    <w:rsid w:val="009837E4"/>
    <w:rsid w:val="0098509E"/>
    <w:rsid w:val="009871BA"/>
    <w:rsid w:val="00990F16"/>
    <w:rsid w:val="00991F93"/>
    <w:rsid w:val="00992FDF"/>
    <w:rsid w:val="00996010"/>
    <w:rsid w:val="00997C34"/>
    <w:rsid w:val="009A1974"/>
    <w:rsid w:val="009A1B4B"/>
    <w:rsid w:val="009A1BDA"/>
    <w:rsid w:val="009A6561"/>
    <w:rsid w:val="009A6CB7"/>
    <w:rsid w:val="009B02A2"/>
    <w:rsid w:val="009B0C42"/>
    <w:rsid w:val="009B12B2"/>
    <w:rsid w:val="009B21CE"/>
    <w:rsid w:val="009B2A1D"/>
    <w:rsid w:val="009B48C8"/>
    <w:rsid w:val="009B4BFB"/>
    <w:rsid w:val="009B4D9D"/>
    <w:rsid w:val="009B4F70"/>
    <w:rsid w:val="009B561F"/>
    <w:rsid w:val="009B6F6E"/>
    <w:rsid w:val="009B702F"/>
    <w:rsid w:val="009B73A4"/>
    <w:rsid w:val="009C017B"/>
    <w:rsid w:val="009C1B77"/>
    <w:rsid w:val="009C2FC1"/>
    <w:rsid w:val="009C4934"/>
    <w:rsid w:val="009C5B5A"/>
    <w:rsid w:val="009C5E3E"/>
    <w:rsid w:val="009C6644"/>
    <w:rsid w:val="009C668B"/>
    <w:rsid w:val="009C6BE0"/>
    <w:rsid w:val="009D07B0"/>
    <w:rsid w:val="009D0C55"/>
    <w:rsid w:val="009D180C"/>
    <w:rsid w:val="009D21E4"/>
    <w:rsid w:val="009D22BD"/>
    <w:rsid w:val="009D23FC"/>
    <w:rsid w:val="009D3BE4"/>
    <w:rsid w:val="009D6804"/>
    <w:rsid w:val="009D752D"/>
    <w:rsid w:val="009E0A3D"/>
    <w:rsid w:val="009E0E62"/>
    <w:rsid w:val="009E295F"/>
    <w:rsid w:val="009E34C5"/>
    <w:rsid w:val="009E551C"/>
    <w:rsid w:val="009E5AFA"/>
    <w:rsid w:val="009E7B53"/>
    <w:rsid w:val="009F20F4"/>
    <w:rsid w:val="009F39C9"/>
    <w:rsid w:val="009F4AAA"/>
    <w:rsid w:val="009F536D"/>
    <w:rsid w:val="009F6730"/>
    <w:rsid w:val="009F7134"/>
    <w:rsid w:val="009F7390"/>
    <w:rsid w:val="00A02BCE"/>
    <w:rsid w:val="00A02E87"/>
    <w:rsid w:val="00A03BED"/>
    <w:rsid w:val="00A052C4"/>
    <w:rsid w:val="00A05DF8"/>
    <w:rsid w:val="00A0764F"/>
    <w:rsid w:val="00A20BC3"/>
    <w:rsid w:val="00A23517"/>
    <w:rsid w:val="00A2466D"/>
    <w:rsid w:val="00A25444"/>
    <w:rsid w:val="00A31A45"/>
    <w:rsid w:val="00A33994"/>
    <w:rsid w:val="00A34C76"/>
    <w:rsid w:val="00A350CB"/>
    <w:rsid w:val="00A35C35"/>
    <w:rsid w:val="00A3699F"/>
    <w:rsid w:val="00A41AF3"/>
    <w:rsid w:val="00A42244"/>
    <w:rsid w:val="00A43667"/>
    <w:rsid w:val="00A44CFC"/>
    <w:rsid w:val="00A46CA4"/>
    <w:rsid w:val="00A47B58"/>
    <w:rsid w:val="00A50568"/>
    <w:rsid w:val="00A50CBE"/>
    <w:rsid w:val="00A50DAB"/>
    <w:rsid w:val="00A53F1C"/>
    <w:rsid w:val="00A55D3C"/>
    <w:rsid w:val="00A56E9A"/>
    <w:rsid w:val="00A572A1"/>
    <w:rsid w:val="00A57811"/>
    <w:rsid w:val="00A611F5"/>
    <w:rsid w:val="00A61513"/>
    <w:rsid w:val="00A63C9C"/>
    <w:rsid w:val="00A64EDA"/>
    <w:rsid w:val="00A6515E"/>
    <w:rsid w:val="00A66B8B"/>
    <w:rsid w:val="00A67149"/>
    <w:rsid w:val="00A67F32"/>
    <w:rsid w:val="00A700F3"/>
    <w:rsid w:val="00A72877"/>
    <w:rsid w:val="00A73938"/>
    <w:rsid w:val="00A74440"/>
    <w:rsid w:val="00A76164"/>
    <w:rsid w:val="00A76540"/>
    <w:rsid w:val="00A77F95"/>
    <w:rsid w:val="00A80254"/>
    <w:rsid w:val="00A80277"/>
    <w:rsid w:val="00A802AF"/>
    <w:rsid w:val="00A80880"/>
    <w:rsid w:val="00A80BC1"/>
    <w:rsid w:val="00A80C11"/>
    <w:rsid w:val="00A8138D"/>
    <w:rsid w:val="00A81B8C"/>
    <w:rsid w:val="00A861DF"/>
    <w:rsid w:val="00A86D5F"/>
    <w:rsid w:val="00A87922"/>
    <w:rsid w:val="00A91587"/>
    <w:rsid w:val="00A91ADB"/>
    <w:rsid w:val="00A92707"/>
    <w:rsid w:val="00A940AD"/>
    <w:rsid w:val="00A94E90"/>
    <w:rsid w:val="00A96EEA"/>
    <w:rsid w:val="00AA0204"/>
    <w:rsid w:val="00AA03E2"/>
    <w:rsid w:val="00AA07E9"/>
    <w:rsid w:val="00AA0D0E"/>
    <w:rsid w:val="00AA1518"/>
    <w:rsid w:val="00AA1AD1"/>
    <w:rsid w:val="00AA1C9B"/>
    <w:rsid w:val="00AA1F78"/>
    <w:rsid w:val="00AA2DC0"/>
    <w:rsid w:val="00AA31D5"/>
    <w:rsid w:val="00AA3767"/>
    <w:rsid w:val="00AA7459"/>
    <w:rsid w:val="00AA772B"/>
    <w:rsid w:val="00AB0FD5"/>
    <w:rsid w:val="00AB3A38"/>
    <w:rsid w:val="00AB3C58"/>
    <w:rsid w:val="00AB3CE3"/>
    <w:rsid w:val="00AB401F"/>
    <w:rsid w:val="00AC2B8B"/>
    <w:rsid w:val="00AC5BBB"/>
    <w:rsid w:val="00AC6DF3"/>
    <w:rsid w:val="00AC76AF"/>
    <w:rsid w:val="00AC7A20"/>
    <w:rsid w:val="00AD08E5"/>
    <w:rsid w:val="00AD0BD3"/>
    <w:rsid w:val="00AD287F"/>
    <w:rsid w:val="00AD290B"/>
    <w:rsid w:val="00AD6090"/>
    <w:rsid w:val="00AD689E"/>
    <w:rsid w:val="00AD7477"/>
    <w:rsid w:val="00AD7497"/>
    <w:rsid w:val="00AE027B"/>
    <w:rsid w:val="00AE19E9"/>
    <w:rsid w:val="00AE277B"/>
    <w:rsid w:val="00AE2D30"/>
    <w:rsid w:val="00AE7DBC"/>
    <w:rsid w:val="00AF01D3"/>
    <w:rsid w:val="00AF06EB"/>
    <w:rsid w:val="00AF0B3A"/>
    <w:rsid w:val="00AF15CD"/>
    <w:rsid w:val="00AF1DDB"/>
    <w:rsid w:val="00AF2573"/>
    <w:rsid w:val="00AF269B"/>
    <w:rsid w:val="00AF3176"/>
    <w:rsid w:val="00AF3E12"/>
    <w:rsid w:val="00AF3FEE"/>
    <w:rsid w:val="00AF454F"/>
    <w:rsid w:val="00AF4880"/>
    <w:rsid w:val="00AF5110"/>
    <w:rsid w:val="00B0010A"/>
    <w:rsid w:val="00B0080B"/>
    <w:rsid w:val="00B00DE3"/>
    <w:rsid w:val="00B032DC"/>
    <w:rsid w:val="00B0372A"/>
    <w:rsid w:val="00B04C99"/>
    <w:rsid w:val="00B069ED"/>
    <w:rsid w:val="00B06DC0"/>
    <w:rsid w:val="00B07185"/>
    <w:rsid w:val="00B078FA"/>
    <w:rsid w:val="00B07C43"/>
    <w:rsid w:val="00B11AD4"/>
    <w:rsid w:val="00B12580"/>
    <w:rsid w:val="00B127C0"/>
    <w:rsid w:val="00B1303D"/>
    <w:rsid w:val="00B13D54"/>
    <w:rsid w:val="00B1405B"/>
    <w:rsid w:val="00B17948"/>
    <w:rsid w:val="00B207A4"/>
    <w:rsid w:val="00B21969"/>
    <w:rsid w:val="00B21A07"/>
    <w:rsid w:val="00B25857"/>
    <w:rsid w:val="00B27370"/>
    <w:rsid w:val="00B30657"/>
    <w:rsid w:val="00B30F52"/>
    <w:rsid w:val="00B313BA"/>
    <w:rsid w:val="00B31B3C"/>
    <w:rsid w:val="00B32648"/>
    <w:rsid w:val="00B350B8"/>
    <w:rsid w:val="00B35853"/>
    <w:rsid w:val="00B3598E"/>
    <w:rsid w:val="00B3689F"/>
    <w:rsid w:val="00B36F1F"/>
    <w:rsid w:val="00B371CB"/>
    <w:rsid w:val="00B373DB"/>
    <w:rsid w:val="00B401FB"/>
    <w:rsid w:val="00B40A2B"/>
    <w:rsid w:val="00B40E02"/>
    <w:rsid w:val="00B42D1E"/>
    <w:rsid w:val="00B441FF"/>
    <w:rsid w:val="00B4552C"/>
    <w:rsid w:val="00B46E4A"/>
    <w:rsid w:val="00B4772F"/>
    <w:rsid w:val="00B47834"/>
    <w:rsid w:val="00B47855"/>
    <w:rsid w:val="00B47A0A"/>
    <w:rsid w:val="00B47FC2"/>
    <w:rsid w:val="00B50D5C"/>
    <w:rsid w:val="00B5134A"/>
    <w:rsid w:val="00B52225"/>
    <w:rsid w:val="00B54D8B"/>
    <w:rsid w:val="00B55C23"/>
    <w:rsid w:val="00B55EBF"/>
    <w:rsid w:val="00B55EF1"/>
    <w:rsid w:val="00B56306"/>
    <w:rsid w:val="00B56310"/>
    <w:rsid w:val="00B608B1"/>
    <w:rsid w:val="00B63946"/>
    <w:rsid w:val="00B6499C"/>
    <w:rsid w:val="00B651D8"/>
    <w:rsid w:val="00B65451"/>
    <w:rsid w:val="00B65C6A"/>
    <w:rsid w:val="00B6742C"/>
    <w:rsid w:val="00B707F5"/>
    <w:rsid w:val="00B715A3"/>
    <w:rsid w:val="00B72FDB"/>
    <w:rsid w:val="00B7315B"/>
    <w:rsid w:val="00B73B92"/>
    <w:rsid w:val="00B73BFA"/>
    <w:rsid w:val="00B743A0"/>
    <w:rsid w:val="00B74680"/>
    <w:rsid w:val="00B75533"/>
    <w:rsid w:val="00B80014"/>
    <w:rsid w:val="00B816C6"/>
    <w:rsid w:val="00B81ADC"/>
    <w:rsid w:val="00B83F5E"/>
    <w:rsid w:val="00B85847"/>
    <w:rsid w:val="00B8658A"/>
    <w:rsid w:val="00B87333"/>
    <w:rsid w:val="00B87CC3"/>
    <w:rsid w:val="00B87FD8"/>
    <w:rsid w:val="00B913F3"/>
    <w:rsid w:val="00B92B10"/>
    <w:rsid w:val="00B93B57"/>
    <w:rsid w:val="00B93C58"/>
    <w:rsid w:val="00B94409"/>
    <w:rsid w:val="00B94B2C"/>
    <w:rsid w:val="00B972CB"/>
    <w:rsid w:val="00B97415"/>
    <w:rsid w:val="00BA15E8"/>
    <w:rsid w:val="00BA1893"/>
    <w:rsid w:val="00BA23C9"/>
    <w:rsid w:val="00BA25E4"/>
    <w:rsid w:val="00BA3245"/>
    <w:rsid w:val="00BA392F"/>
    <w:rsid w:val="00BA435A"/>
    <w:rsid w:val="00BA4A88"/>
    <w:rsid w:val="00BA5E62"/>
    <w:rsid w:val="00BA7A29"/>
    <w:rsid w:val="00BA7C35"/>
    <w:rsid w:val="00BB0873"/>
    <w:rsid w:val="00BB1CFB"/>
    <w:rsid w:val="00BB2B3A"/>
    <w:rsid w:val="00BB366F"/>
    <w:rsid w:val="00BB37D3"/>
    <w:rsid w:val="00BB3A18"/>
    <w:rsid w:val="00BB449B"/>
    <w:rsid w:val="00BB7371"/>
    <w:rsid w:val="00BC3C3A"/>
    <w:rsid w:val="00BC51CC"/>
    <w:rsid w:val="00BC5786"/>
    <w:rsid w:val="00BC5B64"/>
    <w:rsid w:val="00BC641A"/>
    <w:rsid w:val="00BD267C"/>
    <w:rsid w:val="00BD48E7"/>
    <w:rsid w:val="00BD5AAD"/>
    <w:rsid w:val="00BE4CBB"/>
    <w:rsid w:val="00BE71D0"/>
    <w:rsid w:val="00BE7674"/>
    <w:rsid w:val="00BF045D"/>
    <w:rsid w:val="00BF0C70"/>
    <w:rsid w:val="00BF16CE"/>
    <w:rsid w:val="00BF19B8"/>
    <w:rsid w:val="00BF2519"/>
    <w:rsid w:val="00BF2B09"/>
    <w:rsid w:val="00BF2EAA"/>
    <w:rsid w:val="00BF4146"/>
    <w:rsid w:val="00BF4EE0"/>
    <w:rsid w:val="00BF4EE5"/>
    <w:rsid w:val="00BF6999"/>
    <w:rsid w:val="00BF701D"/>
    <w:rsid w:val="00BF73AC"/>
    <w:rsid w:val="00BF74CB"/>
    <w:rsid w:val="00C03F30"/>
    <w:rsid w:val="00C0429F"/>
    <w:rsid w:val="00C043E1"/>
    <w:rsid w:val="00C04D00"/>
    <w:rsid w:val="00C05179"/>
    <w:rsid w:val="00C05F77"/>
    <w:rsid w:val="00C07C5A"/>
    <w:rsid w:val="00C10461"/>
    <w:rsid w:val="00C106CF"/>
    <w:rsid w:val="00C109D3"/>
    <w:rsid w:val="00C120F4"/>
    <w:rsid w:val="00C129C7"/>
    <w:rsid w:val="00C1422E"/>
    <w:rsid w:val="00C17DA9"/>
    <w:rsid w:val="00C21974"/>
    <w:rsid w:val="00C25E23"/>
    <w:rsid w:val="00C26FA9"/>
    <w:rsid w:val="00C27DB9"/>
    <w:rsid w:val="00C308E2"/>
    <w:rsid w:val="00C3245E"/>
    <w:rsid w:val="00C352DF"/>
    <w:rsid w:val="00C35C4E"/>
    <w:rsid w:val="00C404A5"/>
    <w:rsid w:val="00C41780"/>
    <w:rsid w:val="00C436CA"/>
    <w:rsid w:val="00C45A62"/>
    <w:rsid w:val="00C501D1"/>
    <w:rsid w:val="00C50B27"/>
    <w:rsid w:val="00C5145F"/>
    <w:rsid w:val="00C52D6C"/>
    <w:rsid w:val="00C52F28"/>
    <w:rsid w:val="00C54221"/>
    <w:rsid w:val="00C547D4"/>
    <w:rsid w:val="00C548B2"/>
    <w:rsid w:val="00C55070"/>
    <w:rsid w:val="00C5668B"/>
    <w:rsid w:val="00C6009B"/>
    <w:rsid w:val="00C60189"/>
    <w:rsid w:val="00C6125C"/>
    <w:rsid w:val="00C618C2"/>
    <w:rsid w:val="00C62C0D"/>
    <w:rsid w:val="00C63B1C"/>
    <w:rsid w:val="00C64A03"/>
    <w:rsid w:val="00C65501"/>
    <w:rsid w:val="00C67D49"/>
    <w:rsid w:val="00C71858"/>
    <w:rsid w:val="00C72CEC"/>
    <w:rsid w:val="00C72D6F"/>
    <w:rsid w:val="00C746C7"/>
    <w:rsid w:val="00C74734"/>
    <w:rsid w:val="00C74DC0"/>
    <w:rsid w:val="00C7678A"/>
    <w:rsid w:val="00C774EB"/>
    <w:rsid w:val="00C77AB5"/>
    <w:rsid w:val="00C80445"/>
    <w:rsid w:val="00C80A3C"/>
    <w:rsid w:val="00C81594"/>
    <w:rsid w:val="00C82972"/>
    <w:rsid w:val="00C83B3A"/>
    <w:rsid w:val="00C84160"/>
    <w:rsid w:val="00C855DF"/>
    <w:rsid w:val="00C8657C"/>
    <w:rsid w:val="00C8744B"/>
    <w:rsid w:val="00C90692"/>
    <w:rsid w:val="00C9266F"/>
    <w:rsid w:val="00C96D4B"/>
    <w:rsid w:val="00C978A5"/>
    <w:rsid w:val="00CA053B"/>
    <w:rsid w:val="00CA06E6"/>
    <w:rsid w:val="00CA2460"/>
    <w:rsid w:val="00CA2BCE"/>
    <w:rsid w:val="00CA305C"/>
    <w:rsid w:val="00CA7309"/>
    <w:rsid w:val="00CA7D43"/>
    <w:rsid w:val="00CB0DD9"/>
    <w:rsid w:val="00CB1378"/>
    <w:rsid w:val="00CB1EF9"/>
    <w:rsid w:val="00CB2C31"/>
    <w:rsid w:val="00CB4F60"/>
    <w:rsid w:val="00CB5C48"/>
    <w:rsid w:val="00CB5C88"/>
    <w:rsid w:val="00CB7C16"/>
    <w:rsid w:val="00CB7E47"/>
    <w:rsid w:val="00CB7E5F"/>
    <w:rsid w:val="00CC12B4"/>
    <w:rsid w:val="00CC1422"/>
    <w:rsid w:val="00CC2D74"/>
    <w:rsid w:val="00CC375D"/>
    <w:rsid w:val="00CC391A"/>
    <w:rsid w:val="00CC3A5F"/>
    <w:rsid w:val="00CC47D8"/>
    <w:rsid w:val="00CC56AD"/>
    <w:rsid w:val="00CC5A40"/>
    <w:rsid w:val="00CD0D1F"/>
    <w:rsid w:val="00CD1E20"/>
    <w:rsid w:val="00CD2CC5"/>
    <w:rsid w:val="00CD2E41"/>
    <w:rsid w:val="00CD306B"/>
    <w:rsid w:val="00CD3B23"/>
    <w:rsid w:val="00CD3D74"/>
    <w:rsid w:val="00CD4858"/>
    <w:rsid w:val="00CD5507"/>
    <w:rsid w:val="00CD6151"/>
    <w:rsid w:val="00CD7392"/>
    <w:rsid w:val="00CD75EE"/>
    <w:rsid w:val="00CE1C42"/>
    <w:rsid w:val="00CE21C5"/>
    <w:rsid w:val="00CE4B95"/>
    <w:rsid w:val="00CE6F5D"/>
    <w:rsid w:val="00CE6FCF"/>
    <w:rsid w:val="00CE7AA9"/>
    <w:rsid w:val="00CE7C99"/>
    <w:rsid w:val="00CF0513"/>
    <w:rsid w:val="00CF182F"/>
    <w:rsid w:val="00CF2648"/>
    <w:rsid w:val="00CF4221"/>
    <w:rsid w:val="00CF4601"/>
    <w:rsid w:val="00CF563B"/>
    <w:rsid w:val="00D044FA"/>
    <w:rsid w:val="00D04E26"/>
    <w:rsid w:val="00D04F83"/>
    <w:rsid w:val="00D103E9"/>
    <w:rsid w:val="00D104F9"/>
    <w:rsid w:val="00D1132A"/>
    <w:rsid w:val="00D11C7E"/>
    <w:rsid w:val="00D12623"/>
    <w:rsid w:val="00D13B2B"/>
    <w:rsid w:val="00D17734"/>
    <w:rsid w:val="00D17CF8"/>
    <w:rsid w:val="00D17EF3"/>
    <w:rsid w:val="00D2009B"/>
    <w:rsid w:val="00D203EA"/>
    <w:rsid w:val="00D21101"/>
    <w:rsid w:val="00D22293"/>
    <w:rsid w:val="00D2268F"/>
    <w:rsid w:val="00D238E0"/>
    <w:rsid w:val="00D23B23"/>
    <w:rsid w:val="00D24C2B"/>
    <w:rsid w:val="00D250B8"/>
    <w:rsid w:val="00D2534D"/>
    <w:rsid w:val="00D25751"/>
    <w:rsid w:val="00D26BFD"/>
    <w:rsid w:val="00D30425"/>
    <w:rsid w:val="00D30DA5"/>
    <w:rsid w:val="00D33CAA"/>
    <w:rsid w:val="00D35E7B"/>
    <w:rsid w:val="00D37F69"/>
    <w:rsid w:val="00D421E0"/>
    <w:rsid w:val="00D42B52"/>
    <w:rsid w:val="00D42EB3"/>
    <w:rsid w:val="00D4315E"/>
    <w:rsid w:val="00D437A4"/>
    <w:rsid w:val="00D44D2E"/>
    <w:rsid w:val="00D50408"/>
    <w:rsid w:val="00D508F3"/>
    <w:rsid w:val="00D52C06"/>
    <w:rsid w:val="00D54C6D"/>
    <w:rsid w:val="00D5507E"/>
    <w:rsid w:val="00D55E2F"/>
    <w:rsid w:val="00D56A30"/>
    <w:rsid w:val="00D56A86"/>
    <w:rsid w:val="00D57C57"/>
    <w:rsid w:val="00D57D10"/>
    <w:rsid w:val="00D60C7F"/>
    <w:rsid w:val="00D6186E"/>
    <w:rsid w:val="00D6283B"/>
    <w:rsid w:val="00D64BD8"/>
    <w:rsid w:val="00D64C2C"/>
    <w:rsid w:val="00D64D43"/>
    <w:rsid w:val="00D64EEF"/>
    <w:rsid w:val="00D7046D"/>
    <w:rsid w:val="00D716F2"/>
    <w:rsid w:val="00D71A13"/>
    <w:rsid w:val="00D72780"/>
    <w:rsid w:val="00D73ECC"/>
    <w:rsid w:val="00D74883"/>
    <w:rsid w:val="00D74C66"/>
    <w:rsid w:val="00D801EE"/>
    <w:rsid w:val="00D804D1"/>
    <w:rsid w:val="00D81219"/>
    <w:rsid w:val="00D815E5"/>
    <w:rsid w:val="00D8298C"/>
    <w:rsid w:val="00D82E4A"/>
    <w:rsid w:val="00D8599C"/>
    <w:rsid w:val="00D90922"/>
    <w:rsid w:val="00D90F1E"/>
    <w:rsid w:val="00D9130B"/>
    <w:rsid w:val="00D91898"/>
    <w:rsid w:val="00D9627B"/>
    <w:rsid w:val="00D96575"/>
    <w:rsid w:val="00DA138F"/>
    <w:rsid w:val="00DA1AF9"/>
    <w:rsid w:val="00DA349E"/>
    <w:rsid w:val="00DA383A"/>
    <w:rsid w:val="00DA3E85"/>
    <w:rsid w:val="00DA3F19"/>
    <w:rsid w:val="00DA4CF0"/>
    <w:rsid w:val="00DA4D67"/>
    <w:rsid w:val="00DA542D"/>
    <w:rsid w:val="00DA5723"/>
    <w:rsid w:val="00DA5BF2"/>
    <w:rsid w:val="00DA670D"/>
    <w:rsid w:val="00DA71A1"/>
    <w:rsid w:val="00DB1EF8"/>
    <w:rsid w:val="00DB22C0"/>
    <w:rsid w:val="00DB377D"/>
    <w:rsid w:val="00DB3A5A"/>
    <w:rsid w:val="00DB4D64"/>
    <w:rsid w:val="00DB6F9A"/>
    <w:rsid w:val="00DC0B23"/>
    <w:rsid w:val="00DC3C29"/>
    <w:rsid w:val="00DC436C"/>
    <w:rsid w:val="00DC4ABA"/>
    <w:rsid w:val="00DC6E50"/>
    <w:rsid w:val="00DC7769"/>
    <w:rsid w:val="00DD04B0"/>
    <w:rsid w:val="00DD3D68"/>
    <w:rsid w:val="00DD549A"/>
    <w:rsid w:val="00DD6495"/>
    <w:rsid w:val="00DD6C5E"/>
    <w:rsid w:val="00DE0060"/>
    <w:rsid w:val="00DE2714"/>
    <w:rsid w:val="00DE3108"/>
    <w:rsid w:val="00DE3570"/>
    <w:rsid w:val="00DE5C53"/>
    <w:rsid w:val="00DF104C"/>
    <w:rsid w:val="00DF5820"/>
    <w:rsid w:val="00DF6392"/>
    <w:rsid w:val="00DF7A87"/>
    <w:rsid w:val="00DF7BB8"/>
    <w:rsid w:val="00E027E9"/>
    <w:rsid w:val="00E02CF6"/>
    <w:rsid w:val="00E03B33"/>
    <w:rsid w:val="00E0455D"/>
    <w:rsid w:val="00E047EF"/>
    <w:rsid w:val="00E05F4B"/>
    <w:rsid w:val="00E06970"/>
    <w:rsid w:val="00E10306"/>
    <w:rsid w:val="00E1170A"/>
    <w:rsid w:val="00E11B23"/>
    <w:rsid w:val="00E122F5"/>
    <w:rsid w:val="00E12930"/>
    <w:rsid w:val="00E130B6"/>
    <w:rsid w:val="00E13823"/>
    <w:rsid w:val="00E14D7C"/>
    <w:rsid w:val="00E14EED"/>
    <w:rsid w:val="00E17390"/>
    <w:rsid w:val="00E17A32"/>
    <w:rsid w:val="00E17EBE"/>
    <w:rsid w:val="00E200E6"/>
    <w:rsid w:val="00E2381D"/>
    <w:rsid w:val="00E25F61"/>
    <w:rsid w:val="00E26CF6"/>
    <w:rsid w:val="00E3097B"/>
    <w:rsid w:val="00E30A59"/>
    <w:rsid w:val="00E31C38"/>
    <w:rsid w:val="00E348D3"/>
    <w:rsid w:val="00E34FEC"/>
    <w:rsid w:val="00E36BF9"/>
    <w:rsid w:val="00E3796B"/>
    <w:rsid w:val="00E41180"/>
    <w:rsid w:val="00E424E3"/>
    <w:rsid w:val="00E44374"/>
    <w:rsid w:val="00E44C12"/>
    <w:rsid w:val="00E458F5"/>
    <w:rsid w:val="00E47607"/>
    <w:rsid w:val="00E500E0"/>
    <w:rsid w:val="00E53186"/>
    <w:rsid w:val="00E533A3"/>
    <w:rsid w:val="00E536ED"/>
    <w:rsid w:val="00E53F83"/>
    <w:rsid w:val="00E55BA8"/>
    <w:rsid w:val="00E55E6D"/>
    <w:rsid w:val="00E578D4"/>
    <w:rsid w:val="00E623BA"/>
    <w:rsid w:val="00E62C09"/>
    <w:rsid w:val="00E649D7"/>
    <w:rsid w:val="00E7009E"/>
    <w:rsid w:val="00E70722"/>
    <w:rsid w:val="00E71302"/>
    <w:rsid w:val="00E71BAA"/>
    <w:rsid w:val="00E71D35"/>
    <w:rsid w:val="00E71F75"/>
    <w:rsid w:val="00E72940"/>
    <w:rsid w:val="00E72A1B"/>
    <w:rsid w:val="00E731BE"/>
    <w:rsid w:val="00E74377"/>
    <w:rsid w:val="00E74BD4"/>
    <w:rsid w:val="00E75D88"/>
    <w:rsid w:val="00E76811"/>
    <w:rsid w:val="00E76BAA"/>
    <w:rsid w:val="00E77A1C"/>
    <w:rsid w:val="00E77DBB"/>
    <w:rsid w:val="00E800DB"/>
    <w:rsid w:val="00E807CA"/>
    <w:rsid w:val="00E81215"/>
    <w:rsid w:val="00E81FA8"/>
    <w:rsid w:val="00E832D9"/>
    <w:rsid w:val="00E841B6"/>
    <w:rsid w:val="00E845DD"/>
    <w:rsid w:val="00E85817"/>
    <w:rsid w:val="00E86466"/>
    <w:rsid w:val="00E87439"/>
    <w:rsid w:val="00E87ECA"/>
    <w:rsid w:val="00E90731"/>
    <w:rsid w:val="00E910BD"/>
    <w:rsid w:val="00E933EE"/>
    <w:rsid w:val="00E939C1"/>
    <w:rsid w:val="00E949BD"/>
    <w:rsid w:val="00E94EBE"/>
    <w:rsid w:val="00E959FB"/>
    <w:rsid w:val="00E96DB0"/>
    <w:rsid w:val="00EA235B"/>
    <w:rsid w:val="00EA37A7"/>
    <w:rsid w:val="00EA4A41"/>
    <w:rsid w:val="00EA5B6C"/>
    <w:rsid w:val="00EA637C"/>
    <w:rsid w:val="00EB0521"/>
    <w:rsid w:val="00EB1FD6"/>
    <w:rsid w:val="00EB2356"/>
    <w:rsid w:val="00EB2459"/>
    <w:rsid w:val="00EB25B5"/>
    <w:rsid w:val="00EB2A48"/>
    <w:rsid w:val="00EB3FC4"/>
    <w:rsid w:val="00EB5248"/>
    <w:rsid w:val="00EB5644"/>
    <w:rsid w:val="00EB5F6F"/>
    <w:rsid w:val="00EB6AFC"/>
    <w:rsid w:val="00EC1E29"/>
    <w:rsid w:val="00EC32C3"/>
    <w:rsid w:val="00EC32EA"/>
    <w:rsid w:val="00EC40FC"/>
    <w:rsid w:val="00EC594C"/>
    <w:rsid w:val="00EC6851"/>
    <w:rsid w:val="00EC6ABE"/>
    <w:rsid w:val="00EC748A"/>
    <w:rsid w:val="00ED0191"/>
    <w:rsid w:val="00ED34AD"/>
    <w:rsid w:val="00ED3B08"/>
    <w:rsid w:val="00ED4774"/>
    <w:rsid w:val="00ED73DA"/>
    <w:rsid w:val="00EE0EC9"/>
    <w:rsid w:val="00EE2165"/>
    <w:rsid w:val="00EE3B3A"/>
    <w:rsid w:val="00EE4206"/>
    <w:rsid w:val="00EE601C"/>
    <w:rsid w:val="00EE70E5"/>
    <w:rsid w:val="00EE7C41"/>
    <w:rsid w:val="00EF0D81"/>
    <w:rsid w:val="00EF1588"/>
    <w:rsid w:val="00EF1F0E"/>
    <w:rsid w:val="00EF4476"/>
    <w:rsid w:val="00EF4835"/>
    <w:rsid w:val="00F01C83"/>
    <w:rsid w:val="00F030B8"/>
    <w:rsid w:val="00F03700"/>
    <w:rsid w:val="00F043F6"/>
    <w:rsid w:val="00F0656D"/>
    <w:rsid w:val="00F06B92"/>
    <w:rsid w:val="00F07540"/>
    <w:rsid w:val="00F109B3"/>
    <w:rsid w:val="00F110E7"/>
    <w:rsid w:val="00F11276"/>
    <w:rsid w:val="00F11559"/>
    <w:rsid w:val="00F12834"/>
    <w:rsid w:val="00F130CE"/>
    <w:rsid w:val="00F132C8"/>
    <w:rsid w:val="00F13B32"/>
    <w:rsid w:val="00F144CF"/>
    <w:rsid w:val="00F145DE"/>
    <w:rsid w:val="00F14EA9"/>
    <w:rsid w:val="00F16B38"/>
    <w:rsid w:val="00F178F1"/>
    <w:rsid w:val="00F20818"/>
    <w:rsid w:val="00F20D09"/>
    <w:rsid w:val="00F2136F"/>
    <w:rsid w:val="00F217A3"/>
    <w:rsid w:val="00F219FE"/>
    <w:rsid w:val="00F221B2"/>
    <w:rsid w:val="00F222CE"/>
    <w:rsid w:val="00F22D96"/>
    <w:rsid w:val="00F22DEC"/>
    <w:rsid w:val="00F25764"/>
    <w:rsid w:val="00F25DBE"/>
    <w:rsid w:val="00F268FF"/>
    <w:rsid w:val="00F271D0"/>
    <w:rsid w:val="00F308A5"/>
    <w:rsid w:val="00F308E1"/>
    <w:rsid w:val="00F309AA"/>
    <w:rsid w:val="00F3118C"/>
    <w:rsid w:val="00F31953"/>
    <w:rsid w:val="00F3559C"/>
    <w:rsid w:val="00F36E1C"/>
    <w:rsid w:val="00F40BC4"/>
    <w:rsid w:val="00F40D36"/>
    <w:rsid w:val="00F416A4"/>
    <w:rsid w:val="00F418B2"/>
    <w:rsid w:val="00F425AC"/>
    <w:rsid w:val="00F42F2E"/>
    <w:rsid w:val="00F430D6"/>
    <w:rsid w:val="00F45E55"/>
    <w:rsid w:val="00F47822"/>
    <w:rsid w:val="00F47B57"/>
    <w:rsid w:val="00F50586"/>
    <w:rsid w:val="00F5150B"/>
    <w:rsid w:val="00F51742"/>
    <w:rsid w:val="00F52150"/>
    <w:rsid w:val="00F52CCC"/>
    <w:rsid w:val="00F53B2F"/>
    <w:rsid w:val="00F543A6"/>
    <w:rsid w:val="00F5488A"/>
    <w:rsid w:val="00F556D0"/>
    <w:rsid w:val="00F5650A"/>
    <w:rsid w:val="00F57980"/>
    <w:rsid w:val="00F57A88"/>
    <w:rsid w:val="00F60AD4"/>
    <w:rsid w:val="00F60DA6"/>
    <w:rsid w:val="00F623D4"/>
    <w:rsid w:val="00F627D6"/>
    <w:rsid w:val="00F6532D"/>
    <w:rsid w:val="00F653C6"/>
    <w:rsid w:val="00F6686F"/>
    <w:rsid w:val="00F6746C"/>
    <w:rsid w:val="00F7003B"/>
    <w:rsid w:val="00F704D5"/>
    <w:rsid w:val="00F71439"/>
    <w:rsid w:val="00F7169D"/>
    <w:rsid w:val="00F71B15"/>
    <w:rsid w:val="00F731C5"/>
    <w:rsid w:val="00F74A39"/>
    <w:rsid w:val="00F74AAD"/>
    <w:rsid w:val="00F766F4"/>
    <w:rsid w:val="00F77ADD"/>
    <w:rsid w:val="00F810CD"/>
    <w:rsid w:val="00F83886"/>
    <w:rsid w:val="00F83CF8"/>
    <w:rsid w:val="00F84638"/>
    <w:rsid w:val="00F8492B"/>
    <w:rsid w:val="00F852DF"/>
    <w:rsid w:val="00F87844"/>
    <w:rsid w:val="00F90528"/>
    <w:rsid w:val="00F921D0"/>
    <w:rsid w:val="00F95503"/>
    <w:rsid w:val="00F95799"/>
    <w:rsid w:val="00F95A86"/>
    <w:rsid w:val="00F96414"/>
    <w:rsid w:val="00F97DC0"/>
    <w:rsid w:val="00FA058D"/>
    <w:rsid w:val="00FA2782"/>
    <w:rsid w:val="00FA446A"/>
    <w:rsid w:val="00FA7128"/>
    <w:rsid w:val="00FB13C2"/>
    <w:rsid w:val="00FB20C8"/>
    <w:rsid w:val="00FB2413"/>
    <w:rsid w:val="00FB3CB2"/>
    <w:rsid w:val="00FB4F65"/>
    <w:rsid w:val="00FB537D"/>
    <w:rsid w:val="00FB56CE"/>
    <w:rsid w:val="00FB5F48"/>
    <w:rsid w:val="00FB6710"/>
    <w:rsid w:val="00FB6A93"/>
    <w:rsid w:val="00FB7462"/>
    <w:rsid w:val="00FB770F"/>
    <w:rsid w:val="00FB7932"/>
    <w:rsid w:val="00FC0002"/>
    <w:rsid w:val="00FC4654"/>
    <w:rsid w:val="00FC4792"/>
    <w:rsid w:val="00FD055D"/>
    <w:rsid w:val="00FD07B1"/>
    <w:rsid w:val="00FD08D3"/>
    <w:rsid w:val="00FD15C7"/>
    <w:rsid w:val="00FD23C0"/>
    <w:rsid w:val="00FD3A7F"/>
    <w:rsid w:val="00FD3CE3"/>
    <w:rsid w:val="00FD571B"/>
    <w:rsid w:val="00FD6C4B"/>
    <w:rsid w:val="00FD70E3"/>
    <w:rsid w:val="00FE058C"/>
    <w:rsid w:val="00FE06FA"/>
    <w:rsid w:val="00FE0D11"/>
    <w:rsid w:val="00FE34DF"/>
    <w:rsid w:val="00FE455A"/>
    <w:rsid w:val="00FE4AA7"/>
    <w:rsid w:val="00FE5B58"/>
    <w:rsid w:val="00FE641F"/>
    <w:rsid w:val="00FE645B"/>
    <w:rsid w:val="00FE695A"/>
    <w:rsid w:val="00FF056B"/>
    <w:rsid w:val="00FF2402"/>
    <w:rsid w:val="00FF2E56"/>
    <w:rsid w:val="00FF300A"/>
    <w:rsid w:val="00FF6580"/>
    <w:rsid w:val="00FF6A2D"/>
    <w:rsid w:val="00FF72A0"/>
    <w:rsid w:val="01374E54"/>
    <w:rsid w:val="01777BF4"/>
    <w:rsid w:val="030F76AC"/>
    <w:rsid w:val="040516B2"/>
    <w:rsid w:val="05C94941"/>
    <w:rsid w:val="074C7BDF"/>
    <w:rsid w:val="08C711B3"/>
    <w:rsid w:val="093002C5"/>
    <w:rsid w:val="0BB53545"/>
    <w:rsid w:val="0CCA1272"/>
    <w:rsid w:val="108F6A5A"/>
    <w:rsid w:val="10ED2C42"/>
    <w:rsid w:val="10F52F14"/>
    <w:rsid w:val="11086F03"/>
    <w:rsid w:val="11265A17"/>
    <w:rsid w:val="130123B7"/>
    <w:rsid w:val="171B1048"/>
    <w:rsid w:val="189664AC"/>
    <w:rsid w:val="1ABC19A7"/>
    <w:rsid w:val="1CC47F67"/>
    <w:rsid w:val="1E685864"/>
    <w:rsid w:val="20191E9C"/>
    <w:rsid w:val="208D2386"/>
    <w:rsid w:val="25360D23"/>
    <w:rsid w:val="2BC13A5D"/>
    <w:rsid w:val="2CFE48F4"/>
    <w:rsid w:val="2D7921CC"/>
    <w:rsid w:val="2FA71273"/>
    <w:rsid w:val="31922E75"/>
    <w:rsid w:val="350861A1"/>
    <w:rsid w:val="35C800BC"/>
    <w:rsid w:val="361B02C4"/>
    <w:rsid w:val="369C4354"/>
    <w:rsid w:val="36C80236"/>
    <w:rsid w:val="3AAF1923"/>
    <w:rsid w:val="3CB23005"/>
    <w:rsid w:val="3DC01751"/>
    <w:rsid w:val="3FE96D7A"/>
    <w:rsid w:val="404C6FB8"/>
    <w:rsid w:val="41636E18"/>
    <w:rsid w:val="45CA13BF"/>
    <w:rsid w:val="467C4DAF"/>
    <w:rsid w:val="49997C6F"/>
    <w:rsid w:val="4D0C0932"/>
    <w:rsid w:val="4E141D71"/>
    <w:rsid w:val="50744D49"/>
    <w:rsid w:val="514566E6"/>
    <w:rsid w:val="539574B0"/>
    <w:rsid w:val="58383C81"/>
    <w:rsid w:val="5E2158A4"/>
    <w:rsid w:val="626E0D6E"/>
    <w:rsid w:val="636E387A"/>
    <w:rsid w:val="69C247D7"/>
    <w:rsid w:val="6D580834"/>
    <w:rsid w:val="707D181F"/>
    <w:rsid w:val="71EF202A"/>
    <w:rsid w:val="720E497D"/>
    <w:rsid w:val="76330E10"/>
    <w:rsid w:val="76FB06A4"/>
    <w:rsid w:val="770D7769"/>
    <w:rsid w:val="78E31556"/>
    <w:rsid w:val="7A3228AB"/>
    <w:rsid w:val="7A342CD0"/>
    <w:rsid w:val="7AE17161"/>
    <w:rsid w:val="7B58479C"/>
    <w:rsid w:val="7D08183A"/>
    <w:rsid w:val="7FF764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0" w:semiHidden="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link w:val="38"/>
    <w:qFormat/>
    <w:uiPriority w:val="9"/>
    <w:pPr>
      <w:keepNext/>
      <w:keepLines/>
      <w:numPr>
        <w:ilvl w:val="0"/>
        <w:numId w:val="1"/>
      </w:numPr>
      <w:ind w:firstLine="0" w:firstLineChars="0"/>
      <w:outlineLvl w:val="0"/>
    </w:pPr>
    <w:rPr>
      <w:rFonts w:eastAsia="黑体"/>
      <w:b/>
      <w:bCs/>
      <w:kern w:val="44"/>
      <w:szCs w:val="44"/>
    </w:rPr>
  </w:style>
  <w:style w:type="paragraph" w:styleId="3">
    <w:name w:val="heading 2"/>
    <w:basedOn w:val="1"/>
    <w:next w:val="1"/>
    <w:link w:val="45"/>
    <w:unhideWhenUsed/>
    <w:qFormat/>
    <w:uiPriority w:val="9"/>
    <w:pPr>
      <w:keepNext/>
      <w:keepLines/>
      <w:numPr>
        <w:ilvl w:val="1"/>
        <w:numId w:val="1"/>
      </w:numPr>
      <w:ind w:firstLine="0" w:firstLineChars="0"/>
      <w:outlineLvl w:val="1"/>
    </w:pPr>
    <w:rPr>
      <w:rFonts w:eastAsia="楷体_GB2312" w:cstheme="majorBidi"/>
      <w:b/>
      <w:bCs/>
      <w:szCs w:val="32"/>
    </w:rPr>
  </w:style>
  <w:style w:type="paragraph" w:styleId="4">
    <w:name w:val="heading 3"/>
    <w:basedOn w:val="1"/>
    <w:next w:val="1"/>
    <w:link w:val="47"/>
    <w:unhideWhenUsed/>
    <w:qFormat/>
    <w:uiPriority w:val="9"/>
    <w:pPr>
      <w:keepNext/>
      <w:keepLines/>
      <w:numPr>
        <w:ilvl w:val="2"/>
        <w:numId w:val="1"/>
      </w:numPr>
      <w:ind w:firstLine="0" w:firstLineChars="0"/>
      <w:outlineLvl w:val="2"/>
    </w:pPr>
    <w:rPr>
      <w:b/>
      <w:bCs/>
      <w:szCs w:val="32"/>
    </w:rPr>
  </w:style>
  <w:style w:type="paragraph" w:styleId="5">
    <w:name w:val="heading 4"/>
    <w:basedOn w:val="1"/>
    <w:next w:val="1"/>
    <w:link w:val="55"/>
    <w:unhideWhenUsed/>
    <w:qFormat/>
    <w:uiPriority w:val="9"/>
    <w:pPr>
      <w:keepNext/>
      <w:keepLines/>
      <w:ind w:firstLine="0" w:firstLineChars="0"/>
      <w:outlineLvl w:val="3"/>
    </w:pPr>
    <w:rPr>
      <w:rFonts w:ascii="仿宋_GB2312" w:hAnsi="仿宋_GB2312" w:cstheme="majorBidi"/>
      <w:b/>
      <w:bCs/>
      <w:szCs w:val="28"/>
    </w:rPr>
  </w:style>
  <w:style w:type="paragraph" w:styleId="6">
    <w:name w:val="heading 5"/>
    <w:basedOn w:val="1"/>
    <w:next w:val="1"/>
    <w:link w:val="56"/>
    <w:unhideWhenUsed/>
    <w:qFormat/>
    <w:uiPriority w:val="9"/>
    <w:pPr>
      <w:keepNext/>
      <w:keepLines/>
      <w:ind w:firstLine="0" w:firstLineChars="0"/>
      <w:outlineLvl w:val="4"/>
    </w:pPr>
    <w:rPr>
      <w:rFonts w:ascii="仿宋_GB2312" w:hAnsi="仿宋_GB2312"/>
      <w:b/>
      <w:bCs/>
      <w:szCs w:val="28"/>
    </w:rPr>
  </w:style>
  <w:style w:type="paragraph" w:styleId="7">
    <w:name w:val="heading 6"/>
    <w:basedOn w:val="1"/>
    <w:next w:val="1"/>
    <w:link w:val="57"/>
    <w:unhideWhenUsed/>
    <w:qFormat/>
    <w:uiPriority w:val="9"/>
    <w:pPr>
      <w:ind w:left="624" w:firstLine="0" w:firstLineChars="0"/>
      <w:outlineLvl w:val="5"/>
    </w:pPr>
    <w:rPr>
      <w:rFonts w:ascii="仿宋_GB2312" w:hAnsi="仿宋_GB2312" w:cstheme="majorBidi"/>
      <w:b/>
      <w:bCs/>
      <w:szCs w:val="24"/>
    </w:rPr>
  </w:style>
  <w:style w:type="paragraph" w:styleId="8">
    <w:name w:val="heading 7"/>
    <w:basedOn w:val="1"/>
    <w:next w:val="1"/>
    <w:link w:val="58"/>
    <w:unhideWhenUsed/>
    <w:qFormat/>
    <w:uiPriority w:val="9"/>
    <w:pPr>
      <w:keepNext/>
      <w:keepLines/>
      <w:ind w:firstLine="0" w:firstLineChars="0"/>
      <w:outlineLvl w:val="6"/>
    </w:pPr>
    <w:rPr>
      <w:rFonts w:ascii="仿宋_GB2312" w:hAnsi="仿宋_GB2312"/>
      <w:bCs/>
      <w:szCs w:val="24"/>
    </w:rPr>
  </w:style>
  <w:style w:type="character" w:default="1" w:styleId="28">
    <w:name w:val="Default Paragraph Font"/>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9">
    <w:name w:val="toc 7"/>
    <w:basedOn w:val="1"/>
    <w:next w:val="1"/>
    <w:unhideWhenUsed/>
    <w:qFormat/>
    <w:uiPriority w:val="39"/>
    <w:pPr>
      <w:ind w:left="1680"/>
      <w:jc w:val="left"/>
    </w:pPr>
    <w:rPr>
      <w:rFonts w:asciiTheme="minorHAnsi" w:eastAsiaTheme="minorHAnsi"/>
      <w:sz w:val="20"/>
      <w:szCs w:val="20"/>
    </w:rPr>
  </w:style>
  <w:style w:type="paragraph" w:styleId="10">
    <w:name w:val="annotation text"/>
    <w:basedOn w:val="1"/>
    <w:link w:val="41"/>
    <w:unhideWhenUsed/>
    <w:qFormat/>
    <w:uiPriority w:val="0"/>
    <w:pPr>
      <w:spacing w:line="240" w:lineRule="auto"/>
      <w:ind w:firstLine="0" w:firstLineChars="0"/>
      <w:jc w:val="left"/>
    </w:pPr>
    <w:rPr>
      <w:szCs w:val="24"/>
      <w:lang w:val="zh-CN"/>
    </w:rPr>
  </w:style>
  <w:style w:type="paragraph" w:styleId="11">
    <w:name w:val="toc 5"/>
    <w:basedOn w:val="1"/>
    <w:next w:val="1"/>
    <w:unhideWhenUsed/>
    <w:qFormat/>
    <w:uiPriority w:val="39"/>
    <w:pPr>
      <w:ind w:left="1120"/>
      <w:jc w:val="left"/>
    </w:pPr>
    <w:rPr>
      <w:rFonts w:asciiTheme="minorHAnsi" w:eastAsiaTheme="minorHAnsi"/>
      <w:sz w:val="20"/>
      <w:szCs w:val="20"/>
    </w:rPr>
  </w:style>
  <w:style w:type="paragraph" w:styleId="12">
    <w:name w:val="toc 3"/>
    <w:basedOn w:val="1"/>
    <w:next w:val="1"/>
    <w:unhideWhenUsed/>
    <w:qFormat/>
    <w:uiPriority w:val="39"/>
    <w:pPr>
      <w:ind w:left="560"/>
      <w:jc w:val="left"/>
    </w:pPr>
    <w:rPr>
      <w:rFonts w:asciiTheme="minorHAnsi" w:eastAsiaTheme="minorHAnsi"/>
      <w:sz w:val="22"/>
    </w:rPr>
  </w:style>
  <w:style w:type="paragraph" w:styleId="13">
    <w:name w:val="toc 8"/>
    <w:basedOn w:val="1"/>
    <w:next w:val="1"/>
    <w:unhideWhenUsed/>
    <w:qFormat/>
    <w:uiPriority w:val="39"/>
    <w:pPr>
      <w:ind w:left="1960"/>
      <w:jc w:val="left"/>
    </w:pPr>
    <w:rPr>
      <w:rFonts w:asciiTheme="minorHAnsi" w:eastAsiaTheme="minorHAnsi"/>
      <w:sz w:val="20"/>
      <w:szCs w:val="20"/>
    </w:rPr>
  </w:style>
  <w:style w:type="paragraph" w:styleId="14">
    <w:name w:val="endnote text"/>
    <w:basedOn w:val="1"/>
    <w:link w:val="54"/>
    <w:semiHidden/>
    <w:unhideWhenUsed/>
    <w:qFormat/>
    <w:uiPriority w:val="99"/>
    <w:pPr>
      <w:snapToGrid w:val="0"/>
      <w:jc w:val="left"/>
    </w:pPr>
  </w:style>
  <w:style w:type="paragraph" w:styleId="15">
    <w:name w:val="Balloon Text"/>
    <w:basedOn w:val="1"/>
    <w:link w:val="42"/>
    <w:semiHidden/>
    <w:unhideWhenUsed/>
    <w:qFormat/>
    <w:uiPriority w:val="99"/>
    <w:pPr>
      <w:spacing w:line="240" w:lineRule="auto"/>
    </w:pPr>
    <w:rPr>
      <w:rFonts w:ascii="宋体"/>
      <w:sz w:val="18"/>
      <w:szCs w:val="18"/>
    </w:rPr>
  </w:style>
  <w:style w:type="paragraph" w:styleId="16">
    <w:name w:val="footer"/>
    <w:basedOn w:val="1"/>
    <w:link w:val="34"/>
    <w:qFormat/>
    <w:uiPriority w:val="99"/>
    <w:pPr>
      <w:tabs>
        <w:tab w:val="center" w:pos="4153"/>
        <w:tab w:val="right" w:pos="8306"/>
      </w:tabs>
      <w:snapToGrid w:val="0"/>
      <w:spacing w:line="240" w:lineRule="auto"/>
      <w:jc w:val="left"/>
    </w:pPr>
    <w:rPr>
      <w:sz w:val="18"/>
      <w:szCs w:val="18"/>
    </w:rPr>
  </w:style>
  <w:style w:type="paragraph" w:styleId="17">
    <w:name w:val="header"/>
    <w:basedOn w:val="1"/>
    <w:link w:val="35"/>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qFormat/>
    <w:uiPriority w:val="39"/>
    <w:pPr>
      <w:spacing w:before="120"/>
      <w:jc w:val="left"/>
    </w:pPr>
    <w:rPr>
      <w:rFonts w:asciiTheme="minorHAnsi" w:eastAsiaTheme="minorHAnsi"/>
      <w:b/>
      <w:bCs/>
      <w:sz w:val="24"/>
      <w:szCs w:val="24"/>
    </w:rPr>
  </w:style>
  <w:style w:type="paragraph" w:styleId="19">
    <w:name w:val="toc 4"/>
    <w:basedOn w:val="1"/>
    <w:next w:val="1"/>
    <w:unhideWhenUsed/>
    <w:qFormat/>
    <w:uiPriority w:val="39"/>
    <w:pPr>
      <w:ind w:left="840"/>
      <w:jc w:val="left"/>
    </w:pPr>
    <w:rPr>
      <w:rFonts w:asciiTheme="minorHAnsi" w:eastAsiaTheme="minorHAnsi"/>
      <w:sz w:val="20"/>
      <w:szCs w:val="20"/>
    </w:rPr>
  </w:style>
  <w:style w:type="paragraph" w:styleId="20">
    <w:name w:val="footnote text"/>
    <w:basedOn w:val="1"/>
    <w:link w:val="53"/>
    <w:semiHidden/>
    <w:unhideWhenUsed/>
    <w:qFormat/>
    <w:uiPriority w:val="99"/>
    <w:pPr>
      <w:snapToGrid w:val="0"/>
      <w:jc w:val="left"/>
    </w:pPr>
    <w:rPr>
      <w:sz w:val="18"/>
      <w:szCs w:val="18"/>
    </w:rPr>
  </w:style>
  <w:style w:type="paragraph" w:styleId="21">
    <w:name w:val="toc 6"/>
    <w:basedOn w:val="1"/>
    <w:next w:val="1"/>
    <w:unhideWhenUsed/>
    <w:qFormat/>
    <w:uiPriority w:val="39"/>
    <w:pPr>
      <w:ind w:left="1400"/>
      <w:jc w:val="left"/>
    </w:pPr>
    <w:rPr>
      <w:rFonts w:asciiTheme="minorHAnsi" w:eastAsiaTheme="minorHAnsi"/>
      <w:sz w:val="20"/>
      <w:szCs w:val="20"/>
    </w:rPr>
  </w:style>
  <w:style w:type="paragraph" w:styleId="22">
    <w:name w:val="toc 2"/>
    <w:basedOn w:val="1"/>
    <w:next w:val="1"/>
    <w:qFormat/>
    <w:uiPriority w:val="39"/>
    <w:pPr>
      <w:ind w:left="280"/>
      <w:jc w:val="left"/>
    </w:pPr>
    <w:rPr>
      <w:rFonts w:asciiTheme="minorHAnsi" w:eastAsiaTheme="minorHAnsi"/>
      <w:b/>
      <w:bCs/>
      <w:sz w:val="22"/>
    </w:rPr>
  </w:style>
  <w:style w:type="paragraph" w:styleId="23">
    <w:name w:val="toc 9"/>
    <w:basedOn w:val="1"/>
    <w:next w:val="1"/>
    <w:unhideWhenUsed/>
    <w:qFormat/>
    <w:uiPriority w:val="39"/>
    <w:pPr>
      <w:ind w:left="2240"/>
      <w:jc w:val="left"/>
    </w:pPr>
    <w:rPr>
      <w:rFonts w:asciiTheme="minorHAnsi" w:eastAsiaTheme="minorHAnsi"/>
      <w:sz w:val="20"/>
      <w:szCs w:val="20"/>
    </w:rPr>
  </w:style>
  <w:style w:type="paragraph" w:styleId="24">
    <w:name w:val="Normal (Web)"/>
    <w:basedOn w:val="1"/>
    <w:semiHidden/>
    <w:unhideWhenUsed/>
    <w:qFormat/>
    <w:uiPriority w:val="99"/>
    <w:pPr>
      <w:widowControl/>
      <w:spacing w:before="100" w:beforeAutospacing="1" w:after="100" w:afterAutospacing="1" w:line="240" w:lineRule="auto"/>
      <w:ind w:firstLine="0" w:firstLineChars="0"/>
      <w:jc w:val="left"/>
    </w:pPr>
    <w:rPr>
      <w:rFonts w:eastAsiaTheme="minorEastAsia"/>
      <w:kern w:val="0"/>
      <w:sz w:val="24"/>
      <w:szCs w:val="24"/>
    </w:rPr>
  </w:style>
  <w:style w:type="paragraph" w:styleId="25">
    <w:name w:val="annotation subject"/>
    <w:basedOn w:val="10"/>
    <w:next w:val="10"/>
    <w:link w:val="43"/>
    <w:semiHidden/>
    <w:unhideWhenUsed/>
    <w:qFormat/>
    <w:uiPriority w:val="99"/>
    <w:pPr>
      <w:spacing w:line="360" w:lineRule="auto"/>
      <w:ind w:firstLine="200" w:firstLineChars="200"/>
    </w:pPr>
    <w:rPr>
      <w:rFonts w:ascii="Calibri" w:hAnsi="Calibri" w:eastAsia="宋体"/>
      <w:b/>
      <w:bCs/>
      <w:szCs w:val="22"/>
      <w:lang w:val="en-US"/>
    </w:rPr>
  </w:style>
  <w:style w:type="table" w:styleId="27">
    <w:name w:val="Table Grid"/>
    <w:basedOn w:val="2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endnote reference"/>
    <w:basedOn w:val="28"/>
    <w:semiHidden/>
    <w:unhideWhenUsed/>
    <w:qFormat/>
    <w:uiPriority w:val="99"/>
    <w:rPr>
      <w:vertAlign w:val="superscript"/>
    </w:rPr>
  </w:style>
  <w:style w:type="character" w:styleId="30">
    <w:name w:val="FollowedHyperlink"/>
    <w:basedOn w:val="28"/>
    <w:semiHidden/>
    <w:unhideWhenUsed/>
    <w:qFormat/>
    <w:uiPriority w:val="99"/>
    <w:rPr>
      <w:color w:val="954F72" w:themeColor="followedHyperlink"/>
      <w:u w:val="single"/>
      <w14:textFill>
        <w14:solidFill>
          <w14:schemeClr w14:val="folHlink"/>
        </w14:solidFill>
      </w14:textFill>
    </w:rPr>
  </w:style>
  <w:style w:type="character" w:styleId="31">
    <w:name w:val="Hyperlink"/>
    <w:qFormat/>
    <w:uiPriority w:val="99"/>
    <w:rPr>
      <w:rFonts w:cs="Times New Roman"/>
      <w:color w:val="0000FF"/>
      <w:u w:val="single"/>
    </w:rPr>
  </w:style>
  <w:style w:type="character" w:styleId="32">
    <w:name w:val="annotation reference"/>
    <w:qFormat/>
    <w:uiPriority w:val="0"/>
    <w:rPr>
      <w:sz w:val="21"/>
      <w:szCs w:val="21"/>
    </w:rPr>
  </w:style>
  <w:style w:type="character" w:styleId="33">
    <w:name w:val="footnote reference"/>
    <w:basedOn w:val="28"/>
    <w:semiHidden/>
    <w:unhideWhenUsed/>
    <w:qFormat/>
    <w:uiPriority w:val="99"/>
    <w:rPr>
      <w:vertAlign w:val="superscript"/>
    </w:rPr>
  </w:style>
  <w:style w:type="character" w:customStyle="1" w:styleId="34">
    <w:name w:val="页脚 字符"/>
    <w:basedOn w:val="28"/>
    <w:link w:val="16"/>
    <w:qFormat/>
    <w:uiPriority w:val="99"/>
    <w:rPr>
      <w:rFonts w:ascii="Calibri" w:hAnsi="Calibri" w:eastAsia="宋体" w:cs="Times New Roman"/>
      <w:sz w:val="18"/>
      <w:szCs w:val="18"/>
    </w:rPr>
  </w:style>
  <w:style w:type="character" w:customStyle="1" w:styleId="35">
    <w:name w:val="页眉 字符"/>
    <w:basedOn w:val="28"/>
    <w:link w:val="17"/>
    <w:qFormat/>
    <w:uiPriority w:val="99"/>
    <w:rPr>
      <w:rFonts w:ascii="Calibri" w:hAnsi="Calibri" w:eastAsia="宋体" w:cs="Times New Roman"/>
      <w:sz w:val="18"/>
      <w:szCs w:val="18"/>
    </w:rPr>
  </w:style>
  <w:style w:type="paragraph" w:customStyle="1" w:styleId="36">
    <w:name w:val="h正文"/>
    <w:basedOn w:val="1"/>
    <w:qFormat/>
    <w:uiPriority w:val="0"/>
    <w:pPr>
      <w:ind w:firstLine="600"/>
    </w:pPr>
    <w:rPr>
      <w:rFonts w:ascii="仿宋_GB2312" w:hAnsi="仿宋"/>
      <w:szCs w:val="30"/>
    </w:rPr>
  </w:style>
  <w:style w:type="paragraph" w:customStyle="1" w:styleId="37">
    <w:name w:val="目录标题1"/>
    <w:basedOn w:val="2"/>
    <w:next w:val="1"/>
    <w:unhideWhenUsed/>
    <w:qFormat/>
    <w:uiPriority w:val="39"/>
    <w:pPr>
      <w:widowControl/>
      <w:spacing w:before="240" w:line="259" w:lineRule="auto"/>
      <w:jc w:val="left"/>
      <w:outlineLvl w:val="9"/>
    </w:pPr>
    <w:rPr>
      <w:rFonts w:ascii="等线 Light" w:hAnsi="等线 Light" w:eastAsia="等线 Light"/>
      <w:b w:val="0"/>
      <w:bCs w:val="0"/>
      <w:color w:val="2F5496"/>
      <w:kern w:val="0"/>
      <w:szCs w:val="32"/>
    </w:rPr>
  </w:style>
  <w:style w:type="character" w:customStyle="1" w:styleId="38">
    <w:name w:val="标题 1 字符"/>
    <w:basedOn w:val="28"/>
    <w:link w:val="2"/>
    <w:qFormat/>
    <w:uiPriority w:val="9"/>
    <w:rPr>
      <w:rFonts w:ascii="Calibri" w:hAnsi="Calibri" w:eastAsia="黑体" w:cs="Times New Roman"/>
      <w:b/>
      <w:bCs/>
      <w:kern w:val="44"/>
      <w:sz w:val="32"/>
      <w:szCs w:val="44"/>
    </w:rPr>
  </w:style>
  <w:style w:type="paragraph" w:styleId="39">
    <w:name w:val="List Paragraph"/>
    <w:basedOn w:val="1"/>
    <w:qFormat/>
    <w:uiPriority w:val="34"/>
    <w:pPr>
      <w:ind w:firstLine="420"/>
    </w:pPr>
  </w:style>
  <w:style w:type="paragraph" w:customStyle="1" w:styleId="40">
    <w:name w:val="列出段落2"/>
    <w:basedOn w:val="1"/>
    <w:qFormat/>
    <w:uiPriority w:val="34"/>
    <w:pPr>
      <w:ind w:firstLine="420"/>
    </w:pPr>
  </w:style>
  <w:style w:type="character" w:customStyle="1" w:styleId="41">
    <w:name w:val="批注文字 字符"/>
    <w:basedOn w:val="28"/>
    <w:link w:val="10"/>
    <w:qFormat/>
    <w:uiPriority w:val="0"/>
    <w:rPr>
      <w:rFonts w:ascii="Times New Roman" w:hAnsi="Times New Roman" w:eastAsia="仿宋_GB2312" w:cs="Times New Roman"/>
      <w:sz w:val="28"/>
      <w:lang w:val="zh-CN"/>
    </w:rPr>
  </w:style>
  <w:style w:type="character" w:customStyle="1" w:styleId="42">
    <w:name w:val="批注框文本 字符"/>
    <w:basedOn w:val="28"/>
    <w:link w:val="15"/>
    <w:semiHidden/>
    <w:qFormat/>
    <w:uiPriority w:val="99"/>
    <w:rPr>
      <w:rFonts w:ascii="宋体" w:hAnsi="Calibri" w:eastAsia="宋体" w:cs="Times New Roman"/>
      <w:sz w:val="18"/>
      <w:szCs w:val="18"/>
    </w:rPr>
  </w:style>
  <w:style w:type="character" w:customStyle="1" w:styleId="43">
    <w:name w:val="批注主题 字符"/>
    <w:basedOn w:val="41"/>
    <w:link w:val="25"/>
    <w:semiHidden/>
    <w:qFormat/>
    <w:uiPriority w:val="99"/>
    <w:rPr>
      <w:rFonts w:ascii="Calibri" w:hAnsi="Calibri" w:eastAsia="宋体" w:cs="Times New Roman"/>
      <w:b/>
      <w:bCs/>
      <w:sz w:val="28"/>
      <w:szCs w:val="22"/>
      <w:lang w:val="zh-CN"/>
    </w:rPr>
  </w:style>
  <w:style w:type="paragraph" w:customStyle="1" w:styleId="44">
    <w:name w:val="前言、引言标题"/>
    <w:basedOn w:val="1"/>
    <w:link w:val="59"/>
    <w:qFormat/>
    <w:uiPriority w:val="0"/>
    <w:pPr>
      <w:numPr>
        <w:ilvl w:val="0"/>
        <w:numId w:val="2"/>
      </w:numPr>
      <w:ind w:firstLineChars="0"/>
    </w:pPr>
  </w:style>
  <w:style w:type="character" w:customStyle="1" w:styleId="45">
    <w:name w:val="标题 2 字符"/>
    <w:basedOn w:val="28"/>
    <w:link w:val="3"/>
    <w:qFormat/>
    <w:uiPriority w:val="9"/>
    <w:rPr>
      <w:rFonts w:ascii="Times New Roman" w:hAnsi="Times New Roman" w:eastAsia="楷体_GB2312" w:cstheme="majorBidi"/>
      <w:b/>
      <w:bCs/>
      <w:kern w:val="2"/>
      <w:sz w:val="32"/>
      <w:szCs w:val="32"/>
    </w:rPr>
  </w:style>
  <w:style w:type="paragraph" w:customStyle="1" w:styleId="46">
    <w:name w:val="TOC 标题1"/>
    <w:basedOn w:val="2"/>
    <w:next w:val="1"/>
    <w:unhideWhenUsed/>
    <w:qFormat/>
    <w:uiPriority w:val="39"/>
    <w:pPr>
      <w:widowControl/>
      <w:spacing w:before="48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7">
    <w:name w:val="标题 3 字符"/>
    <w:basedOn w:val="28"/>
    <w:link w:val="4"/>
    <w:qFormat/>
    <w:uiPriority w:val="9"/>
    <w:rPr>
      <w:rFonts w:ascii="Times New Roman" w:hAnsi="Times New Roman" w:eastAsia="仿宋_GB2312" w:cs="Times New Roman"/>
      <w:b/>
      <w:bCs/>
      <w:kern w:val="2"/>
      <w:sz w:val="32"/>
      <w:szCs w:val="32"/>
    </w:rPr>
  </w:style>
  <w:style w:type="paragraph" w:customStyle="1" w:styleId="48">
    <w:name w:val="列出段落1"/>
    <w:basedOn w:val="1"/>
    <w:qFormat/>
    <w:uiPriority w:val="34"/>
    <w:pPr>
      <w:ind w:firstLine="420"/>
    </w:pPr>
  </w:style>
  <w:style w:type="table" w:customStyle="1" w:styleId="49">
    <w:name w:val="网格型1"/>
    <w:basedOn w:val="26"/>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网格型3"/>
    <w:basedOn w:val="26"/>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1">
    <w:name w:val="网格型4"/>
    <w:basedOn w:val="26"/>
    <w:qFormat/>
    <w:uiPriority w:val="39"/>
    <w:rPr>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bjh-p"/>
    <w:basedOn w:val="28"/>
    <w:qFormat/>
    <w:uiPriority w:val="0"/>
  </w:style>
  <w:style w:type="character" w:customStyle="1" w:styleId="53">
    <w:name w:val="脚注文本 字符"/>
    <w:basedOn w:val="28"/>
    <w:link w:val="20"/>
    <w:semiHidden/>
    <w:qFormat/>
    <w:uiPriority w:val="99"/>
    <w:rPr>
      <w:rFonts w:ascii="Calibri" w:hAnsi="Calibri" w:eastAsia="宋体" w:cs="Times New Roman"/>
      <w:sz w:val="18"/>
      <w:szCs w:val="18"/>
    </w:rPr>
  </w:style>
  <w:style w:type="character" w:customStyle="1" w:styleId="54">
    <w:name w:val="尾注文本 字符"/>
    <w:basedOn w:val="28"/>
    <w:link w:val="14"/>
    <w:semiHidden/>
    <w:qFormat/>
    <w:uiPriority w:val="99"/>
    <w:rPr>
      <w:rFonts w:ascii="Calibri" w:hAnsi="Calibri" w:eastAsia="宋体" w:cs="Times New Roman"/>
      <w:sz w:val="28"/>
      <w:szCs w:val="22"/>
    </w:rPr>
  </w:style>
  <w:style w:type="character" w:customStyle="1" w:styleId="55">
    <w:name w:val="标题 4 字符"/>
    <w:basedOn w:val="28"/>
    <w:link w:val="5"/>
    <w:qFormat/>
    <w:uiPriority w:val="9"/>
    <w:rPr>
      <w:rFonts w:ascii="仿宋_GB2312" w:hAnsi="仿宋_GB2312" w:eastAsia="仿宋_GB2312" w:cstheme="majorBidi"/>
      <w:b/>
      <w:bCs/>
      <w:kern w:val="2"/>
      <w:sz w:val="28"/>
      <w:szCs w:val="28"/>
    </w:rPr>
  </w:style>
  <w:style w:type="character" w:customStyle="1" w:styleId="56">
    <w:name w:val="标题 5 字符"/>
    <w:basedOn w:val="28"/>
    <w:link w:val="6"/>
    <w:qFormat/>
    <w:uiPriority w:val="9"/>
    <w:rPr>
      <w:rFonts w:ascii="仿宋_GB2312" w:hAnsi="仿宋_GB2312" w:eastAsia="仿宋_GB2312" w:cs="Times New Roman"/>
      <w:b/>
      <w:bCs/>
      <w:kern w:val="2"/>
      <w:sz w:val="28"/>
      <w:szCs w:val="28"/>
    </w:rPr>
  </w:style>
  <w:style w:type="character" w:customStyle="1" w:styleId="57">
    <w:name w:val="标题 6 字符"/>
    <w:basedOn w:val="28"/>
    <w:link w:val="7"/>
    <w:qFormat/>
    <w:uiPriority w:val="9"/>
    <w:rPr>
      <w:rFonts w:ascii="仿宋_GB2312" w:hAnsi="仿宋_GB2312" w:eastAsia="仿宋_GB2312" w:cstheme="majorBidi"/>
      <w:b/>
      <w:bCs/>
      <w:kern w:val="2"/>
      <w:sz w:val="28"/>
      <w:szCs w:val="24"/>
    </w:rPr>
  </w:style>
  <w:style w:type="character" w:customStyle="1" w:styleId="58">
    <w:name w:val="标题 7 字符"/>
    <w:basedOn w:val="28"/>
    <w:link w:val="8"/>
    <w:qFormat/>
    <w:uiPriority w:val="9"/>
    <w:rPr>
      <w:rFonts w:ascii="仿宋_GB2312" w:hAnsi="仿宋_GB2312" w:eastAsia="仿宋_GB2312" w:cs="Times New Roman"/>
      <w:bCs/>
      <w:kern w:val="2"/>
      <w:sz w:val="28"/>
      <w:szCs w:val="24"/>
    </w:rPr>
  </w:style>
  <w:style w:type="character" w:customStyle="1" w:styleId="59">
    <w:name w:val="前言、引言标题 字符"/>
    <w:basedOn w:val="28"/>
    <w:link w:val="44"/>
    <w:qFormat/>
    <w:uiPriority w:val="0"/>
    <w:rPr>
      <w:rFonts w:ascii="Calibri" w:hAnsi="Calibri" w:eastAsia="仿宋_GB2312" w:cs="Times New Roman"/>
      <w:kern w:val="2"/>
      <w:sz w:val="32"/>
      <w:szCs w:val="22"/>
    </w:rPr>
  </w:style>
  <w:style w:type="paragraph" w:customStyle="1" w:styleId="60">
    <w:name w:val="Revision"/>
    <w:hidden/>
    <w:unhideWhenUsed/>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4829DA0-9B36-4B42-B9A3-5926DE81F0E5}">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5787</Words>
  <Characters>5841</Characters>
  <Lines>154</Lines>
  <Paragraphs>111</Paragraphs>
  <TotalTime>5</TotalTime>
  <ScaleCrop>false</ScaleCrop>
  <LinksUpToDate>false</LinksUpToDate>
  <CharactersWithSpaces>5841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2025-04-05T07:10:00Z</dcterms:created>
  <dc:creator>Yue Zhang</dc:creator>
  <cp:lastModifiedBy>Joy张悦</cp:lastModifiedBy>
  <cp:lastPrinted>2025-03-31T04:50:00Z</cp:lastPrinted>
  <dcterms:modified xsi:type="dcterms:W3CDTF">2025-04-07T08:45:41Z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2BAB5CFCF47C457B95121420A132C0D1_13</vt:lpwstr>
  </property>
  <property fmtid="{D5CDD505-2E9C-101B-9397-08002B2CF9AE}" pid="4" name="KSOTemplateDocerSaveRecord">
    <vt:lpwstr>eyJoZGlkIjoiNzkwYWQ4OTg2ZDY4MjVlMDA4MDA2YzMyZWE1MzBhZTAiLCJ1c2VySWQiOiIxMTQ2OTc4NjU5In0=</vt:lpwstr>
  </property>
</Properties>
</file>